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570D" w14:textId="14EF2270" w:rsidR="009B39EB" w:rsidRPr="005063CF" w:rsidRDefault="004A55CE" w:rsidP="00CA7786">
      <w:pPr>
        <w:rPr>
          <w:rFonts w:cs="Arial"/>
        </w:rPr>
      </w:pPr>
      <w:r>
        <w:rPr>
          <w:rFonts w:cs="Arial"/>
        </w:rPr>
        <w:tab/>
      </w:r>
    </w:p>
    <w:p w14:paraId="07A7BF15" w14:textId="41545D7B" w:rsidR="00020441" w:rsidRPr="005063CF" w:rsidRDefault="00020441" w:rsidP="00CA7786">
      <w:pPr>
        <w:rPr>
          <w:rFonts w:cs="Arial"/>
        </w:rPr>
      </w:pPr>
      <w:r w:rsidRPr="005063CF">
        <w:rPr>
          <w:rFonts w:cs="Arial"/>
        </w:rPr>
        <w:tab/>
      </w:r>
      <w:r w:rsidRPr="005063CF">
        <w:rPr>
          <w:rFonts w:cs="Arial"/>
        </w:rPr>
        <w:tab/>
      </w:r>
      <w:r w:rsidRPr="005063CF">
        <w:rPr>
          <w:rFonts w:cs="Arial"/>
        </w:rPr>
        <w:tab/>
      </w:r>
      <w:r w:rsidRPr="005063CF">
        <w:rPr>
          <w:rFonts w:cs="Arial"/>
        </w:rPr>
        <w:tab/>
      </w:r>
      <w:r w:rsidRPr="005063CF">
        <w:rPr>
          <w:rFonts w:cs="Arial"/>
        </w:rPr>
        <w:tab/>
      </w:r>
      <w:r w:rsidRPr="005063CF">
        <w:rPr>
          <w:rFonts w:cs="Arial"/>
        </w:rPr>
        <w:tab/>
      </w:r>
    </w:p>
    <w:p w14:paraId="495A40AD" w14:textId="6CEAA8D5" w:rsidR="00020441" w:rsidRPr="005063CF" w:rsidRDefault="0026225C" w:rsidP="00CA7786">
      <w:pPr>
        <w:rPr>
          <w:rFonts w:cs="Arial"/>
        </w:rPr>
      </w:pPr>
      <w:r w:rsidRPr="005063CF">
        <w:rPr>
          <w:rFonts w:cs="Arial"/>
          <w:noProof/>
          <w:sz w:val="20"/>
        </w:rPr>
        <w:drawing>
          <wp:anchor distT="0" distB="0" distL="114300" distR="114300" simplePos="0" relativeHeight="251658240" behindDoc="0" locked="0" layoutInCell="1" allowOverlap="1" wp14:anchorId="76A7B02A" wp14:editId="53E40041">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00198" w14:textId="77777777" w:rsidR="00020441" w:rsidRPr="005063CF" w:rsidRDefault="00020441" w:rsidP="00CA7786">
      <w:pPr>
        <w:rPr>
          <w:rFonts w:cs="Arial"/>
        </w:rPr>
      </w:pPr>
    </w:p>
    <w:p w14:paraId="31F9E868" w14:textId="77777777" w:rsidR="00020441" w:rsidRPr="005063CF" w:rsidRDefault="00020441" w:rsidP="00CA7786">
      <w:pPr>
        <w:pStyle w:val="TDC1"/>
        <w:tabs>
          <w:tab w:val="clear" w:pos="480"/>
          <w:tab w:val="clear" w:pos="8828"/>
        </w:tabs>
        <w:spacing w:before="0"/>
        <w:rPr>
          <w:rFonts w:cs="Arial"/>
          <w:szCs w:val="20"/>
          <w:lang w:val="es-ES_tradnl"/>
        </w:rPr>
      </w:pPr>
    </w:p>
    <w:p w14:paraId="5B559C7F" w14:textId="5624E003" w:rsidR="00020441" w:rsidRPr="005063CF" w:rsidRDefault="00020441" w:rsidP="00CA7786">
      <w:pPr>
        <w:rPr>
          <w:rFonts w:cs="Arial"/>
        </w:rPr>
      </w:pPr>
    </w:p>
    <w:p w14:paraId="7E618F3F" w14:textId="77777777" w:rsidR="00020441" w:rsidRPr="005063CF" w:rsidRDefault="00020441" w:rsidP="00CA7786">
      <w:pPr>
        <w:pStyle w:val="TDC1"/>
        <w:spacing w:before="0"/>
        <w:rPr>
          <w:rFonts w:cs="Arial"/>
          <w:lang w:val="es-ES_tradnl"/>
        </w:rPr>
      </w:pPr>
    </w:p>
    <w:p w14:paraId="7FC15F4A" w14:textId="77777777" w:rsidR="00020441" w:rsidRPr="005063CF" w:rsidRDefault="00020441" w:rsidP="00CA7786">
      <w:pPr>
        <w:rPr>
          <w:rFonts w:cs="Arial"/>
        </w:rPr>
      </w:pPr>
    </w:p>
    <w:p w14:paraId="3871A061" w14:textId="77777777" w:rsidR="00020441" w:rsidRPr="005063CF" w:rsidRDefault="00020441" w:rsidP="00CA7786">
      <w:pPr>
        <w:rPr>
          <w:rFonts w:cs="Arial"/>
        </w:rPr>
      </w:pPr>
    </w:p>
    <w:p w14:paraId="7A2284DF" w14:textId="77777777" w:rsidR="00020441" w:rsidRPr="005063CF" w:rsidRDefault="00020441" w:rsidP="00CA7786">
      <w:pPr>
        <w:rPr>
          <w:rFonts w:cs="Arial"/>
        </w:rPr>
      </w:pPr>
    </w:p>
    <w:p w14:paraId="195064D6" w14:textId="33164673" w:rsidR="00020441" w:rsidRPr="005063CF" w:rsidRDefault="0026225C" w:rsidP="00CA7786">
      <w:pPr>
        <w:pStyle w:val="Textoindependiente"/>
        <w:jc w:val="both"/>
        <w:rPr>
          <w:rFonts w:cs="Arial"/>
          <w:sz w:val="32"/>
        </w:rPr>
      </w:pPr>
      <w:r w:rsidRPr="005063CF">
        <w:rPr>
          <w:rFonts w:cs="Arial"/>
          <w:sz w:val="40"/>
        </w:rPr>
        <w:t xml:space="preserve">MEDIDAS PARA </w:t>
      </w:r>
      <w:r w:rsidR="005A47DA" w:rsidRPr="005063CF">
        <w:rPr>
          <w:rFonts w:cs="Arial"/>
          <w:sz w:val="40"/>
        </w:rPr>
        <w:t>FACILITAR</w:t>
      </w:r>
      <w:r w:rsidRPr="005063CF">
        <w:rPr>
          <w:rFonts w:cs="Arial"/>
          <w:sz w:val="40"/>
        </w:rPr>
        <w:t xml:space="preserve"> </w:t>
      </w:r>
      <w:r w:rsidR="005A47DA" w:rsidRPr="005063CF">
        <w:rPr>
          <w:rFonts w:cs="Arial"/>
          <w:sz w:val="40"/>
        </w:rPr>
        <w:t>LA</w:t>
      </w:r>
      <w:r w:rsidR="004E7AFC" w:rsidRPr="005063CF">
        <w:rPr>
          <w:rFonts w:cs="Arial"/>
          <w:sz w:val="40"/>
        </w:rPr>
        <w:t>S</w:t>
      </w:r>
      <w:r w:rsidRPr="005063CF">
        <w:rPr>
          <w:rFonts w:cs="Arial"/>
          <w:sz w:val="40"/>
        </w:rPr>
        <w:t xml:space="preserve"> </w:t>
      </w:r>
      <w:r w:rsidR="004E7AFC" w:rsidRPr="005063CF">
        <w:rPr>
          <w:rFonts w:cs="Arial"/>
          <w:sz w:val="40"/>
        </w:rPr>
        <w:t>COMPRAS</w:t>
      </w:r>
      <w:r w:rsidRPr="005063CF">
        <w:rPr>
          <w:rFonts w:cs="Arial"/>
          <w:sz w:val="40"/>
        </w:rPr>
        <w:t xml:space="preserve"> DE ENERGÍA ELÉCTRICA </w:t>
      </w:r>
      <w:r w:rsidR="004E7AFC" w:rsidRPr="005063CF">
        <w:rPr>
          <w:rFonts w:cs="Arial"/>
          <w:sz w:val="40"/>
        </w:rPr>
        <w:t>A TRAVÉS DE</w:t>
      </w:r>
      <w:r w:rsidRPr="005063CF">
        <w:rPr>
          <w:rFonts w:cs="Arial"/>
          <w:sz w:val="40"/>
        </w:rPr>
        <w:t xml:space="preserve"> CONVOCATORIAS PÚBLICAS</w:t>
      </w:r>
    </w:p>
    <w:p w14:paraId="3C39291A" w14:textId="77777777" w:rsidR="00020441" w:rsidRPr="005063CF" w:rsidRDefault="00020441" w:rsidP="00CA7786">
      <w:pPr>
        <w:pStyle w:val="TDC1"/>
        <w:tabs>
          <w:tab w:val="clear" w:pos="480"/>
          <w:tab w:val="clear" w:pos="8828"/>
          <w:tab w:val="right" w:leader="dot" w:pos="9142"/>
        </w:tabs>
        <w:spacing w:before="0"/>
        <w:jc w:val="left"/>
        <w:rPr>
          <w:rFonts w:cs="Arial"/>
          <w:szCs w:val="20"/>
          <w:lang w:val="es-ES_tradnl"/>
        </w:rPr>
      </w:pPr>
    </w:p>
    <w:p w14:paraId="77EAAF98" w14:textId="77777777" w:rsidR="00020441" w:rsidRPr="005063CF" w:rsidRDefault="00020441" w:rsidP="00CA7786">
      <w:pPr>
        <w:rPr>
          <w:rFonts w:cs="Arial"/>
        </w:rPr>
      </w:pPr>
    </w:p>
    <w:p w14:paraId="015F62AB" w14:textId="77777777" w:rsidR="00020441" w:rsidRPr="005063CF" w:rsidRDefault="00020441" w:rsidP="00CA7786">
      <w:pPr>
        <w:rPr>
          <w:rFonts w:cs="Arial"/>
        </w:rPr>
      </w:pPr>
    </w:p>
    <w:p w14:paraId="4358E4C1" w14:textId="7AAE1C6E" w:rsidR="00020441" w:rsidRPr="005063CF" w:rsidRDefault="00020441" w:rsidP="00CA7786">
      <w:pPr>
        <w:rPr>
          <w:rFonts w:cs="Arial"/>
        </w:rPr>
      </w:pPr>
    </w:p>
    <w:p w14:paraId="444CA784" w14:textId="77777777" w:rsidR="00020441" w:rsidRPr="005063CF" w:rsidRDefault="00020441" w:rsidP="00CA7786">
      <w:pPr>
        <w:rPr>
          <w:rFonts w:cs="Arial"/>
        </w:rPr>
      </w:pPr>
    </w:p>
    <w:p w14:paraId="4BC34B5E" w14:textId="77777777" w:rsidR="00020441" w:rsidRPr="005063CF" w:rsidRDefault="00020441" w:rsidP="00CA7786">
      <w:pPr>
        <w:rPr>
          <w:rFonts w:cs="Arial"/>
        </w:rPr>
      </w:pPr>
    </w:p>
    <w:p w14:paraId="1E2F3BE1" w14:textId="5FD3661D" w:rsidR="00020441" w:rsidRPr="005063CF" w:rsidRDefault="00020441" w:rsidP="00CA7786">
      <w:pPr>
        <w:rPr>
          <w:rFonts w:cs="Arial"/>
          <w:b/>
          <w:caps/>
          <w:sz w:val="36"/>
          <w:highlight w:val="yellow"/>
          <w:lang w:val="es-ES"/>
        </w:rPr>
      </w:pPr>
      <w:r w:rsidRPr="005063CF">
        <w:rPr>
          <w:rFonts w:cs="Arial"/>
          <w:b/>
          <w:caps/>
          <w:sz w:val="28"/>
          <w:lang w:val="es-ES"/>
        </w:rPr>
        <w:t xml:space="preserve">DOCUMENTO </w:t>
      </w:r>
      <w:r w:rsidRPr="005063CF">
        <w:rPr>
          <w:rFonts w:cs="Arial"/>
          <w:b/>
          <w:caps/>
          <w:sz w:val="40"/>
          <w:lang w:val="es-ES"/>
        </w:rPr>
        <w:t>CREG</w:t>
      </w:r>
      <w:r w:rsidRPr="00623301">
        <w:rPr>
          <w:rFonts w:cs="Arial"/>
          <w:b/>
          <w:caps/>
          <w:sz w:val="40"/>
          <w:lang w:val="es-ES"/>
        </w:rPr>
        <w:t>-</w:t>
      </w:r>
      <w:r w:rsidR="00623301" w:rsidRPr="00623301">
        <w:rPr>
          <w:rFonts w:cs="Arial"/>
          <w:b/>
          <w:caps/>
          <w:sz w:val="40"/>
          <w:lang w:val="es-ES"/>
        </w:rPr>
        <w:t xml:space="preserve"> 901 022</w:t>
      </w:r>
    </w:p>
    <w:p w14:paraId="1518DB57" w14:textId="332FBCE4" w:rsidR="00020441" w:rsidRPr="00623301" w:rsidRDefault="0083677C" w:rsidP="00CA7786">
      <w:pPr>
        <w:tabs>
          <w:tab w:val="left" w:pos="9142"/>
        </w:tabs>
        <w:jc w:val="left"/>
        <w:rPr>
          <w:rFonts w:cs="Arial"/>
          <w:sz w:val="28"/>
        </w:rPr>
      </w:pPr>
      <w:r w:rsidRPr="00623301">
        <w:rPr>
          <w:rFonts w:cs="Arial"/>
          <w:b/>
          <w:caps/>
          <w:sz w:val="28"/>
          <w:lang w:val="es-ES"/>
        </w:rPr>
        <w:t>0</w:t>
      </w:r>
      <w:r w:rsidR="00623301" w:rsidRPr="00623301">
        <w:rPr>
          <w:rFonts w:cs="Arial"/>
          <w:b/>
          <w:caps/>
          <w:sz w:val="28"/>
          <w:lang w:val="es-ES"/>
        </w:rPr>
        <w:t>4 de septiembre de 2023</w:t>
      </w:r>
    </w:p>
    <w:p w14:paraId="75A35FB6" w14:textId="15663275" w:rsidR="00020441" w:rsidRPr="005063CF" w:rsidRDefault="00020441" w:rsidP="00CA7786">
      <w:pPr>
        <w:pStyle w:val="TDC1"/>
        <w:tabs>
          <w:tab w:val="clear" w:pos="480"/>
          <w:tab w:val="clear" w:pos="8828"/>
        </w:tabs>
        <w:spacing w:before="0"/>
        <w:rPr>
          <w:rFonts w:cs="Arial"/>
          <w:szCs w:val="20"/>
          <w:highlight w:val="yellow"/>
          <w:lang w:val="es-ES_tradnl"/>
        </w:rPr>
      </w:pPr>
    </w:p>
    <w:p w14:paraId="179BB16C" w14:textId="483924FD" w:rsidR="00020441" w:rsidRPr="005063CF" w:rsidRDefault="00020441" w:rsidP="00CA7786">
      <w:pPr>
        <w:ind w:left="4956"/>
        <w:jc w:val="left"/>
        <w:rPr>
          <w:rFonts w:cs="Arial"/>
        </w:rPr>
      </w:pPr>
    </w:p>
    <w:p w14:paraId="4AF229B7" w14:textId="77777777" w:rsidR="00020441" w:rsidRPr="005063CF" w:rsidRDefault="00020441" w:rsidP="00CA7786">
      <w:pPr>
        <w:ind w:left="4956"/>
        <w:jc w:val="left"/>
        <w:rPr>
          <w:rFonts w:cs="Arial"/>
          <w:b/>
        </w:rPr>
      </w:pPr>
    </w:p>
    <w:tbl>
      <w:tblPr>
        <w:tblW w:w="4139" w:type="dxa"/>
        <w:tblInd w:w="4678" w:type="dxa"/>
        <w:tblCellMar>
          <w:left w:w="70" w:type="dxa"/>
          <w:right w:w="70" w:type="dxa"/>
        </w:tblCellMar>
        <w:tblLook w:val="0000" w:firstRow="0" w:lastRow="0" w:firstColumn="0" w:lastColumn="0" w:noHBand="0" w:noVBand="0"/>
      </w:tblPr>
      <w:tblGrid>
        <w:gridCol w:w="4139"/>
      </w:tblGrid>
      <w:tr w:rsidR="00020441" w:rsidRPr="005063CF" w14:paraId="10BC2EC4" w14:textId="77777777" w:rsidTr="009B39EB">
        <w:tc>
          <w:tcPr>
            <w:tcW w:w="4139" w:type="dxa"/>
          </w:tcPr>
          <w:p w14:paraId="47373523" w14:textId="77777777" w:rsidR="0077100C" w:rsidRPr="005063CF" w:rsidRDefault="0077100C" w:rsidP="00CA7786">
            <w:pPr>
              <w:jc w:val="left"/>
              <w:rPr>
                <w:rFonts w:cs="Arial"/>
                <w:b/>
              </w:rPr>
            </w:pPr>
          </w:p>
          <w:p w14:paraId="2BFE4985" w14:textId="77777777" w:rsidR="0077100C" w:rsidRPr="005063CF" w:rsidRDefault="0077100C" w:rsidP="00CA7786">
            <w:pPr>
              <w:jc w:val="left"/>
              <w:rPr>
                <w:rFonts w:cs="Arial"/>
                <w:b/>
              </w:rPr>
            </w:pPr>
          </w:p>
          <w:p w14:paraId="555749EF" w14:textId="77777777" w:rsidR="00020441" w:rsidRPr="005063CF" w:rsidRDefault="00020441" w:rsidP="00CA7786">
            <w:pPr>
              <w:jc w:val="left"/>
              <w:rPr>
                <w:rFonts w:cs="Arial"/>
                <w:b/>
              </w:rPr>
            </w:pPr>
            <w:r w:rsidRPr="005063CF">
              <w:rPr>
                <w:rFonts w:cs="Arial"/>
                <w:b/>
              </w:rPr>
              <w:t>CIRCULACIÓN:</w:t>
            </w:r>
          </w:p>
        </w:tc>
      </w:tr>
      <w:tr w:rsidR="00020441" w:rsidRPr="005063CF" w14:paraId="1F4F84AA" w14:textId="77777777" w:rsidTr="009B39EB">
        <w:tc>
          <w:tcPr>
            <w:tcW w:w="4139" w:type="dxa"/>
          </w:tcPr>
          <w:p w14:paraId="1E5ADFFC" w14:textId="77777777" w:rsidR="00020441" w:rsidRPr="005063CF" w:rsidRDefault="00020441" w:rsidP="00CA7786">
            <w:pPr>
              <w:jc w:val="left"/>
              <w:rPr>
                <w:rFonts w:cs="Arial"/>
                <w:b/>
              </w:rPr>
            </w:pPr>
            <w:r w:rsidRPr="005063CF">
              <w:rPr>
                <w:rFonts w:cs="Arial"/>
                <w:b/>
              </w:rPr>
              <w:t>MIEMBROS DE LA COMISIÓN DE</w:t>
            </w:r>
          </w:p>
        </w:tc>
      </w:tr>
      <w:tr w:rsidR="00020441" w:rsidRPr="005063CF" w14:paraId="6BDA860E" w14:textId="77777777" w:rsidTr="009B39EB">
        <w:tc>
          <w:tcPr>
            <w:tcW w:w="4139" w:type="dxa"/>
          </w:tcPr>
          <w:p w14:paraId="48A1377D" w14:textId="559C6364" w:rsidR="00020441" w:rsidRPr="005063CF" w:rsidRDefault="00020441" w:rsidP="00CA7786">
            <w:pPr>
              <w:tabs>
                <w:tab w:val="left" w:pos="4606"/>
                <w:tab w:val="left" w:pos="9142"/>
              </w:tabs>
              <w:jc w:val="left"/>
              <w:rPr>
                <w:rFonts w:cs="Arial"/>
                <w:b/>
              </w:rPr>
            </w:pPr>
            <w:r w:rsidRPr="005063CF">
              <w:rPr>
                <w:rFonts w:cs="Arial"/>
                <w:b/>
              </w:rPr>
              <w:t xml:space="preserve">REGULACIÓN DE ENERGÍA Y GAS </w:t>
            </w:r>
          </w:p>
        </w:tc>
      </w:tr>
    </w:tbl>
    <w:p w14:paraId="21C58F2E" w14:textId="77777777" w:rsidR="000F4842" w:rsidRDefault="00020441" w:rsidP="00CA7786">
      <w:pPr>
        <w:jc w:val="left"/>
        <w:rPr>
          <w:rFonts w:cs="Arial"/>
          <w:b/>
        </w:rPr>
      </w:pPr>
      <w:r w:rsidRPr="005063CF">
        <w:rPr>
          <w:rFonts w:cs="Arial"/>
        </w:rPr>
        <w:br w:type="page"/>
      </w:r>
    </w:p>
    <w:sdt>
      <w:sdtPr>
        <w:rPr>
          <w:rFonts w:ascii="Arial" w:eastAsia="Times New Roman" w:hAnsi="Arial" w:cs="Times New Roman"/>
          <w:color w:val="auto"/>
          <w:sz w:val="24"/>
          <w:szCs w:val="20"/>
          <w:lang w:val="es-ES" w:eastAsia="es-ES"/>
        </w:rPr>
        <w:id w:val="-1958563181"/>
        <w:docPartObj>
          <w:docPartGallery w:val="Table of Contents"/>
          <w:docPartUnique/>
        </w:docPartObj>
      </w:sdtPr>
      <w:sdtEndPr>
        <w:rPr>
          <w:b/>
          <w:bCs/>
        </w:rPr>
      </w:sdtEndPr>
      <w:sdtContent>
        <w:p w14:paraId="33129813" w14:textId="0B69ED54" w:rsidR="000F4842" w:rsidRDefault="003349F0" w:rsidP="00CA7786">
          <w:pPr>
            <w:pStyle w:val="TtuloTDC"/>
            <w:spacing w:before="0" w:line="240" w:lineRule="auto"/>
            <w:jc w:val="center"/>
            <w:rPr>
              <w:rFonts w:ascii="Arial" w:hAnsi="Arial" w:cs="Arial"/>
              <w:b/>
              <w:bCs/>
              <w:color w:val="auto"/>
              <w:sz w:val="24"/>
              <w:szCs w:val="24"/>
              <w:lang w:val="es-ES"/>
            </w:rPr>
          </w:pPr>
          <w:r w:rsidRPr="003349F0">
            <w:rPr>
              <w:rFonts w:ascii="Arial" w:hAnsi="Arial" w:cs="Arial"/>
              <w:b/>
              <w:bCs/>
              <w:color w:val="auto"/>
              <w:sz w:val="24"/>
              <w:szCs w:val="24"/>
              <w:lang w:val="es-ES"/>
            </w:rPr>
            <w:t>CONTENIDO</w:t>
          </w:r>
        </w:p>
        <w:p w14:paraId="04A421CC" w14:textId="77777777" w:rsidR="002375AA" w:rsidRPr="002375AA" w:rsidRDefault="002375AA" w:rsidP="00CA7786">
          <w:pPr>
            <w:rPr>
              <w:lang w:val="es-ES" w:eastAsia="es-CO"/>
            </w:rPr>
          </w:pPr>
        </w:p>
        <w:p w14:paraId="5490E818" w14:textId="77777777" w:rsidR="000F4842" w:rsidRPr="000F4842" w:rsidRDefault="000F4842" w:rsidP="00CA7786">
          <w:pPr>
            <w:rPr>
              <w:rFonts w:cs="Arial"/>
              <w:szCs w:val="24"/>
              <w:lang w:val="es-ES" w:eastAsia="es-CO"/>
            </w:rPr>
          </w:pPr>
        </w:p>
        <w:p w14:paraId="40E60C85" w14:textId="535F7F0F" w:rsidR="000F4842" w:rsidRPr="000F4842" w:rsidRDefault="000F4842" w:rsidP="00CA7786">
          <w:pPr>
            <w:pStyle w:val="TDC1"/>
            <w:spacing w:before="0"/>
            <w:rPr>
              <w:rStyle w:val="Hipervnculo"/>
              <w:rFonts w:cs="Arial"/>
            </w:rPr>
          </w:pPr>
          <w:r w:rsidRPr="000F4842">
            <w:rPr>
              <w:rFonts w:cs="Arial"/>
            </w:rPr>
            <w:fldChar w:fldCharType="begin"/>
          </w:r>
          <w:r w:rsidRPr="000F4842">
            <w:rPr>
              <w:rFonts w:cs="Arial"/>
            </w:rPr>
            <w:instrText xml:space="preserve"> TOC \o "1-3" \h \z \u </w:instrText>
          </w:r>
          <w:r w:rsidRPr="000F4842">
            <w:rPr>
              <w:rFonts w:cs="Arial"/>
            </w:rPr>
            <w:fldChar w:fldCharType="separate"/>
          </w:r>
          <w:hyperlink w:anchor="_Toc144899063" w:history="1">
            <w:r w:rsidRPr="000F4842">
              <w:rPr>
                <w:rStyle w:val="Hipervnculo"/>
                <w:rFonts w:cs="Arial"/>
              </w:rPr>
              <w:t>1.</w:t>
            </w:r>
            <w:r w:rsidRPr="000F4842">
              <w:rPr>
                <w:rFonts w:eastAsiaTheme="minorEastAsia" w:cs="Arial"/>
                <w:kern w:val="2"/>
                <w:lang w:val="es-CO" w:eastAsia="es-CO"/>
                <w14:ligatures w14:val="standardContextual"/>
              </w:rPr>
              <w:tab/>
            </w:r>
            <w:r w:rsidRPr="000F4842">
              <w:rPr>
                <w:rStyle w:val="Hipervnculo"/>
                <w:rFonts w:cs="Arial"/>
              </w:rPr>
              <w:t>ANTECEDENTES</w:t>
            </w:r>
            <w:r w:rsidRPr="000F4842">
              <w:rPr>
                <w:rFonts w:cs="Arial"/>
                <w:webHidden/>
              </w:rPr>
              <w:tab/>
            </w:r>
            <w:r w:rsidRPr="000F4842">
              <w:rPr>
                <w:rFonts w:cs="Arial"/>
                <w:webHidden/>
              </w:rPr>
              <w:fldChar w:fldCharType="begin"/>
            </w:r>
            <w:r w:rsidRPr="000F4842">
              <w:rPr>
                <w:rFonts w:cs="Arial"/>
                <w:webHidden/>
              </w:rPr>
              <w:instrText xml:space="preserve"> PAGEREF _Toc144899063 \h </w:instrText>
            </w:r>
            <w:r w:rsidRPr="000F4842">
              <w:rPr>
                <w:rFonts w:cs="Arial"/>
                <w:webHidden/>
              </w:rPr>
            </w:r>
            <w:r w:rsidRPr="000F4842">
              <w:rPr>
                <w:rFonts w:cs="Arial"/>
                <w:webHidden/>
              </w:rPr>
              <w:fldChar w:fldCharType="separate"/>
            </w:r>
            <w:r w:rsidRPr="000F4842">
              <w:rPr>
                <w:rFonts w:cs="Arial"/>
                <w:webHidden/>
              </w:rPr>
              <w:t>3</w:t>
            </w:r>
            <w:r w:rsidRPr="000F4842">
              <w:rPr>
                <w:rFonts w:cs="Arial"/>
                <w:webHidden/>
              </w:rPr>
              <w:fldChar w:fldCharType="end"/>
            </w:r>
          </w:hyperlink>
        </w:p>
        <w:p w14:paraId="5BB97EBD" w14:textId="77777777" w:rsidR="000F4842" w:rsidRPr="000F4842" w:rsidRDefault="000F4842" w:rsidP="00CA7786">
          <w:pPr>
            <w:rPr>
              <w:rFonts w:eastAsiaTheme="minorEastAsia" w:cs="Arial"/>
              <w:szCs w:val="24"/>
              <w:lang w:val="es-ES"/>
            </w:rPr>
          </w:pPr>
        </w:p>
        <w:p w14:paraId="547B18FD" w14:textId="1EB54174" w:rsidR="000F4842" w:rsidRPr="000F4842" w:rsidRDefault="005C56C4" w:rsidP="00CA7786">
          <w:pPr>
            <w:pStyle w:val="TDC1"/>
            <w:spacing w:before="0"/>
            <w:rPr>
              <w:rStyle w:val="Hipervnculo"/>
              <w:rFonts w:cs="Arial"/>
            </w:rPr>
          </w:pPr>
          <w:hyperlink w:anchor="_Toc144899064" w:history="1">
            <w:r w:rsidR="000F4842" w:rsidRPr="000F4842">
              <w:rPr>
                <w:rStyle w:val="Hipervnculo"/>
                <w:rFonts w:cs="Arial"/>
              </w:rPr>
              <w:t>2.</w:t>
            </w:r>
            <w:r w:rsidR="000F4842" w:rsidRPr="000F4842">
              <w:rPr>
                <w:rFonts w:eastAsiaTheme="minorEastAsia" w:cs="Arial"/>
                <w:kern w:val="2"/>
                <w:lang w:val="es-CO" w:eastAsia="es-CO"/>
                <w14:ligatures w14:val="standardContextual"/>
              </w:rPr>
              <w:tab/>
            </w:r>
            <w:r w:rsidR="000F4842" w:rsidRPr="000F4842">
              <w:rPr>
                <w:rStyle w:val="Hipervnculo"/>
                <w:rFonts w:cs="Arial"/>
              </w:rPr>
              <w:t>FACULTADES DE LA CREG PARA ESTABLECER LAS MEDIDAS</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_Toc144899064 \h </w:instrText>
            </w:r>
            <w:r w:rsidR="000F4842" w:rsidRPr="000F4842">
              <w:rPr>
                <w:rFonts w:cs="Arial"/>
                <w:webHidden/>
              </w:rPr>
            </w:r>
            <w:r w:rsidR="000F4842" w:rsidRPr="000F4842">
              <w:rPr>
                <w:rFonts w:cs="Arial"/>
                <w:webHidden/>
              </w:rPr>
              <w:fldChar w:fldCharType="separate"/>
            </w:r>
            <w:r w:rsidR="000F4842" w:rsidRPr="000F4842">
              <w:rPr>
                <w:rFonts w:cs="Arial"/>
                <w:webHidden/>
              </w:rPr>
              <w:t>4</w:t>
            </w:r>
            <w:r w:rsidR="000F4842" w:rsidRPr="000F4842">
              <w:rPr>
                <w:rFonts w:cs="Arial"/>
                <w:webHidden/>
              </w:rPr>
              <w:fldChar w:fldCharType="end"/>
            </w:r>
          </w:hyperlink>
        </w:p>
        <w:p w14:paraId="10075600" w14:textId="77777777" w:rsidR="000F4842" w:rsidRPr="000F4842" w:rsidRDefault="000F4842" w:rsidP="00CA7786">
          <w:pPr>
            <w:rPr>
              <w:rFonts w:eastAsiaTheme="minorEastAsia" w:cs="Arial"/>
              <w:szCs w:val="24"/>
              <w:lang w:val="es-ES"/>
            </w:rPr>
          </w:pPr>
        </w:p>
        <w:p w14:paraId="117A977A" w14:textId="5A713A3A" w:rsidR="000F4842" w:rsidRPr="000F4842" w:rsidRDefault="005C56C4" w:rsidP="00CA7786">
          <w:pPr>
            <w:pStyle w:val="TDC1"/>
            <w:spacing w:before="0"/>
            <w:rPr>
              <w:rStyle w:val="Hipervnculo"/>
              <w:rFonts w:cs="Arial"/>
            </w:rPr>
          </w:pPr>
          <w:hyperlink w:anchor="_Toc144899065" w:history="1">
            <w:r w:rsidR="000F4842" w:rsidRPr="000F4842">
              <w:rPr>
                <w:rStyle w:val="Hipervnculo"/>
                <w:rFonts w:cs="Arial"/>
              </w:rPr>
              <w:t>3.</w:t>
            </w:r>
            <w:r w:rsidR="000F4842" w:rsidRPr="000F4842">
              <w:rPr>
                <w:rFonts w:eastAsiaTheme="minorEastAsia" w:cs="Arial"/>
                <w:kern w:val="2"/>
                <w:lang w:val="es-CO" w:eastAsia="es-CO"/>
                <w14:ligatures w14:val="standardContextual"/>
              </w:rPr>
              <w:tab/>
            </w:r>
            <w:r w:rsidR="000F4842" w:rsidRPr="000F4842">
              <w:rPr>
                <w:rStyle w:val="Hipervnculo"/>
                <w:rFonts w:cs="Arial"/>
              </w:rPr>
              <w:t>NECESIDAD REGULATORIA IDENTIFICADA</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_Toc144899065 \h </w:instrText>
            </w:r>
            <w:r w:rsidR="000F4842" w:rsidRPr="000F4842">
              <w:rPr>
                <w:rFonts w:cs="Arial"/>
                <w:webHidden/>
              </w:rPr>
            </w:r>
            <w:r w:rsidR="000F4842" w:rsidRPr="000F4842">
              <w:rPr>
                <w:rFonts w:cs="Arial"/>
                <w:webHidden/>
              </w:rPr>
              <w:fldChar w:fldCharType="separate"/>
            </w:r>
            <w:r w:rsidR="000F4842" w:rsidRPr="000F4842">
              <w:rPr>
                <w:rFonts w:cs="Arial"/>
                <w:webHidden/>
              </w:rPr>
              <w:t>5</w:t>
            </w:r>
            <w:r w:rsidR="000F4842" w:rsidRPr="000F4842">
              <w:rPr>
                <w:rFonts w:cs="Arial"/>
                <w:webHidden/>
              </w:rPr>
              <w:fldChar w:fldCharType="end"/>
            </w:r>
          </w:hyperlink>
        </w:p>
        <w:p w14:paraId="7CE79778" w14:textId="77777777" w:rsidR="000F4842" w:rsidRPr="000F4842" w:rsidRDefault="000F4842" w:rsidP="00CA7786">
          <w:pPr>
            <w:rPr>
              <w:rFonts w:eastAsiaTheme="minorEastAsia" w:cs="Arial"/>
              <w:szCs w:val="24"/>
              <w:lang w:val="es-ES"/>
            </w:rPr>
          </w:pPr>
        </w:p>
        <w:p w14:paraId="2711D693" w14:textId="122A9642" w:rsidR="000F4842" w:rsidRPr="000F4842" w:rsidRDefault="005C56C4" w:rsidP="00CA7786">
          <w:pPr>
            <w:pStyle w:val="TDC1"/>
            <w:spacing w:before="0"/>
            <w:rPr>
              <w:rStyle w:val="Hipervnculo"/>
              <w:rFonts w:cs="Arial"/>
            </w:rPr>
          </w:pPr>
          <w:hyperlink w:anchor="_Toc144899066" w:history="1">
            <w:r w:rsidR="000F4842" w:rsidRPr="000F4842">
              <w:rPr>
                <w:rStyle w:val="Hipervnculo"/>
                <w:rFonts w:cs="Arial"/>
              </w:rPr>
              <w:t>4.</w:t>
            </w:r>
            <w:r w:rsidR="000F4842" w:rsidRPr="000F4842">
              <w:rPr>
                <w:rFonts w:eastAsiaTheme="minorEastAsia" w:cs="Arial"/>
                <w:kern w:val="2"/>
                <w:lang w:val="es-CO" w:eastAsia="es-CO"/>
                <w14:ligatures w14:val="standardContextual"/>
              </w:rPr>
              <w:tab/>
            </w:r>
            <w:r w:rsidR="000F4842" w:rsidRPr="000F4842">
              <w:rPr>
                <w:rStyle w:val="Hipervnculo"/>
                <w:rFonts w:cs="Arial"/>
              </w:rPr>
              <w:t>FORMULACIÓN DE PROPUESTAS REGULATORIAS</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_Toc144899066 \h </w:instrText>
            </w:r>
            <w:r w:rsidR="000F4842" w:rsidRPr="000F4842">
              <w:rPr>
                <w:rFonts w:cs="Arial"/>
                <w:webHidden/>
              </w:rPr>
            </w:r>
            <w:r w:rsidR="000F4842" w:rsidRPr="000F4842">
              <w:rPr>
                <w:rFonts w:cs="Arial"/>
                <w:webHidden/>
              </w:rPr>
              <w:fldChar w:fldCharType="separate"/>
            </w:r>
            <w:r w:rsidR="000F4842" w:rsidRPr="000F4842">
              <w:rPr>
                <w:rFonts w:cs="Arial"/>
                <w:webHidden/>
              </w:rPr>
              <w:t>13</w:t>
            </w:r>
            <w:r w:rsidR="000F4842" w:rsidRPr="000F4842">
              <w:rPr>
                <w:rFonts w:cs="Arial"/>
                <w:webHidden/>
              </w:rPr>
              <w:fldChar w:fldCharType="end"/>
            </w:r>
          </w:hyperlink>
        </w:p>
        <w:p w14:paraId="448EDB64" w14:textId="77777777" w:rsidR="000F4842" w:rsidRPr="000F4842" w:rsidRDefault="000F4842" w:rsidP="00CA7786">
          <w:pPr>
            <w:rPr>
              <w:rFonts w:eastAsiaTheme="minorEastAsia" w:cs="Arial"/>
              <w:szCs w:val="24"/>
              <w:lang w:val="es-ES"/>
            </w:rPr>
          </w:pPr>
        </w:p>
        <w:p w14:paraId="7261822B" w14:textId="43D50319" w:rsidR="000F4842" w:rsidRPr="000F4842" w:rsidRDefault="005C56C4" w:rsidP="00CA7786">
          <w:pPr>
            <w:pStyle w:val="TDC2"/>
            <w:rPr>
              <w:rStyle w:val="Hipervnculo"/>
              <w:rFonts w:cs="Arial"/>
            </w:rPr>
          </w:pPr>
          <w:hyperlink w:anchor="_Toc144899067" w:history="1">
            <w:r w:rsidR="000F4842" w:rsidRPr="000F4842">
              <w:rPr>
                <w:rStyle w:val="Hipervnculo"/>
                <w:rFonts w:cs="Arial"/>
              </w:rPr>
              <w:t>4.1.</w:t>
            </w:r>
            <w:r w:rsidR="000F4842" w:rsidRPr="000F4842">
              <w:rPr>
                <w:rFonts w:eastAsiaTheme="minorEastAsia" w:cs="Arial"/>
                <w:kern w:val="2"/>
                <w:lang w:val="es-CO" w:eastAsia="es-CO"/>
                <w14:ligatures w14:val="standardContextual"/>
              </w:rPr>
              <w:tab/>
            </w:r>
            <w:r w:rsidR="000F4842" w:rsidRPr="000F4842">
              <w:rPr>
                <w:rStyle w:val="Hipervnculo"/>
                <w:rFonts w:cs="Arial"/>
              </w:rPr>
              <w:t>Reducción de los tiempos de ejecución de las convocatorias públicas reglamentadas mediante Resolución CREG 130 de 2019</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_Toc144899067 \h </w:instrText>
            </w:r>
            <w:r w:rsidR="000F4842" w:rsidRPr="000F4842">
              <w:rPr>
                <w:rFonts w:cs="Arial"/>
                <w:webHidden/>
              </w:rPr>
            </w:r>
            <w:r w:rsidR="000F4842" w:rsidRPr="000F4842">
              <w:rPr>
                <w:rFonts w:cs="Arial"/>
                <w:webHidden/>
              </w:rPr>
              <w:fldChar w:fldCharType="separate"/>
            </w:r>
            <w:r w:rsidR="000F4842" w:rsidRPr="000F4842">
              <w:rPr>
                <w:rFonts w:cs="Arial"/>
                <w:webHidden/>
              </w:rPr>
              <w:t>14</w:t>
            </w:r>
            <w:r w:rsidR="000F4842" w:rsidRPr="000F4842">
              <w:rPr>
                <w:rFonts w:cs="Arial"/>
                <w:webHidden/>
              </w:rPr>
              <w:fldChar w:fldCharType="end"/>
            </w:r>
          </w:hyperlink>
        </w:p>
        <w:p w14:paraId="45A4E19D" w14:textId="77777777" w:rsidR="000F4842" w:rsidRPr="000F4842" w:rsidRDefault="000F4842" w:rsidP="00CA7786">
          <w:pPr>
            <w:rPr>
              <w:rFonts w:eastAsiaTheme="minorEastAsia" w:cs="Arial"/>
              <w:szCs w:val="24"/>
              <w:lang w:val="es-ES"/>
            </w:rPr>
          </w:pPr>
        </w:p>
        <w:p w14:paraId="21CB9160" w14:textId="19D8BA9D" w:rsidR="000F4842" w:rsidRPr="000F4842" w:rsidRDefault="005C56C4" w:rsidP="00CA7786">
          <w:pPr>
            <w:pStyle w:val="TDC2"/>
            <w:rPr>
              <w:rStyle w:val="Hipervnculo"/>
              <w:rFonts w:cs="Arial"/>
            </w:rPr>
          </w:pPr>
          <w:hyperlink w:anchor="_Toc144899068" w:history="1">
            <w:r w:rsidR="000F4842" w:rsidRPr="000F4842">
              <w:rPr>
                <w:rStyle w:val="Hipervnculo"/>
                <w:rFonts w:cs="Arial"/>
              </w:rPr>
              <w:t>4.2.</w:t>
            </w:r>
            <w:r w:rsidR="000F4842" w:rsidRPr="000F4842">
              <w:rPr>
                <w:rFonts w:eastAsiaTheme="minorEastAsia" w:cs="Arial"/>
                <w:kern w:val="2"/>
                <w:lang w:val="es-CO" w:eastAsia="es-CO"/>
                <w14:ligatures w14:val="standardContextual"/>
              </w:rPr>
              <w:tab/>
            </w:r>
            <w:r w:rsidR="000F4842" w:rsidRPr="000F4842">
              <w:rPr>
                <w:rStyle w:val="Hipervnculo"/>
                <w:rFonts w:cs="Arial"/>
              </w:rPr>
              <w:t>Flexibilización transitoria de contratos suscritos en el marco de convocatorias públicas</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_Toc144899068 \h </w:instrText>
            </w:r>
            <w:r w:rsidR="000F4842" w:rsidRPr="000F4842">
              <w:rPr>
                <w:rFonts w:cs="Arial"/>
                <w:webHidden/>
              </w:rPr>
            </w:r>
            <w:r w:rsidR="000F4842" w:rsidRPr="000F4842">
              <w:rPr>
                <w:rFonts w:cs="Arial"/>
                <w:webHidden/>
              </w:rPr>
              <w:fldChar w:fldCharType="separate"/>
            </w:r>
            <w:r w:rsidR="000F4842" w:rsidRPr="000F4842">
              <w:rPr>
                <w:rFonts w:cs="Arial"/>
                <w:webHidden/>
              </w:rPr>
              <w:t>15</w:t>
            </w:r>
            <w:r w:rsidR="000F4842" w:rsidRPr="000F4842">
              <w:rPr>
                <w:rFonts w:cs="Arial"/>
                <w:webHidden/>
              </w:rPr>
              <w:fldChar w:fldCharType="end"/>
            </w:r>
          </w:hyperlink>
        </w:p>
        <w:p w14:paraId="2584888F" w14:textId="77777777" w:rsidR="000F4842" w:rsidRPr="000F4842" w:rsidRDefault="000F4842" w:rsidP="00CA7786">
          <w:pPr>
            <w:rPr>
              <w:rFonts w:eastAsiaTheme="minorEastAsia" w:cs="Arial"/>
              <w:szCs w:val="24"/>
              <w:lang w:val="es-ES"/>
            </w:rPr>
          </w:pPr>
        </w:p>
        <w:p w14:paraId="1994DD21" w14:textId="31A3D0E0" w:rsidR="000F4842" w:rsidRPr="000F4842" w:rsidRDefault="005C56C4" w:rsidP="00CA7786">
          <w:pPr>
            <w:pStyle w:val="TDC2"/>
            <w:rPr>
              <w:rStyle w:val="Hipervnculo"/>
              <w:rFonts w:cs="Arial"/>
            </w:rPr>
          </w:pPr>
          <w:hyperlink w:anchor="_Toc144899069" w:history="1">
            <w:r w:rsidR="000F4842" w:rsidRPr="000F4842">
              <w:rPr>
                <w:rStyle w:val="Hipervnculo"/>
                <w:rFonts w:cs="Arial"/>
              </w:rPr>
              <w:t>4.3.</w:t>
            </w:r>
            <w:r w:rsidR="000F4842" w:rsidRPr="000F4842">
              <w:rPr>
                <w:rFonts w:eastAsiaTheme="minorEastAsia" w:cs="Arial"/>
                <w:kern w:val="2"/>
                <w:lang w:val="es-CO" w:eastAsia="es-CO"/>
                <w14:ligatures w14:val="standardContextual"/>
              </w:rPr>
              <w:tab/>
            </w:r>
            <w:r w:rsidR="000F4842" w:rsidRPr="000F4842">
              <w:rPr>
                <w:rStyle w:val="Hipervnculo"/>
                <w:rFonts w:eastAsiaTheme="majorEastAsia" w:cs="Arial"/>
              </w:rPr>
              <w:t>Flexibilización de la senda de compras propias</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_Toc144899069 \h </w:instrText>
            </w:r>
            <w:r w:rsidR="000F4842" w:rsidRPr="000F4842">
              <w:rPr>
                <w:rFonts w:cs="Arial"/>
                <w:webHidden/>
              </w:rPr>
            </w:r>
            <w:r w:rsidR="000F4842" w:rsidRPr="000F4842">
              <w:rPr>
                <w:rFonts w:cs="Arial"/>
                <w:webHidden/>
              </w:rPr>
              <w:fldChar w:fldCharType="separate"/>
            </w:r>
            <w:r w:rsidR="000F4842" w:rsidRPr="000F4842">
              <w:rPr>
                <w:rFonts w:cs="Arial"/>
                <w:webHidden/>
              </w:rPr>
              <w:t>17</w:t>
            </w:r>
            <w:r w:rsidR="000F4842" w:rsidRPr="000F4842">
              <w:rPr>
                <w:rFonts w:cs="Arial"/>
                <w:webHidden/>
              </w:rPr>
              <w:fldChar w:fldCharType="end"/>
            </w:r>
          </w:hyperlink>
        </w:p>
        <w:p w14:paraId="39212BDB" w14:textId="77777777" w:rsidR="000F4842" w:rsidRPr="000F4842" w:rsidRDefault="000F4842" w:rsidP="00CA7786">
          <w:pPr>
            <w:rPr>
              <w:rFonts w:eastAsiaTheme="minorEastAsia" w:cs="Arial"/>
              <w:szCs w:val="24"/>
              <w:lang w:val="es-ES"/>
            </w:rPr>
          </w:pPr>
        </w:p>
        <w:p w14:paraId="7EF3F8E0" w14:textId="3EAB37A6" w:rsidR="000F4842" w:rsidRPr="000F4842" w:rsidRDefault="005C56C4" w:rsidP="00CA7786">
          <w:pPr>
            <w:pStyle w:val="TDC2"/>
            <w:rPr>
              <w:rStyle w:val="Hipervnculo"/>
              <w:rFonts w:cs="Arial"/>
            </w:rPr>
          </w:pPr>
          <w:hyperlink w:anchor="_Toc144899070" w:history="1">
            <w:r w:rsidR="000F4842" w:rsidRPr="000F4842">
              <w:rPr>
                <w:rStyle w:val="Hipervnculo"/>
                <w:rFonts w:cs="Arial"/>
              </w:rPr>
              <w:t>4.4.</w:t>
            </w:r>
            <w:r w:rsidR="000F4842" w:rsidRPr="000F4842">
              <w:rPr>
                <w:rFonts w:eastAsiaTheme="minorEastAsia" w:cs="Arial"/>
                <w:kern w:val="2"/>
                <w:lang w:val="es-CO" w:eastAsia="es-CO"/>
                <w14:ligatures w14:val="standardContextual"/>
              </w:rPr>
              <w:tab/>
            </w:r>
            <w:r w:rsidR="000F4842" w:rsidRPr="000F4842">
              <w:rPr>
                <w:rStyle w:val="Hipervnculo"/>
                <w:rFonts w:cs="Arial"/>
              </w:rPr>
              <w:t>Temporalidad de las medidas de flexibilización regulatoria, duración máxima de los contratos resultantes de su aplicación y exclusión en el cálculo del Mc</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_Toc144899070 \h </w:instrText>
            </w:r>
            <w:r w:rsidR="000F4842" w:rsidRPr="000F4842">
              <w:rPr>
                <w:rFonts w:cs="Arial"/>
                <w:webHidden/>
              </w:rPr>
            </w:r>
            <w:r w:rsidR="000F4842" w:rsidRPr="000F4842">
              <w:rPr>
                <w:rFonts w:cs="Arial"/>
                <w:webHidden/>
              </w:rPr>
              <w:fldChar w:fldCharType="separate"/>
            </w:r>
            <w:r w:rsidR="000F4842" w:rsidRPr="000F4842">
              <w:rPr>
                <w:rFonts w:cs="Arial"/>
                <w:webHidden/>
              </w:rPr>
              <w:t>18</w:t>
            </w:r>
            <w:r w:rsidR="000F4842" w:rsidRPr="000F4842">
              <w:rPr>
                <w:rFonts w:cs="Arial"/>
                <w:webHidden/>
              </w:rPr>
              <w:fldChar w:fldCharType="end"/>
            </w:r>
          </w:hyperlink>
        </w:p>
        <w:p w14:paraId="2C687BE3" w14:textId="77777777" w:rsidR="000F4842" w:rsidRPr="000F4842" w:rsidRDefault="000F4842" w:rsidP="00CA7786">
          <w:pPr>
            <w:rPr>
              <w:rFonts w:eastAsiaTheme="minorEastAsia" w:cs="Arial"/>
              <w:szCs w:val="24"/>
              <w:lang w:val="es-ES"/>
            </w:rPr>
          </w:pPr>
        </w:p>
        <w:p w14:paraId="709FAAEC" w14:textId="6349A39A" w:rsidR="000F4842" w:rsidRPr="000F4842" w:rsidRDefault="005C56C4" w:rsidP="00CA7786">
          <w:pPr>
            <w:pStyle w:val="TDC2"/>
            <w:rPr>
              <w:rStyle w:val="Hipervnculo"/>
              <w:rFonts w:cs="Arial"/>
            </w:rPr>
          </w:pPr>
          <w:hyperlink w:anchor="_Toc144899071" w:history="1">
            <w:r w:rsidR="000F4842" w:rsidRPr="000F4842">
              <w:rPr>
                <w:rStyle w:val="Hipervnculo"/>
                <w:rFonts w:cs="Arial"/>
              </w:rPr>
              <w:t>4.5.</w:t>
            </w:r>
            <w:r w:rsidR="000F4842" w:rsidRPr="000F4842">
              <w:rPr>
                <w:rFonts w:eastAsiaTheme="minorEastAsia" w:cs="Arial"/>
                <w:kern w:val="2"/>
                <w:lang w:val="es-CO" w:eastAsia="es-CO"/>
                <w14:ligatures w14:val="standardContextual"/>
              </w:rPr>
              <w:tab/>
            </w:r>
            <w:r w:rsidR="000F4842" w:rsidRPr="000F4842">
              <w:rPr>
                <w:rStyle w:val="Hipervnculo"/>
                <w:rFonts w:cs="Arial"/>
              </w:rPr>
              <w:t>Participación vinculante de los generadores en convocatorias públicas</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_Toc144899071 \h </w:instrText>
            </w:r>
            <w:r w:rsidR="000F4842" w:rsidRPr="000F4842">
              <w:rPr>
                <w:rFonts w:cs="Arial"/>
                <w:webHidden/>
              </w:rPr>
            </w:r>
            <w:r w:rsidR="000F4842" w:rsidRPr="000F4842">
              <w:rPr>
                <w:rFonts w:cs="Arial"/>
                <w:webHidden/>
              </w:rPr>
              <w:fldChar w:fldCharType="separate"/>
            </w:r>
            <w:r w:rsidR="000F4842" w:rsidRPr="000F4842">
              <w:rPr>
                <w:rFonts w:cs="Arial"/>
                <w:webHidden/>
              </w:rPr>
              <w:t>18</w:t>
            </w:r>
            <w:r w:rsidR="000F4842" w:rsidRPr="000F4842">
              <w:rPr>
                <w:rFonts w:cs="Arial"/>
                <w:webHidden/>
              </w:rPr>
              <w:fldChar w:fldCharType="end"/>
            </w:r>
          </w:hyperlink>
        </w:p>
        <w:p w14:paraId="3627184B" w14:textId="77777777" w:rsidR="000F4842" w:rsidRPr="000F4842" w:rsidRDefault="000F4842" w:rsidP="00CA7786">
          <w:pPr>
            <w:rPr>
              <w:rFonts w:eastAsiaTheme="minorEastAsia" w:cs="Arial"/>
              <w:szCs w:val="24"/>
              <w:lang w:val="es-ES"/>
            </w:rPr>
          </w:pPr>
        </w:p>
        <w:p w14:paraId="386D222F" w14:textId="04A3C91A" w:rsidR="000F4842" w:rsidRPr="000F4842" w:rsidRDefault="005C56C4" w:rsidP="00CA7786">
          <w:pPr>
            <w:pStyle w:val="TDC1"/>
            <w:spacing w:before="0"/>
            <w:rPr>
              <w:rFonts w:eastAsiaTheme="minorEastAsia" w:cs="Arial"/>
              <w:kern w:val="2"/>
              <w:lang w:val="es-CO" w:eastAsia="es-CO"/>
              <w14:ligatures w14:val="standardContextual"/>
            </w:rPr>
          </w:pPr>
          <w:hyperlink w:anchor="_Toc144899072" w:history="1">
            <w:r w:rsidR="000F4842" w:rsidRPr="000F4842">
              <w:rPr>
                <w:rStyle w:val="Hipervnculo"/>
                <w:rFonts w:cs="Arial"/>
              </w:rPr>
              <w:t>5.</w:t>
            </w:r>
            <w:r w:rsidR="000F4842" w:rsidRPr="000F4842">
              <w:rPr>
                <w:rFonts w:eastAsiaTheme="minorEastAsia" w:cs="Arial"/>
                <w:kern w:val="2"/>
                <w:lang w:val="es-CO" w:eastAsia="es-CO"/>
                <w14:ligatures w14:val="standardContextual"/>
              </w:rPr>
              <w:tab/>
            </w:r>
            <w:r w:rsidR="000F4842" w:rsidRPr="000F4842">
              <w:rPr>
                <w:rStyle w:val="Hipervnculo"/>
                <w:rFonts w:cs="Arial"/>
              </w:rPr>
              <w:t>CONSULTA PÚBLICA</w:t>
            </w:r>
            <w:r w:rsidR="000F4842" w:rsidRPr="000F4842">
              <w:rPr>
                <w:rFonts w:cs="Arial"/>
                <w:webHidden/>
              </w:rPr>
              <w:tab/>
            </w:r>
            <w:r w:rsidR="000F4842" w:rsidRPr="000F4842">
              <w:rPr>
                <w:rFonts w:cs="Arial"/>
                <w:webHidden/>
              </w:rPr>
              <w:fldChar w:fldCharType="begin"/>
            </w:r>
            <w:r w:rsidR="000F4842" w:rsidRPr="000F4842">
              <w:rPr>
                <w:rFonts w:cs="Arial"/>
                <w:webHidden/>
              </w:rPr>
              <w:instrText xml:space="preserve"> PAGEREF _Toc144899072 \h </w:instrText>
            </w:r>
            <w:r w:rsidR="000F4842" w:rsidRPr="000F4842">
              <w:rPr>
                <w:rFonts w:cs="Arial"/>
                <w:webHidden/>
              </w:rPr>
            </w:r>
            <w:r w:rsidR="000F4842" w:rsidRPr="000F4842">
              <w:rPr>
                <w:rFonts w:cs="Arial"/>
                <w:webHidden/>
              </w:rPr>
              <w:fldChar w:fldCharType="separate"/>
            </w:r>
            <w:r w:rsidR="000F4842" w:rsidRPr="000F4842">
              <w:rPr>
                <w:rFonts w:cs="Arial"/>
                <w:webHidden/>
              </w:rPr>
              <w:t>19</w:t>
            </w:r>
            <w:r w:rsidR="000F4842" w:rsidRPr="000F4842">
              <w:rPr>
                <w:rFonts w:cs="Arial"/>
                <w:webHidden/>
              </w:rPr>
              <w:fldChar w:fldCharType="end"/>
            </w:r>
          </w:hyperlink>
        </w:p>
        <w:p w14:paraId="6B60EBDD" w14:textId="1A66AD0F" w:rsidR="000F4842" w:rsidRDefault="000F4842" w:rsidP="00CA7786">
          <w:r w:rsidRPr="000F4842">
            <w:rPr>
              <w:rFonts w:cs="Arial"/>
              <w:b/>
              <w:bCs/>
              <w:szCs w:val="24"/>
              <w:lang w:val="es-ES"/>
            </w:rPr>
            <w:fldChar w:fldCharType="end"/>
          </w:r>
        </w:p>
      </w:sdtContent>
    </w:sdt>
    <w:p w14:paraId="3066EA7D" w14:textId="77777777" w:rsidR="00853575" w:rsidRDefault="00853575" w:rsidP="00CA7786">
      <w:pPr>
        <w:jc w:val="left"/>
        <w:rPr>
          <w:rFonts w:cs="Arial"/>
        </w:rPr>
      </w:pPr>
    </w:p>
    <w:p w14:paraId="0245C11C" w14:textId="77777777" w:rsidR="00CA7786" w:rsidRDefault="00CA7786" w:rsidP="00CA7786">
      <w:pPr>
        <w:jc w:val="left"/>
        <w:rPr>
          <w:rFonts w:cs="Arial"/>
        </w:rPr>
      </w:pPr>
    </w:p>
    <w:p w14:paraId="4FA73901" w14:textId="77777777" w:rsidR="00CA7786" w:rsidRDefault="00CA7786" w:rsidP="00CA7786">
      <w:pPr>
        <w:pStyle w:val="TtuloTDC"/>
        <w:spacing w:before="0" w:line="240" w:lineRule="auto"/>
        <w:rPr>
          <w:rFonts w:ascii="Arial" w:hAnsi="Arial" w:cs="Arial"/>
          <w:b/>
          <w:bCs/>
          <w:color w:val="auto"/>
          <w:sz w:val="24"/>
          <w:szCs w:val="24"/>
          <w:lang w:val="es-ES"/>
        </w:rPr>
      </w:pPr>
      <w:r w:rsidRPr="003349F0">
        <w:rPr>
          <w:rFonts w:ascii="Arial" w:hAnsi="Arial" w:cs="Arial"/>
          <w:b/>
          <w:bCs/>
          <w:color w:val="auto"/>
          <w:sz w:val="24"/>
          <w:szCs w:val="24"/>
          <w:lang w:val="es-ES"/>
        </w:rPr>
        <w:t>CONTENIDO</w:t>
      </w:r>
    </w:p>
    <w:p w14:paraId="44447118" w14:textId="77777777" w:rsidR="00853575" w:rsidRDefault="00853575" w:rsidP="00CA7786">
      <w:pPr>
        <w:jc w:val="left"/>
        <w:rPr>
          <w:noProof/>
        </w:rPr>
      </w:pPr>
    </w:p>
    <w:p w14:paraId="10B36CE7" w14:textId="77777777"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28" w:history="1">
        <w:r w:rsidR="00853575" w:rsidRPr="00853575">
          <w:rPr>
            <w:rStyle w:val="Hipervnculo"/>
            <w:color w:val="auto"/>
          </w:rPr>
          <w:t xml:space="preserve">Gráfica 1. </w:t>
        </w:r>
        <w:r w:rsidR="00853575" w:rsidRPr="00853575">
          <w:rPr>
            <w:rStyle w:val="Hipervnculo"/>
            <w:rFonts w:cs="Arial"/>
            <w:color w:val="auto"/>
          </w:rPr>
          <w:t xml:space="preserve">Exposición </w:t>
        </w:r>
        <w:r w:rsidR="00853575" w:rsidRPr="00853575">
          <w:rPr>
            <w:rStyle w:val="Hipervnculo"/>
            <w:rFonts w:cs="Arial"/>
            <w:color w:val="auto"/>
            <w:lang w:val="es-CO"/>
          </w:rPr>
          <w:t>a bolsa para atender demanda regulada</w:t>
        </w:r>
        <w:r w:rsidR="00853575" w:rsidRPr="00853575">
          <w:rPr>
            <w:webHidden/>
          </w:rPr>
          <w:tab/>
        </w:r>
        <w:r w:rsidR="00853575" w:rsidRPr="00853575">
          <w:rPr>
            <w:webHidden/>
          </w:rPr>
          <w:fldChar w:fldCharType="begin"/>
        </w:r>
        <w:r w:rsidR="00853575" w:rsidRPr="00853575">
          <w:rPr>
            <w:webHidden/>
          </w:rPr>
          <w:instrText xml:space="preserve"> PAGEREF _Toc144900328 \h </w:instrText>
        </w:r>
        <w:r w:rsidR="00853575" w:rsidRPr="00853575">
          <w:rPr>
            <w:webHidden/>
          </w:rPr>
        </w:r>
        <w:r w:rsidR="00853575" w:rsidRPr="00853575">
          <w:rPr>
            <w:webHidden/>
          </w:rPr>
          <w:fldChar w:fldCharType="separate"/>
        </w:r>
        <w:r w:rsidR="00853575" w:rsidRPr="00853575">
          <w:rPr>
            <w:webHidden/>
          </w:rPr>
          <w:t>6</w:t>
        </w:r>
        <w:r w:rsidR="00853575" w:rsidRPr="00853575">
          <w:rPr>
            <w:webHidden/>
          </w:rPr>
          <w:fldChar w:fldCharType="end"/>
        </w:r>
      </w:hyperlink>
    </w:p>
    <w:p w14:paraId="3FFC8A00" w14:textId="77777777" w:rsidR="00A907C6" w:rsidRDefault="00A907C6" w:rsidP="00CA7786">
      <w:pPr>
        <w:pStyle w:val="Tabladeilustraciones"/>
        <w:jc w:val="left"/>
        <w:rPr>
          <w:rStyle w:val="Hipervnculo"/>
          <w:color w:val="auto"/>
        </w:rPr>
      </w:pPr>
    </w:p>
    <w:p w14:paraId="4E65A2D3" w14:textId="788FCEC6"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29" w:history="1">
        <w:r w:rsidR="00853575" w:rsidRPr="00853575">
          <w:rPr>
            <w:rStyle w:val="Hipervnculo"/>
            <w:color w:val="auto"/>
          </w:rPr>
          <w:t xml:space="preserve">Gráfica 2. </w:t>
        </w:r>
        <w:r w:rsidR="00853575" w:rsidRPr="00853575">
          <w:rPr>
            <w:rStyle w:val="Hipervnculo"/>
            <w:rFonts w:cs="Arial"/>
            <w:color w:val="auto"/>
          </w:rPr>
          <w:t xml:space="preserve">Exposición </w:t>
        </w:r>
        <w:r w:rsidR="00853575" w:rsidRPr="00853575">
          <w:rPr>
            <w:rStyle w:val="Hipervnculo"/>
            <w:rFonts w:cs="Arial"/>
            <w:color w:val="auto"/>
            <w:lang w:val="es-CO"/>
          </w:rPr>
          <w:t>a bolsa para atender demanda no regulada</w:t>
        </w:r>
        <w:r w:rsidR="00853575" w:rsidRPr="00853575">
          <w:rPr>
            <w:webHidden/>
          </w:rPr>
          <w:tab/>
        </w:r>
        <w:r w:rsidR="00853575" w:rsidRPr="00853575">
          <w:rPr>
            <w:webHidden/>
          </w:rPr>
          <w:fldChar w:fldCharType="begin"/>
        </w:r>
        <w:r w:rsidR="00853575" w:rsidRPr="00853575">
          <w:rPr>
            <w:webHidden/>
          </w:rPr>
          <w:instrText xml:space="preserve"> PAGEREF _Toc144900329 \h </w:instrText>
        </w:r>
        <w:r w:rsidR="00853575" w:rsidRPr="00853575">
          <w:rPr>
            <w:webHidden/>
          </w:rPr>
        </w:r>
        <w:r w:rsidR="00853575" w:rsidRPr="00853575">
          <w:rPr>
            <w:webHidden/>
          </w:rPr>
          <w:fldChar w:fldCharType="separate"/>
        </w:r>
        <w:r w:rsidR="00853575" w:rsidRPr="00853575">
          <w:rPr>
            <w:webHidden/>
          </w:rPr>
          <w:t>6</w:t>
        </w:r>
        <w:r w:rsidR="00853575" w:rsidRPr="00853575">
          <w:rPr>
            <w:webHidden/>
          </w:rPr>
          <w:fldChar w:fldCharType="end"/>
        </w:r>
      </w:hyperlink>
    </w:p>
    <w:p w14:paraId="7B694216" w14:textId="77777777" w:rsidR="00A907C6" w:rsidRDefault="00A907C6" w:rsidP="00CA7786">
      <w:pPr>
        <w:pStyle w:val="Tabladeilustraciones"/>
        <w:jc w:val="left"/>
        <w:rPr>
          <w:rStyle w:val="Hipervnculo"/>
          <w:color w:val="auto"/>
        </w:rPr>
      </w:pPr>
    </w:p>
    <w:p w14:paraId="2C244861" w14:textId="5646F671"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30" w:history="1">
        <w:r w:rsidR="00853575" w:rsidRPr="00853575">
          <w:rPr>
            <w:rStyle w:val="Hipervnculo"/>
            <w:color w:val="auto"/>
          </w:rPr>
          <w:t xml:space="preserve">Gráfica 3. </w:t>
        </w:r>
        <w:r w:rsidR="00853575" w:rsidRPr="00853575">
          <w:rPr>
            <w:rStyle w:val="Hipervnculo"/>
            <w:rFonts w:cs="Arial"/>
            <w:color w:val="auto"/>
          </w:rPr>
          <w:t>Promedio de ofertas recibidas y adjudicadas por año</w:t>
        </w:r>
        <w:r w:rsidR="00853575" w:rsidRPr="00853575">
          <w:rPr>
            <w:webHidden/>
          </w:rPr>
          <w:tab/>
        </w:r>
        <w:r w:rsidR="00853575" w:rsidRPr="00853575">
          <w:rPr>
            <w:webHidden/>
          </w:rPr>
          <w:fldChar w:fldCharType="begin"/>
        </w:r>
        <w:r w:rsidR="00853575" w:rsidRPr="00853575">
          <w:rPr>
            <w:webHidden/>
          </w:rPr>
          <w:instrText xml:space="preserve"> PAGEREF _Toc144900330 \h </w:instrText>
        </w:r>
        <w:r w:rsidR="00853575" w:rsidRPr="00853575">
          <w:rPr>
            <w:webHidden/>
          </w:rPr>
        </w:r>
        <w:r w:rsidR="00853575" w:rsidRPr="00853575">
          <w:rPr>
            <w:webHidden/>
          </w:rPr>
          <w:fldChar w:fldCharType="separate"/>
        </w:r>
        <w:r w:rsidR="00853575" w:rsidRPr="00853575">
          <w:rPr>
            <w:webHidden/>
          </w:rPr>
          <w:t>8</w:t>
        </w:r>
        <w:r w:rsidR="00853575" w:rsidRPr="00853575">
          <w:rPr>
            <w:webHidden/>
          </w:rPr>
          <w:fldChar w:fldCharType="end"/>
        </w:r>
      </w:hyperlink>
    </w:p>
    <w:p w14:paraId="330E9047" w14:textId="77777777" w:rsidR="00A907C6" w:rsidRDefault="00A907C6" w:rsidP="00CA7786">
      <w:pPr>
        <w:pStyle w:val="Tabladeilustraciones"/>
        <w:jc w:val="left"/>
        <w:rPr>
          <w:rStyle w:val="Hipervnculo"/>
          <w:color w:val="auto"/>
        </w:rPr>
      </w:pPr>
    </w:p>
    <w:p w14:paraId="06F96EE8" w14:textId="10193B8F"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31" w:history="1">
        <w:r w:rsidR="00853575" w:rsidRPr="00853575">
          <w:rPr>
            <w:rStyle w:val="Hipervnculo"/>
            <w:color w:val="auto"/>
          </w:rPr>
          <w:t xml:space="preserve">Gráfica 4. </w:t>
        </w:r>
        <w:r w:rsidR="00853575" w:rsidRPr="00853575">
          <w:rPr>
            <w:rStyle w:val="Hipervnculo"/>
            <w:rFonts w:cs="Arial"/>
            <w:color w:val="auto"/>
          </w:rPr>
          <w:t>Porcentaje promedio de energía demandada y energía adjudicada</w:t>
        </w:r>
        <w:r w:rsidR="00853575" w:rsidRPr="00853575">
          <w:rPr>
            <w:webHidden/>
          </w:rPr>
          <w:tab/>
        </w:r>
        <w:r w:rsidR="00853575" w:rsidRPr="00853575">
          <w:rPr>
            <w:webHidden/>
          </w:rPr>
          <w:fldChar w:fldCharType="begin"/>
        </w:r>
        <w:r w:rsidR="00853575" w:rsidRPr="00853575">
          <w:rPr>
            <w:webHidden/>
          </w:rPr>
          <w:instrText xml:space="preserve"> PAGEREF _Toc144900331 \h </w:instrText>
        </w:r>
        <w:r w:rsidR="00853575" w:rsidRPr="00853575">
          <w:rPr>
            <w:webHidden/>
          </w:rPr>
        </w:r>
        <w:r w:rsidR="00853575" w:rsidRPr="00853575">
          <w:rPr>
            <w:webHidden/>
          </w:rPr>
          <w:fldChar w:fldCharType="separate"/>
        </w:r>
        <w:r w:rsidR="00853575" w:rsidRPr="00853575">
          <w:rPr>
            <w:webHidden/>
          </w:rPr>
          <w:t>8</w:t>
        </w:r>
        <w:r w:rsidR="00853575" w:rsidRPr="00853575">
          <w:rPr>
            <w:webHidden/>
          </w:rPr>
          <w:fldChar w:fldCharType="end"/>
        </w:r>
      </w:hyperlink>
    </w:p>
    <w:p w14:paraId="32AA97AD" w14:textId="77777777" w:rsidR="00A907C6" w:rsidRDefault="00A907C6" w:rsidP="00CA7786">
      <w:pPr>
        <w:pStyle w:val="Tabladeilustraciones"/>
        <w:jc w:val="left"/>
        <w:rPr>
          <w:rStyle w:val="Hipervnculo"/>
          <w:color w:val="auto"/>
        </w:rPr>
      </w:pPr>
    </w:p>
    <w:p w14:paraId="2A208091" w14:textId="50C1B787"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32" w:history="1">
        <w:r w:rsidR="00853575" w:rsidRPr="00853575">
          <w:rPr>
            <w:rStyle w:val="Hipervnculo"/>
            <w:color w:val="auto"/>
          </w:rPr>
          <w:t xml:space="preserve">Gráfica 5. </w:t>
        </w:r>
        <w:r w:rsidR="00853575" w:rsidRPr="00853575">
          <w:rPr>
            <w:rStyle w:val="Hipervnculo"/>
            <w:rFonts w:cs="Arial"/>
            <w:color w:val="auto"/>
          </w:rPr>
          <w:t>Estado de convocatorias por duración de los contratos</w:t>
        </w:r>
        <w:r w:rsidR="00853575" w:rsidRPr="00853575">
          <w:rPr>
            <w:webHidden/>
          </w:rPr>
          <w:tab/>
        </w:r>
        <w:r w:rsidR="00853575" w:rsidRPr="00853575">
          <w:rPr>
            <w:webHidden/>
          </w:rPr>
          <w:fldChar w:fldCharType="begin"/>
        </w:r>
        <w:r w:rsidR="00853575" w:rsidRPr="00853575">
          <w:rPr>
            <w:webHidden/>
          </w:rPr>
          <w:instrText xml:space="preserve"> PAGEREF _Toc144900332 \h </w:instrText>
        </w:r>
        <w:r w:rsidR="00853575" w:rsidRPr="00853575">
          <w:rPr>
            <w:webHidden/>
          </w:rPr>
        </w:r>
        <w:r w:rsidR="00853575" w:rsidRPr="00853575">
          <w:rPr>
            <w:webHidden/>
          </w:rPr>
          <w:fldChar w:fldCharType="separate"/>
        </w:r>
        <w:r w:rsidR="00853575" w:rsidRPr="00853575">
          <w:rPr>
            <w:webHidden/>
          </w:rPr>
          <w:t>8</w:t>
        </w:r>
        <w:r w:rsidR="00853575" w:rsidRPr="00853575">
          <w:rPr>
            <w:webHidden/>
          </w:rPr>
          <w:fldChar w:fldCharType="end"/>
        </w:r>
      </w:hyperlink>
    </w:p>
    <w:p w14:paraId="1A3263F3" w14:textId="77777777" w:rsidR="00A907C6" w:rsidRDefault="00A907C6" w:rsidP="00CA7786">
      <w:pPr>
        <w:pStyle w:val="Tabladeilustraciones"/>
        <w:jc w:val="left"/>
        <w:rPr>
          <w:rStyle w:val="Hipervnculo"/>
          <w:color w:val="auto"/>
        </w:rPr>
      </w:pPr>
    </w:p>
    <w:p w14:paraId="3BF0FCB0" w14:textId="55899553"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33" w:history="1">
        <w:r w:rsidR="00853575" w:rsidRPr="00853575">
          <w:rPr>
            <w:rStyle w:val="Hipervnculo"/>
            <w:color w:val="auto"/>
          </w:rPr>
          <w:t xml:space="preserve">Gráfica 6. </w:t>
        </w:r>
        <w:r w:rsidR="00853575" w:rsidRPr="00853575">
          <w:rPr>
            <w:rStyle w:val="Hipervnculo"/>
            <w:rFonts w:cs="Arial"/>
            <w:color w:val="auto"/>
          </w:rPr>
          <w:t>Estado de convocatorias por duración de los contratos</w:t>
        </w:r>
        <w:r w:rsidR="00853575" w:rsidRPr="00853575">
          <w:rPr>
            <w:webHidden/>
          </w:rPr>
          <w:tab/>
        </w:r>
        <w:r w:rsidR="00853575" w:rsidRPr="00853575">
          <w:rPr>
            <w:webHidden/>
          </w:rPr>
          <w:fldChar w:fldCharType="begin"/>
        </w:r>
        <w:r w:rsidR="00853575" w:rsidRPr="00853575">
          <w:rPr>
            <w:webHidden/>
          </w:rPr>
          <w:instrText xml:space="preserve"> PAGEREF _Toc144900333 \h </w:instrText>
        </w:r>
        <w:r w:rsidR="00853575" w:rsidRPr="00853575">
          <w:rPr>
            <w:webHidden/>
          </w:rPr>
        </w:r>
        <w:r w:rsidR="00853575" w:rsidRPr="00853575">
          <w:rPr>
            <w:webHidden/>
          </w:rPr>
          <w:fldChar w:fldCharType="separate"/>
        </w:r>
        <w:r w:rsidR="00853575" w:rsidRPr="00853575">
          <w:rPr>
            <w:webHidden/>
          </w:rPr>
          <w:t>9</w:t>
        </w:r>
        <w:r w:rsidR="00853575" w:rsidRPr="00853575">
          <w:rPr>
            <w:webHidden/>
          </w:rPr>
          <w:fldChar w:fldCharType="end"/>
        </w:r>
      </w:hyperlink>
    </w:p>
    <w:p w14:paraId="6AEE7062" w14:textId="77777777" w:rsidR="00A907C6" w:rsidRDefault="00A907C6" w:rsidP="00CA7786">
      <w:pPr>
        <w:pStyle w:val="Tabladeilustraciones"/>
        <w:jc w:val="left"/>
        <w:rPr>
          <w:rStyle w:val="Hipervnculo"/>
          <w:color w:val="auto"/>
        </w:rPr>
      </w:pPr>
    </w:p>
    <w:p w14:paraId="271AC6C1" w14:textId="6B565B03"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34" w:history="1">
        <w:r w:rsidR="00853575" w:rsidRPr="00853575">
          <w:rPr>
            <w:rStyle w:val="Hipervnculo"/>
            <w:color w:val="auto"/>
          </w:rPr>
          <w:t xml:space="preserve">Gráfica 7. </w:t>
        </w:r>
        <w:r w:rsidR="00853575" w:rsidRPr="00853575">
          <w:rPr>
            <w:rStyle w:val="Hipervnculo"/>
            <w:rFonts w:cs="Arial"/>
            <w:color w:val="auto"/>
          </w:rPr>
          <w:t>Precios promedio de energía transada en contratos y en bolsa de energía y valores del componente de referencia MC</w:t>
        </w:r>
        <w:r w:rsidR="00853575" w:rsidRPr="00853575">
          <w:rPr>
            <w:webHidden/>
          </w:rPr>
          <w:tab/>
        </w:r>
        <w:r w:rsidR="00853575" w:rsidRPr="00853575">
          <w:rPr>
            <w:webHidden/>
          </w:rPr>
          <w:fldChar w:fldCharType="begin"/>
        </w:r>
        <w:r w:rsidR="00853575" w:rsidRPr="00853575">
          <w:rPr>
            <w:webHidden/>
          </w:rPr>
          <w:instrText xml:space="preserve"> PAGEREF _Toc144900334 \h </w:instrText>
        </w:r>
        <w:r w:rsidR="00853575" w:rsidRPr="00853575">
          <w:rPr>
            <w:webHidden/>
          </w:rPr>
        </w:r>
        <w:r w:rsidR="00853575" w:rsidRPr="00853575">
          <w:rPr>
            <w:webHidden/>
          </w:rPr>
          <w:fldChar w:fldCharType="separate"/>
        </w:r>
        <w:r w:rsidR="00853575" w:rsidRPr="00853575">
          <w:rPr>
            <w:webHidden/>
          </w:rPr>
          <w:t>10</w:t>
        </w:r>
        <w:r w:rsidR="00853575" w:rsidRPr="00853575">
          <w:rPr>
            <w:webHidden/>
          </w:rPr>
          <w:fldChar w:fldCharType="end"/>
        </w:r>
      </w:hyperlink>
    </w:p>
    <w:p w14:paraId="1A825CF8" w14:textId="77777777" w:rsidR="00A907C6" w:rsidRDefault="00A907C6" w:rsidP="00CA7786">
      <w:pPr>
        <w:pStyle w:val="Tabladeilustraciones"/>
        <w:jc w:val="left"/>
        <w:rPr>
          <w:rStyle w:val="Hipervnculo"/>
          <w:color w:val="auto"/>
        </w:rPr>
      </w:pPr>
    </w:p>
    <w:p w14:paraId="49479349" w14:textId="585A47D3"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35" w:history="1">
        <w:r w:rsidR="00853575" w:rsidRPr="00853575">
          <w:rPr>
            <w:rStyle w:val="Hipervnculo"/>
            <w:color w:val="auto"/>
          </w:rPr>
          <w:t>Gráfica 8. Días hábiles entre la consulta de pliegos y la publicación de pliegos</w:t>
        </w:r>
        <w:r w:rsidR="00853575" w:rsidRPr="00853575">
          <w:rPr>
            <w:rStyle w:val="Hipervnculo"/>
            <w:rFonts w:cs="Arial"/>
            <w:color w:val="auto"/>
          </w:rPr>
          <w:t xml:space="preserve"> definitivos</w:t>
        </w:r>
        <w:r w:rsidR="00853575" w:rsidRPr="00853575">
          <w:rPr>
            <w:webHidden/>
          </w:rPr>
          <w:tab/>
        </w:r>
        <w:r w:rsidR="00853575" w:rsidRPr="00853575">
          <w:rPr>
            <w:webHidden/>
          </w:rPr>
          <w:fldChar w:fldCharType="begin"/>
        </w:r>
        <w:r w:rsidR="00853575" w:rsidRPr="00853575">
          <w:rPr>
            <w:webHidden/>
          </w:rPr>
          <w:instrText xml:space="preserve"> PAGEREF _Toc144900335 \h </w:instrText>
        </w:r>
        <w:r w:rsidR="00853575" w:rsidRPr="00853575">
          <w:rPr>
            <w:webHidden/>
          </w:rPr>
        </w:r>
        <w:r w:rsidR="00853575" w:rsidRPr="00853575">
          <w:rPr>
            <w:webHidden/>
          </w:rPr>
          <w:fldChar w:fldCharType="separate"/>
        </w:r>
        <w:r w:rsidR="00853575" w:rsidRPr="00853575">
          <w:rPr>
            <w:webHidden/>
          </w:rPr>
          <w:t>11</w:t>
        </w:r>
        <w:r w:rsidR="00853575" w:rsidRPr="00853575">
          <w:rPr>
            <w:webHidden/>
          </w:rPr>
          <w:fldChar w:fldCharType="end"/>
        </w:r>
      </w:hyperlink>
    </w:p>
    <w:p w14:paraId="187633A2" w14:textId="77777777" w:rsidR="00A907C6" w:rsidRDefault="00A907C6" w:rsidP="00CA7786">
      <w:pPr>
        <w:pStyle w:val="Tabladeilustraciones"/>
        <w:jc w:val="left"/>
        <w:rPr>
          <w:rStyle w:val="Hipervnculo"/>
          <w:color w:val="auto"/>
        </w:rPr>
      </w:pPr>
    </w:p>
    <w:p w14:paraId="59EA21B3" w14:textId="16355E7A" w:rsidR="00853575" w:rsidRPr="00853575" w:rsidRDefault="005C56C4" w:rsidP="00CA7786">
      <w:pPr>
        <w:pStyle w:val="Tabladeilustraciones"/>
        <w:jc w:val="left"/>
        <w:rPr>
          <w:rFonts w:asciiTheme="minorHAnsi" w:eastAsiaTheme="minorEastAsia" w:hAnsiTheme="minorHAnsi" w:cstheme="minorBidi"/>
          <w:kern w:val="2"/>
          <w:sz w:val="22"/>
          <w:szCs w:val="22"/>
          <w:lang w:val="es-CO" w:eastAsia="es-CO"/>
          <w14:ligatures w14:val="standardContextual"/>
        </w:rPr>
      </w:pPr>
      <w:hyperlink w:anchor="_Toc144900336" w:history="1">
        <w:r w:rsidR="00853575" w:rsidRPr="00853575">
          <w:rPr>
            <w:rStyle w:val="Hipervnculo"/>
            <w:color w:val="auto"/>
          </w:rPr>
          <w:t>Gráfica 9. Días hábiles entre la publicación de pliegos definitivos y la recepción de ofertas</w:t>
        </w:r>
        <w:r w:rsidR="00853575" w:rsidRPr="00853575">
          <w:rPr>
            <w:webHidden/>
          </w:rPr>
          <w:tab/>
        </w:r>
        <w:r w:rsidR="00853575" w:rsidRPr="00853575">
          <w:rPr>
            <w:webHidden/>
          </w:rPr>
          <w:fldChar w:fldCharType="begin"/>
        </w:r>
        <w:r w:rsidR="00853575" w:rsidRPr="00853575">
          <w:rPr>
            <w:webHidden/>
          </w:rPr>
          <w:instrText xml:space="preserve"> PAGEREF _Toc144900336 \h </w:instrText>
        </w:r>
        <w:r w:rsidR="00853575" w:rsidRPr="00853575">
          <w:rPr>
            <w:webHidden/>
          </w:rPr>
        </w:r>
        <w:r w:rsidR="00853575" w:rsidRPr="00853575">
          <w:rPr>
            <w:webHidden/>
          </w:rPr>
          <w:fldChar w:fldCharType="separate"/>
        </w:r>
        <w:r w:rsidR="00853575" w:rsidRPr="00853575">
          <w:rPr>
            <w:webHidden/>
          </w:rPr>
          <w:t>12</w:t>
        </w:r>
        <w:r w:rsidR="00853575" w:rsidRPr="00853575">
          <w:rPr>
            <w:webHidden/>
          </w:rPr>
          <w:fldChar w:fldCharType="end"/>
        </w:r>
      </w:hyperlink>
    </w:p>
    <w:p w14:paraId="7A332405" w14:textId="77777777" w:rsidR="00A907C6" w:rsidRDefault="00A907C6" w:rsidP="00CA7786">
      <w:pPr>
        <w:jc w:val="left"/>
        <w:rPr>
          <w:rStyle w:val="Hipervnculo"/>
          <w:noProof/>
          <w:color w:val="auto"/>
        </w:rPr>
      </w:pPr>
    </w:p>
    <w:p w14:paraId="08F28BBD" w14:textId="09A78201" w:rsidR="00853575" w:rsidRPr="00ED760B" w:rsidRDefault="005C56C4" w:rsidP="00ED760B">
      <w:pPr>
        <w:jc w:val="center"/>
        <w:rPr>
          <w:rFonts w:asciiTheme="minorHAnsi" w:eastAsiaTheme="minorEastAsia" w:hAnsiTheme="minorHAnsi" w:cstheme="minorBidi"/>
          <w:b/>
          <w:bCs/>
          <w:kern w:val="2"/>
          <w:sz w:val="22"/>
          <w:szCs w:val="22"/>
          <w:lang w:val="es-CO" w:eastAsia="es-CO"/>
          <w14:ligatures w14:val="standardContextual"/>
        </w:rPr>
      </w:pPr>
      <w:hyperlink w:anchor="_Toc144900337" w:history="1">
        <w:r w:rsidR="00853575" w:rsidRPr="00853575">
          <w:rPr>
            <w:rStyle w:val="Hipervnculo"/>
            <w:noProof/>
            <w:color w:val="auto"/>
          </w:rPr>
          <w:t>Gráfica 10. Días hábiles entre la audiencia pública y la suscripción del contrato</w:t>
        </w:r>
        <w:r w:rsidR="00853575" w:rsidRPr="00853575">
          <w:rPr>
            <w:noProof/>
            <w:webHidden/>
          </w:rPr>
          <w:tab/>
        </w:r>
        <w:r w:rsidR="00853575" w:rsidRPr="00853575">
          <w:rPr>
            <w:noProof/>
            <w:webHidden/>
          </w:rPr>
          <w:fldChar w:fldCharType="begin"/>
        </w:r>
        <w:r w:rsidR="00853575" w:rsidRPr="00853575">
          <w:rPr>
            <w:noProof/>
            <w:webHidden/>
          </w:rPr>
          <w:instrText xml:space="preserve"> PAGEREF _Toc144900337 \h </w:instrText>
        </w:r>
        <w:r w:rsidR="00853575" w:rsidRPr="00853575">
          <w:rPr>
            <w:noProof/>
            <w:webHidden/>
          </w:rPr>
        </w:r>
        <w:r w:rsidR="00853575" w:rsidRPr="00853575">
          <w:rPr>
            <w:webHidden/>
          </w:rPr>
          <w:fldChar w:fldCharType="separate"/>
        </w:r>
        <w:r w:rsidR="00853575" w:rsidRPr="00853575">
          <w:rPr>
            <w:noProof/>
            <w:webHidden/>
          </w:rPr>
          <w:t>12</w:t>
        </w:r>
        <w:r w:rsidR="00853575" w:rsidRPr="00853575">
          <w:rPr>
            <w:noProof/>
            <w:webHidden/>
          </w:rPr>
          <w:fldChar w:fldCharType="end"/>
        </w:r>
      </w:hyperlink>
      <w:r w:rsidR="000F4842">
        <w:rPr>
          <w:rFonts w:cs="Arial"/>
        </w:rPr>
        <w:br w:type="page"/>
      </w:r>
      <w:r w:rsidR="00853575" w:rsidRPr="00ED760B">
        <w:rPr>
          <w:rFonts w:cs="Arial"/>
          <w:b/>
          <w:bCs/>
        </w:rPr>
        <w:fldChar w:fldCharType="begin"/>
      </w:r>
      <w:r w:rsidR="00853575" w:rsidRPr="00ED760B">
        <w:rPr>
          <w:rFonts w:cs="Arial"/>
          <w:b/>
          <w:bCs/>
        </w:rPr>
        <w:instrText xml:space="preserve"> TOC \h \z \c "Gráfica" </w:instrText>
      </w:r>
      <w:r w:rsidR="00853575" w:rsidRPr="00ED760B">
        <w:rPr>
          <w:rFonts w:cs="Arial"/>
          <w:b/>
          <w:bCs/>
        </w:rPr>
        <w:fldChar w:fldCharType="separate"/>
      </w:r>
    </w:p>
    <w:p w14:paraId="3955CA83" w14:textId="48D492FC" w:rsidR="00EA424C" w:rsidRPr="00ED760B" w:rsidRDefault="00853575" w:rsidP="00ED760B">
      <w:pPr>
        <w:jc w:val="center"/>
        <w:rPr>
          <w:rFonts w:cs="Arial"/>
          <w:b/>
          <w:bCs/>
        </w:rPr>
      </w:pPr>
      <w:r w:rsidRPr="00ED760B">
        <w:rPr>
          <w:rFonts w:cs="Arial"/>
          <w:b/>
          <w:bCs/>
        </w:rPr>
        <w:lastRenderedPageBreak/>
        <w:fldChar w:fldCharType="end"/>
      </w:r>
      <w:r w:rsidR="004E7AFC" w:rsidRPr="00ED760B">
        <w:rPr>
          <w:rFonts w:cs="Arial"/>
          <w:b/>
          <w:bCs/>
        </w:rPr>
        <w:t>MEDIDAS PARA FACILITAR LAS COMPRAS DE ENERGÍA ELÉCTRICA A TRAVÉS DE CONVOCATORIAS PÚBLICAS</w:t>
      </w:r>
    </w:p>
    <w:p w14:paraId="2B46CE25" w14:textId="13D30C16" w:rsidR="00020441" w:rsidRPr="005063CF" w:rsidRDefault="00020441" w:rsidP="00CA7786">
      <w:pPr>
        <w:pStyle w:val="Ttulo"/>
        <w:rPr>
          <w:rFonts w:cs="Arial"/>
        </w:rPr>
      </w:pPr>
      <w:r w:rsidRPr="005063CF">
        <w:rPr>
          <w:rFonts w:cs="Arial"/>
        </w:rPr>
        <w:t xml:space="preserve"> </w:t>
      </w:r>
    </w:p>
    <w:p w14:paraId="565F3104" w14:textId="77777777" w:rsidR="00020441" w:rsidRPr="005063CF" w:rsidRDefault="00020441" w:rsidP="00CA7786">
      <w:pPr>
        <w:rPr>
          <w:rFonts w:cs="Arial"/>
        </w:rPr>
      </w:pPr>
    </w:p>
    <w:p w14:paraId="1CE83C8C" w14:textId="5F71C053" w:rsidR="00020441" w:rsidRPr="005063CF" w:rsidRDefault="00020441" w:rsidP="00CA7786">
      <w:pPr>
        <w:pStyle w:val="Ttulo1"/>
        <w:spacing w:after="0"/>
        <w:ind w:left="431" w:hanging="431"/>
        <w:rPr>
          <w:rFonts w:cs="Arial"/>
          <w:szCs w:val="22"/>
        </w:rPr>
      </w:pPr>
      <w:bookmarkStart w:id="0" w:name="_Toc494863466"/>
      <w:bookmarkStart w:id="1" w:name="_Toc506979468"/>
      <w:bookmarkStart w:id="2" w:name="_Toc41901972"/>
      <w:bookmarkStart w:id="3" w:name="_Toc144899063"/>
      <w:r w:rsidRPr="005063CF">
        <w:rPr>
          <w:rFonts w:cs="Arial"/>
          <w:szCs w:val="22"/>
        </w:rPr>
        <w:t>ANTECEDENTES</w:t>
      </w:r>
      <w:bookmarkEnd w:id="0"/>
      <w:bookmarkEnd w:id="1"/>
      <w:bookmarkEnd w:id="2"/>
      <w:bookmarkEnd w:id="3"/>
    </w:p>
    <w:p w14:paraId="14679563" w14:textId="77777777" w:rsidR="00020441" w:rsidRPr="005063CF" w:rsidRDefault="00020441" w:rsidP="00CA7786">
      <w:pPr>
        <w:rPr>
          <w:rFonts w:cs="Arial"/>
          <w:sz w:val="22"/>
        </w:rPr>
      </w:pPr>
    </w:p>
    <w:p w14:paraId="7B0623CD" w14:textId="32842051" w:rsidR="002C202B" w:rsidRDefault="00875AEE" w:rsidP="00CA7786">
      <w:pPr>
        <w:rPr>
          <w:rFonts w:cs="Arial"/>
          <w:sz w:val="22"/>
        </w:rPr>
      </w:pPr>
      <w:r>
        <w:rPr>
          <w:rFonts w:cs="Arial"/>
          <w:sz w:val="22"/>
        </w:rPr>
        <w:t xml:space="preserve">La Resolución CREG 130 de 2019 </w:t>
      </w:r>
      <w:r w:rsidR="00303046">
        <w:rPr>
          <w:rFonts w:cs="Arial"/>
          <w:sz w:val="22"/>
        </w:rPr>
        <w:t>estableci</w:t>
      </w:r>
      <w:r w:rsidR="000B4B75">
        <w:rPr>
          <w:rFonts w:cs="Arial"/>
          <w:sz w:val="22"/>
        </w:rPr>
        <w:t>ó l</w:t>
      </w:r>
      <w:r w:rsidR="000B4B75" w:rsidRPr="000B4B75">
        <w:rPr>
          <w:rFonts w:cs="Arial"/>
          <w:sz w:val="22"/>
        </w:rPr>
        <w:t>os principios, comportamientos y procedimientos que deben cumplir los comercializadores</w:t>
      </w:r>
      <w:r w:rsidR="000B4B75">
        <w:rPr>
          <w:rFonts w:cs="Arial"/>
          <w:sz w:val="22"/>
        </w:rPr>
        <w:t xml:space="preserve"> de energía eléctrica </w:t>
      </w:r>
      <w:r w:rsidR="000B4B75" w:rsidRPr="000B4B75">
        <w:rPr>
          <w:rFonts w:cs="Arial"/>
          <w:sz w:val="22"/>
        </w:rPr>
        <w:t xml:space="preserve">en la celebración de contratos de energía destinados </w:t>
      </w:r>
      <w:r w:rsidR="00C019AB" w:rsidRPr="000B4B75">
        <w:rPr>
          <w:rFonts w:cs="Arial"/>
          <w:sz w:val="22"/>
        </w:rPr>
        <w:t>a</w:t>
      </w:r>
      <w:r w:rsidR="00C019AB">
        <w:rPr>
          <w:rFonts w:cs="Arial"/>
          <w:sz w:val="22"/>
        </w:rPr>
        <w:t xml:space="preserve"> atender</w:t>
      </w:r>
      <w:r w:rsidR="00EA1424">
        <w:rPr>
          <w:rFonts w:cs="Arial"/>
          <w:sz w:val="22"/>
        </w:rPr>
        <w:t xml:space="preserve"> </w:t>
      </w:r>
      <w:r w:rsidR="000B4B75" w:rsidRPr="000B4B75">
        <w:rPr>
          <w:rFonts w:cs="Arial"/>
          <w:sz w:val="22"/>
        </w:rPr>
        <w:t>l</w:t>
      </w:r>
      <w:r w:rsidR="00EA1424">
        <w:rPr>
          <w:rFonts w:cs="Arial"/>
          <w:sz w:val="22"/>
        </w:rPr>
        <w:t>a demanda de energía del</w:t>
      </w:r>
      <w:r w:rsidR="000B4B75" w:rsidRPr="000B4B75">
        <w:rPr>
          <w:rFonts w:cs="Arial"/>
          <w:sz w:val="22"/>
        </w:rPr>
        <w:t xml:space="preserve"> mercado regulado</w:t>
      </w:r>
      <w:r w:rsidR="000B4B75">
        <w:rPr>
          <w:rFonts w:cs="Arial"/>
          <w:sz w:val="22"/>
        </w:rPr>
        <w:t xml:space="preserve"> colombiano</w:t>
      </w:r>
      <w:r w:rsidR="0002196C">
        <w:rPr>
          <w:rFonts w:cs="Arial"/>
          <w:sz w:val="22"/>
        </w:rPr>
        <w:t xml:space="preserve"> y que </w:t>
      </w:r>
      <w:r w:rsidR="00001A06" w:rsidRPr="00001A06">
        <w:rPr>
          <w:rFonts w:cs="Arial"/>
          <w:sz w:val="22"/>
        </w:rPr>
        <w:t>prom</w:t>
      </w:r>
      <w:r w:rsidR="0002196C">
        <w:rPr>
          <w:rFonts w:cs="Arial"/>
          <w:sz w:val="22"/>
        </w:rPr>
        <w:t xml:space="preserve">uevan </w:t>
      </w:r>
      <w:r w:rsidR="003D4C39">
        <w:rPr>
          <w:rFonts w:cs="Arial"/>
          <w:sz w:val="22"/>
        </w:rPr>
        <w:t xml:space="preserve">los principios </w:t>
      </w:r>
      <w:r w:rsidR="00317B64" w:rsidRPr="00317B64">
        <w:rPr>
          <w:rFonts w:cs="Arial"/>
          <w:sz w:val="22"/>
        </w:rPr>
        <w:t xml:space="preserve">de eficiencia, neutralidad, transparencia y fiabilidad </w:t>
      </w:r>
      <w:r w:rsidR="00DA4846">
        <w:rPr>
          <w:rFonts w:cs="Arial"/>
          <w:sz w:val="22"/>
        </w:rPr>
        <w:t xml:space="preserve">en un entorno de </w:t>
      </w:r>
      <w:r w:rsidR="00936D3B">
        <w:rPr>
          <w:rFonts w:cs="Arial"/>
          <w:sz w:val="22"/>
        </w:rPr>
        <w:t>mercado</w:t>
      </w:r>
      <w:r w:rsidR="0020192F">
        <w:rPr>
          <w:rFonts w:cs="Arial"/>
          <w:sz w:val="22"/>
        </w:rPr>
        <w:t xml:space="preserve"> que promueva la</w:t>
      </w:r>
      <w:r w:rsidR="0020192F" w:rsidRPr="0020192F">
        <w:rPr>
          <w:rFonts w:cs="Arial"/>
          <w:sz w:val="22"/>
        </w:rPr>
        <w:t xml:space="preserve"> </w:t>
      </w:r>
      <w:r w:rsidR="0020192F" w:rsidRPr="00001A06">
        <w:rPr>
          <w:rFonts w:cs="Arial"/>
          <w:sz w:val="22"/>
        </w:rPr>
        <w:t>libre competencia</w:t>
      </w:r>
      <w:r w:rsidR="0023605C">
        <w:rPr>
          <w:rFonts w:cs="Arial"/>
          <w:sz w:val="22"/>
        </w:rPr>
        <w:t>.</w:t>
      </w:r>
    </w:p>
    <w:p w14:paraId="315AB01E" w14:textId="77777777" w:rsidR="002C202B" w:rsidRDefault="002C202B" w:rsidP="00CA7786">
      <w:pPr>
        <w:rPr>
          <w:rFonts w:cs="Arial"/>
          <w:sz w:val="22"/>
        </w:rPr>
      </w:pPr>
    </w:p>
    <w:p w14:paraId="541F1CB5" w14:textId="55BE3147" w:rsidR="009D644E" w:rsidRDefault="0090773D" w:rsidP="00CA7786">
      <w:pPr>
        <w:rPr>
          <w:rFonts w:cs="Arial"/>
          <w:sz w:val="22"/>
        </w:rPr>
      </w:pPr>
      <w:r>
        <w:rPr>
          <w:rFonts w:cs="Arial"/>
          <w:sz w:val="22"/>
        </w:rPr>
        <w:t xml:space="preserve">Entre otras disposiciones, </w:t>
      </w:r>
      <w:r w:rsidR="00BE7FA2">
        <w:rPr>
          <w:rFonts w:cs="Arial"/>
          <w:sz w:val="22"/>
        </w:rPr>
        <w:t xml:space="preserve">la Resolución CREG 130 de 2019 </w:t>
      </w:r>
      <w:r>
        <w:rPr>
          <w:rFonts w:cs="Arial"/>
          <w:sz w:val="22"/>
        </w:rPr>
        <w:t xml:space="preserve">estableció </w:t>
      </w:r>
      <w:r w:rsidR="00BE7FA2">
        <w:rPr>
          <w:rFonts w:cs="Arial"/>
          <w:sz w:val="22"/>
        </w:rPr>
        <w:t>la creación de</w:t>
      </w:r>
      <w:r w:rsidR="00ED0584">
        <w:rPr>
          <w:rFonts w:cs="Arial"/>
          <w:sz w:val="22"/>
        </w:rPr>
        <w:t xml:space="preserve"> </w:t>
      </w:r>
      <w:r w:rsidR="00ED0584" w:rsidRPr="00ED0584">
        <w:rPr>
          <w:rFonts w:cs="Arial"/>
          <w:sz w:val="22"/>
        </w:rPr>
        <w:t>un Sistema Centralizado de Información de Convocatorias Públicas</w:t>
      </w:r>
      <w:r w:rsidR="00ED0584">
        <w:rPr>
          <w:rFonts w:cs="Arial"/>
          <w:sz w:val="22"/>
        </w:rPr>
        <w:t xml:space="preserve"> </w:t>
      </w:r>
      <w:r w:rsidR="00530B1F">
        <w:rPr>
          <w:rFonts w:cs="Arial"/>
          <w:sz w:val="22"/>
        </w:rPr>
        <w:t>–</w:t>
      </w:r>
      <w:r w:rsidR="00ED0584">
        <w:rPr>
          <w:rFonts w:cs="Arial"/>
          <w:sz w:val="22"/>
        </w:rPr>
        <w:t xml:space="preserve"> SICEP</w:t>
      </w:r>
      <w:r w:rsidR="00530B1F">
        <w:rPr>
          <w:rFonts w:cs="Arial"/>
          <w:sz w:val="22"/>
        </w:rPr>
        <w:t xml:space="preserve">, </w:t>
      </w:r>
      <w:r>
        <w:rPr>
          <w:rFonts w:cs="Arial"/>
          <w:sz w:val="22"/>
        </w:rPr>
        <w:t xml:space="preserve">así como sus </w:t>
      </w:r>
      <w:r w:rsidR="006954F1">
        <w:rPr>
          <w:rFonts w:cs="Arial"/>
          <w:sz w:val="22"/>
        </w:rPr>
        <w:t xml:space="preserve">tiempos de operación </w:t>
      </w:r>
      <w:r w:rsidR="009D644E">
        <w:rPr>
          <w:rFonts w:cs="Arial"/>
          <w:sz w:val="22"/>
        </w:rPr>
        <w:t>en cada una de las etapas de las convocatorias públicas que se adelanten a través de él.</w:t>
      </w:r>
    </w:p>
    <w:p w14:paraId="53A8FC7F" w14:textId="77777777" w:rsidR="009D644E" w:rsidRDefault="009D644E" w:rsidP="00CA7786">
      <w:pPr>
        <w:rPr>
          <w:rFonts w:cs="Arial"/>
          <w:sz w:val="22"/>
        </w:rPr>
      </w:pPr>
    </w:p>
    <w:p w14:paraId="5120249D" w14:textId="3A5B431D" w:rsidR="0018496D" w:rsidRDefault="009D644E" w:rsidP="00CA7786">
      <w:pPr>
        <w:rPr>
          <w:rFonts w:cs="Arial"/>
          <w:sz w:val="22"/>
        </w:rPr>
      </w:pPr>
      <w:r>
        <w:rPr>
          <w:rFonts w:cs="Arial"/>
          <w:sz w:val="22"/>
        </w:rPr>
        <w:t xml:space="preserve">De esta forma, </w:t>
      </w:r>
      <w:r w:rsidR="001D4258">
        <w:rPr>
          <w:rFonts w:cs="Arial"/>
          <w:sz w:val="22"/>
        </w:rPr>
        <w:t xml:space="preserve">desde su creación </w:t>
      </w:r>
      <w:r w:rsidR="00B40C09">
        <w:rPr>
          <w:rFonts w:cs="Arial"/>
          <w:sz w:val="22"/>
        </w:rPr>
        <w:t xml:space="preserve">el SICEP </w:t>
      </w:r>
      <w:r w:rsidR="001D4258">
        <w:rPr>
          <w:rFonts w:cs="Arial"/>
          <w:sz w:val="22"/>
        </w:rPr>
        <w:t xml:space="preserve">ha logrado </w:t>
      </w:r>
      <w:r w:rsidR="000F16C3">
        <w:rPr>
          <w:rFonts w:cs="Arial"/>
          <w:sz w:val="22"/>
        </w:rPr>
        <w:t xml:space="preserve">los </w:t>
      </w:r>
      <w:r w:rsidR="00B40C09">
        <w:rPr>
          <w:rFonts w:cs="Arial"/>
          <w:sz w:val="22"/>
        </w:rPr>
        <w:t>objetivos</w:t>
      </w:r>
      <w:r w:rsidR="00D531C6">
        <w:rPr>
          <w:rFonts w:cs="Arial"/>
          <w:sz w:val="22"/>
        </w:rPr>
        <w:t xml:space="preserve"> de</w:t>
      </w:r>
      <w:r w:rsidR="006D14F5" w:rsidRPr="006D14F5">
        <w:rPr>
          <w:rFonts w:cs="Arial"/>
          <w:sz w:val="22"/>
        </w:rPr>
        <w:t xml:space="preserve">: i) dotar de mayor transparencia el proceso de contratación, </w:t>
      </w:r>
      <w:proofErr w:type="spellStart"/>
      <w:r w:rsidR="006D14F5" w:rsidRPr="006D14F5">
        <w:rPr>
          <w:rFonts w:cs="Arial"/>
          <w:sz w:val="22"/>
        </w:rPr>
        <w:t>ii</w:t>
      </w:r>
      <w:proofErr w:type="spellEnd"/>
      <w:r w:rsidR="006D14F5" w:rsidRPr="006D14F5">
        <w:rPr>
          <w:rFonts w:cs="Arial"/>
          <w:sz w:val="22"/>
        </w:rPr>
        <w:t xml:space="preserve">) reducir los costos de transacción, </w:t>
      </w:r>
      <w:proofErr w:type="spellStart"/>
      <w:r w:rsidR="006D14F5" w:rsidRPr="006D14F5">
        <w:rPr>
          <w:rFonts w:cs="Arial"/>
          <w:sz w:val="22"/>
        </w:rPr>
        <w:t>iii</w:t>
      </w:r>
      <w:proofErr w:type="spellEnd"/>
      <w:r w:rsidR="006D14F5" w:rsidRPr="006D14F5">
        <w:rPr>
          <w:rFonts w:cs="Arial"/>
          <w:sz w:val="22"/>
        </w:rPr>
        <w:t xml:space="preserve">) permitir una mejor vigilancia, </w:t>
      </w:r>
      <w:proofErr w:type="spellStart"/>
      <w:r w:rsidR="006D14F5" w:rsidRPr="006D14F5">
        <w:rPr>
          <w:rFonts w:cs="Arial"/>
          <w:sz w:val="22"/>
        </w:rPr>
        <w:t>iv</w:t>
      </w:r>
      <w:proofErr w:type="spellEnd"/>
      <w:r w:rsidR="006D14F5" w:rsidRPr="006D14F5">
        <w:rPr>
          <w:rFonts w:cs="Arial"/>
          <w:sz w:val="22"/>
        </w:rPr>
        <w:t>) limitar la posibilidad de discriminación y en general</w:t>
      </w:r>
      <w:r w:rsidR="006C3642">
        <w:rPr>
          <w:rFonts w:cs="Arial"/>
          <w:sz w:val="22"/>
        </w:rPr>
        <w:t xml:space="preserve"> </w:t>
      </w:r>
      <w:r w:rsidR="006D14F5" w:rsidRPr="006D14F5">
        <w:rPr>
          <w:rFonts w:cs="Arial"/>
          <w:sz w:val="22"/>
        </w:rPr>
        <w:t>proteger al usuario.</w:t>
      </w:r>
    </w:p>
    <w:p w14:paraId="45C7E2D0" w14:textId="77777777" w:rsidR="0018496D" w:rsidRDefault="0018496D" w:rsidP="00CA7786">
      <w:pPr>
        <w:rPr>
          <w:rFonts w:cs="Arial"/>
          <w:sz w:val="22"/>
        </w:rPr>
      </w:pPr>
    </w:p>
    <w:p w14:paraId="4931147D" w14:textId="254F857C" w:rsidR="007B09C9" w:rsidRDefault="00477811" w:rsidP="00CA7786">
      <w:pPr>
        <w:rPr>
          <w:rFonts w:cs="Arial"/>
          <w:sz w:val="22"/>
          <w:lang w:val="es-CO"/>
        </w:rPr>
      </w:pPr>
      <w:r>
        <w:rPr>
          <w:rFonts w:cs="Arial"/>
          <w:sz w:val="22"/>
        </w:rPr>
        <w:t xml:space="preserve">Por otro lado, </w:t>
      </w:r>
      <w:r w:rsidR="00815B45" w:rsidRPr="00815B45">
        <w:rPr>
          <w:rFonts w:cs="Arial"/>
          <w:sz w:val="22"/>
        </w:rPr>
        <w:t>con el objeto de que todos los usuarios obtengan los beneficios de la competencia en el Mercado Mayorista de Energía y disminuya su exposición a los precios de la bolsa</w:t>
      </w:r>
      <w:r w:rsidR="00815B45">
        <w:rPr>
          <w:rFonts w:cs="Arial"/>
          <w:sz w:val="22"/>
        </w:rPr>
        <w:t>,</w:t>
      </w:r>
      <w:r w:rsidR="00815B45" w:rsidRPr="00815B45">
        <w:rPr>
          <w:rFonts w:cs="Arial"/>
          <w:sz w:val="22"/>
        </w:rPr>
        <w:t xml:space="preserve"> </w:t>
      </w:r>
      <w:r>
        <w:rPr>
          <w:rFonts w:cs="Arial"/>
          <w:sz w:val="22"/>
        </w:rPr>
        <w:t>el a</w:t>
      </w:r>
      <w:r w:rsidR="00110E53" w:rsidRPr="00110E53">
        <w:rPr>
          <w:rFonts w:cs="Arial"/>
          <w:sz w:val="22"/>
        </w:rPr>
        <w:t>rt</w:t>
      </w:r>
      <w:r>
        <w:rPr>
          <w:rFonts w:cs="Arial"/>
          <w:sz w:val="22"/>
        </w:rPr>
        <w:t>ículo</w:t>
      </w:r>
      <w:r w:rsidR="00110E53" w:rsidRPr="00110E53">
        <w:rPr>
          <w:rFonts w:cs="Arial"/>
          <w:sz w:val="22"/>
        </w:rPr>
        <w:t xml:space="preserve"> 6 </w:t>
      </w:r>
      <w:r>
        <w:rPr>
          <w:rFonts w:cs="Arial"/>
          <w:sz w:val="22"/>
        </w:rPr>
        <w:t xml:space="preserve">del </w:t>
      </w:r>
      <w:r w:rsidR="00110E53" w:rsidRPr="00110E53">
        <w:rPr>
          <w:rFonts w:cs="Arial"/>
          <w:sz w:val="22"/>
        </w:rPr>
        <w:t>Decreto 0929 de 2023</w:t>
      </w:r>
      <w:r w:rsidR="001C116D">
        <w:rPr>
          <w:rStyle w:val="Refdenotaalpie"/>
          <w:rFonts w:cs="Arial"/>
          <w:sz w:val="22"/>
        </w:rPr>
        <w:footnoteReference w:id="2"/>
      </w:r>
      <w:r w:rsidR="00C75259">
        <w:rPr>
          <w:rFonts w:cs="Arial"/>
          <w:sz w:val="22"/>
        </w:rPr>
        <w:t xml:space="preserve"> </w:t>
      </w:r>
      <w:r w:rsidR="00122B73">
        <w:rPr>
          <w:rFonts w:cs="Arial"/>
          <w:sz w:val="22"/>
        </w:rPr>
        <w:t>estableció</w:t>
      </w:r>
      <w:r w:rsidR="00AB6306">
        <w:rPr>
          <w:rFonts w:cs="Arial"/>
          <w:sz w:val="22"/>
        </w:rPr>
        <w:t xml:space="preserve"> que</w:t>
      </w:r>
      <w:r w:rsidR="007B09C9">
        <w:rPr>
          <w:rFonts w:cs="Arial"/>
          <w:sz w:val="22"/>
          <w:lang w:val="es-CO"/>
        </w:rPr>
        <w:t>:</w:t>
      </w:r>
    </w:p>
    <w:p w14:paraId="1011A2BF" w14:textId="77777777" w:rsidR="007B09C9" w:rsidRDefault="007B09C9" w:rsidP="00CA7786">
      <w:pPr>
        <w:rPr>
          <w:rFonts w:cs="Arial"/>
          <w:sz w:val="22"/>
          <w:lang w:val="es-CO"/>
        </w:rPr>
      </w:pPr>
    </w:p>
    <w:p w14:paraId="76C2831B" w14:textId="397652BB" w:rsidR="000002C5" w:rsidRPr="000002C5" w:rsidRDefault="000002C5" w:rsidP="00CA7786">
      <w:pPr>
        <w:ind w:left="567" w:right="618"/>
        <w:rPr>
          <w:rFonts w:cs="Arial"/>
          <w:i/>
          <w:iCs/>
          <w:sz w:val="22"/>
          <w:lang w:val="es-CO"/>
        </w:rPr>
      </w:pPr>
      <w:r w:rsidRPr="000002C5">
        <w:rPr>
          <w:rFonts w:cs="Arial"/>
          <w:i/>
          <w:iCs/>
          <w:sz w:val="22"/>
          <w:lang w:val="es-CO"/>
        </w:rPr>
        <w:t>“(…) para los mecanismos de compras de energía mediante convocatorias públicas, la regulación deberá atender las siguientes directrices.</w:t>
      </w:r>
    </w:p>
    <w:p w14:paraId="1F2CA8A3" w14:textId="77777777" w:rsidR="000002C5" w:rsidRPr="000002C5" w:rsidRDefault="000002C5" w:rsidP="00CA7786">
      <w:pPr>
        <w:ind w:left="567" w:right="618"/>
        <w:rPr>
          <w:rFonts w:cs="Arial"/>
          <w:i/>
          <w:iCs/>
          <w:sz w:val="22"/>
          <w:lang w:val="es-CO"/>
        </w:rPr>
      </w:pPr>
    </w:p>
    <w:p w14:paraId="0F4E2925" w14:textId="77777777" w:rsidR="000002C5" w:rsidRPr="000002C5" w:rsidRDefault="000002C5" w:rsidP="00CA7786">
      <w:pPr>
        <w:ind w:left="567" w:right="618"/>
        <w:rPr>
          <w:rFonts w:cs="Arial"/>
          <w:i/>
          <w:iCs/>
          <w:sz w:val="22"/>
          <w:lang w:val="es-CO"/>
        </w:rPr>
      </w:pPr>
      <w:r w:rsidRPr="000002C5">
        <w:rPr>
          <w:rFonts w:cs="Arial"/>
          <w:i/>
          <w:iCs/>
          <w:sz w:val="22"/>
          <w:lang w:val="es-CO"/>
        </w:rPr>
        <w:t>a) Propiciar la participación de los agentes generadores en las convocatorias públicas de compra de energía que realicen los agentes comercializadores para la atención de la demanda regulada.</w:t>
      </w:r>
    </w:p>
    <w:p w14:paraId="448D1F32" w14:textId="77777777" w:rsidR="000002C5" w:rsidRPr="000002C5" w:rsidRDefault="000002C5" w:rsidP="00CA7786">
      <w:pPr>
        <w:ind w:left="567" w:right="618"/>
        <w:rPr>
          <w:rFonts w:cs="Arial"/>
          <w:i/>
          <w:iCs/>
          <w:sz w:val="22"/>
          <w:lang w:val="es-CO"/>
        </w:rPr>
      </w:pPr>
    </w:p>
    <w:p w14:paraId="74F2A830" w14:textId="77777777" w:rsidR="000002C5" w:rsidRPr="000002C5" w:rsidRDefault="000002C5" w:rsidP="00CA7786">
      <w:pPr>
        <w:ind w:left="567" w:right="618"/>
        <w:rPr>
          <w:rFonts w:cs="Arial"/>
          <w:i/>
          <w:iCs/>
          <w:sz w:val="22"/>
          <w:lang w:val="es-CO"/>
        </w:rPr>
      </w:pPr>
      <w:r w:rsidRPr="000002C5">
        <w:rPr>
          <w:rFonts w:cs="Arial"/>
          <w:i/>
          <w:iCs/>
          <w:sz w:val="22"/>
          <w:lang w:val="es-CO"/>
        </w:rPr>
        <w:t>b) Promover el tratamiento equitativo entre agentes integrados y no integrados, de manera que mantengan las mismas condiciones de participación en las convocatorias.</w:t>
      </w:r>
    </w:p>
    <w:p w14:paraId="1C2B3047" w14:textId="77777777" w:rsidR="000002C5" w:rsidRPr="000002C5" w:rsidRDefault="000002C5" w:rsidP="00CA7786">
      <w:pPr>
        <w:ind w:left="567" w:right="618"/>
        <w:rPr>
          <w:rFonts w:cs="Arial"/>
          <w:i/>
          <w:iCs/>
          <w:sz w:val="22"/>
          <w:lang w:val="es-CO"/>
        </w:rPr>
      </w:pPr>
    </w:p>
    <w:p w14:paraId="1C41E6C9" w14:textId="6625BE10" w:rsidR="007B09C9" w:rsidRDefault="000002C5" w:rsidP="00CA7786">
      <w:pPr>
        <w:ind w:left="567" w:right="618"/>
        <w:rPr>
          <w:rFonts w:cs="Arial"/>
          <w:sz w:val="22"/>
          <w:lang w:val="es-CO"/>
        </w:rPr>
      </w:pPr>
      <w:r w:rsidRPr="000002C5">
        <w:rPr>
          <w:rFonts w:cs="Arial"/>
          <w:i/>
          <w:iCs/>
          <w:sz w:val="22"/>
          <w:lang w:val="es-CO"/>
        </w:rPr>
        <w:t>c) Velar por la celeridad en los procesos de convocatorias públicas. Para lo cual, entre otras medidas, deberán ajustar los plazos vigentes en el mecanismo de convocatorias de la Resolución CREG 130 de 2019.”</w:t>
      </w:r>
    </w:p>
    <w:p w14:paraId="7B7AB272" w14:textId="77777777" w:rsidR="00830A54" w:rsidRDefault="00830A54" w:rsidP="00CA7786">
      <w:pPr>
        <w:rPr>
          <w:rFonts w:cs="Arial"/>
          <w:sz w:val="22"/>
          <w:lang w:val="es-CO"/>
        </w:rPr>
      </w:pPr>
    </w:p>
    <w:p w14:paraId="04DD11E2" w14:textId="4EC2CBC1" w:rsidR="00F2630B" w:rsidRDefault="00471D18" w:rsidP="00CA7786">
      <w:pPr>
        <w:rPr>
          <w:rFonts w:cs="Arial"/>
          <w:sz w:val="22"/>
          <w:lang w:val="es-CO"/>
        </w:rPr>
      </w:pPr>
      <w:r>
        <w:rPr>
          <w:rFonts w:cs="Arial"/>
          <w:sz w:val="22"/>
          <w:lang w:val="es-CO"/>
        </w:rPr>
        <w:t>La disposición anterior</w:t>
      </w:r>
      <w:r w:rsidR="003246E8">
        <w:rPr>
          <w:rFonts w:cs="Arial"/>
          <w:sz w:val="22"/>
          <w:lang w:val="es-CO"/>
        </w:rPr>
        <w:t xml:space="preserve"> es una señal de política pública que se suma a los </w:t>
      </w:r>
      <w:r w:rsidR="00431B88">
        <w:rPr>
          <w:rFonts w:cs="Arial"/>
          <w:sz w:val="22"/>
          <w:lang w:val="es-CO"/>
        </w:rPr>
        <w:t xml:space="preserve">análisis regulatorios que ha venido adelantando la Comisión para </w:t>
      </w:r>
      <w:r w:rsidR="00870AEB">
        <w:rPr>
          <w:rFonts w:cs="Arial"/>
          <w:sz w:val="22"/>
          <w:lang w:val="es-CO"/>
        </w:rPr>
        <w:t xml:space="preserve">evaluar </w:t>
      </w:r>
      <w:r w:rsidR="00F421B9">
        <w:rPr>
          <w:rFonts w:cs="Arial"/>
          <w:sz w:val="22"/>
          <w:lang w:val="es-CO"/>
        </w:rPr>
        <w:t>el desempeño de las convocatorias</w:t>
      </w:r>
      <w:r w:rsidR="004B64B5">
        <w:rPr>
          <w:rFonts w:cs="Arial"/>
          <w:sz w:val="22"/>
          <w:lang w:val="es-CO"/>
        </w:rPr>
        <w:t xml:space="preserve"> públicas de contratación de energía</w:t>
      </w:r>
      <w:r w:rsidR="00F63066">
        <w:rPr>
          <w:rFonts w:cs="Arial"/>
          <w:sz w:val="22"/>
          <w:lang w:val="es-CO"/>
        </w:rPr>
        <w:t xml:space="preserve">, en especial, evaluando si </w:t>
      </w:r>
      <w:r w:rsidR="00F77655">
        <w:rPr>
          <w:rFonts w:cs="Arial"/>
          <w:sz w:val="22"/>
          <w:lang w:val="es-CO"/>
        </w:rPr>
        <w:t xml:space="preserve">existen </w:t>
      </w:r>
      <w:r w:rsidR="00F77655">
        <w:rPr>
          <w:rFonts w:cs="Arial"/>
          <w:sz w:val="22"/>
          <w:lang w:val="es-CO"/>
        </w:rPr>
        <w:lastRenderedPageBreak/>
        <w:t xml:space="preserve">oportunidades para optimizar las disposiciones contenidas en </w:t>
      </w:r>
      <w:r w:rsidR="003A3FA6">
        <w:rPr>
          <w:rFonts w:cs="Arial"/>
          <w:sz w:val="22"/>
          <w:lang w:val="es-CO"/>
        </w:rPr>
        <w:t xml:space="preserve">la Resolución CREG 130 de 2019 </w:t>
      </w:r>
      <w:r w:rsidR="00F77655">
        <w:rPr>
          <w:rFonts w:cs="Arial"/>
          <w:sz w:val="22"/>
          <w:lang w:val="es-CO"/>
        </w:rPr>
        <w:t xml:space="preserve">bajo la consideración de los escenarios de hidrología crítica que a la fecha de este documento </w:t>
      </w:r>
      <w:r w:rsidR="007D60DC">
        <w:rPr>
          <w:rFonts w:cs="Arial"/>
          <w:sz w:val="22"/>
          <w:lang w:val="es-CO"/>
        </w:rPr>
        <w:t xml:space="preserve">resultan previsibles en el contexto de </w:t>
      </w:r>
      <w:r w:rsidR="00A06230">
        <w:rPr>
          <w:rFonts w:cs="Arial"/>
          <w:sz w:val="22"/>
          <w:lang w:val="es-CO"/>
        </w:rPr>
        <w:t>un Fenó</w:t>
      </w:r>
      <w:r w:rsidR="003362CF">
        <w:rPr>
          <w:rFonts w:cs="Arial"/>
          <w:sz w:val="22"/>
          <w:lang w:val="es-CO"/>
        </w:rPr>
        <w:t xml:space="preserve">meno del Niño </w:t>
      </w:r>
      <w:r w:rsidR="00FB58EA">
        <w:rPr>
          <w:rFonts w:cs="Arial"/>
          <w:sz w:val="22"/>
          <w:lang w:val="es-CO"/>
        </w:rPr>
        <w:t xml:space="preserve">cuyos efectos se </w:t>
      </w:r>
      <w:r w:rsidR="00F2630B">
        <w:rPr>
          <w:rFonts w:cs="Arial"/>
          <w:sz w:val="22"/>
          <w:lang w:val="es-CO"/>
        </w:rPr>
        <w:t>pronostican para finales de 2023 y 2024.</w:t>
      </w:r>
    </w:p>
    <w:p w14:paraId="1D146A06" w14:textId="77777777" w:rsidR="00F2630B" w:rsidRDefault="00F2630B" w:rsidP="00CA7786">
      <w:pPr>
        <w:rPr>
          <w:rFonts w:cs="Arial"/>
          <w:sz w:val="22"/>
          <w:lang w:val="es-CO"/>
        </w:rPr>
      </w:pPr>
    </w:p>
    <w:p w14:paraId="18D140CD" w14:textId="71E6D306" w:rsidR="00782F79" w:rsidRDefault="00B47378" w:rsidP="00CA7786">
      <w:pPr>
        <w:rPr>
          <w:rFonts w:cs="Arial"/>
          <w:sz w:val="22"/>
        </w:rPr>
      </w:pPr>
      <w:r>
        <w:rPr>
          <w:rFonts w:cs="Arial"/>
          <w:sz w:val="22"/>
        </w:rPr>
        <w:t xml:space="preserve">Dentro de estos </w:t>
      </w:r>
      <w:r w:rsidR="00DC454B">
        <w:rPr>
          <w:rFonts w:cs="Arial"/>
          <w:sz w:val="22"/>
        </w:rPr>
        <w:t xml:space="preserve">análisis, la CREG consideró conveniente </w:t>
      </w:r>
      <w:r w:rsidR="007273B0">
        <w:rPr>
          <w:rFonts w:cs="Arial"/>
          <w:sz w:val="22"/>
        </w:rPr>
        <w:t xml:space="preserve">adelantar reuniones </w:t>
      </w:r>
      <w:r w:rsidR="007273B0" w:rsidRPr="00110E53">
        <w:rPr>
          <w:rFonts w:cs="Arial"/>
          <w:sz w:val="22"/>
        </w:rPr>
        <w:t>con diferentes agentes</w:t>
      </w:r>
      <w:r w:rsidR="007273B0">
        <w:rPr>
          <w:rFonts w:cs="Arial"/>
          <w:sz w:val="22"/>
        </w:rPr>
        <w:t xml:space="preserve"> del sector</w:t>
      </w:r>
      <w:r w:rsidR="007273B0">
        <w:rPr>
          <w:rStyle w:val="Refdenotaalpie"/>
          <w:rFonts w:cs="Arial"/>
          <w:sz w:val="22"/>
        </w:rPr>
        <w:footnoteReference w:id="3"/>
      </w:r>
      <w:r w:rsidR="00853E9B">
        <w:rPr>
          <w:rFonts w:cs="Arial"/>
          <w:sz w:val="22"/>
        </w:rPr>
        <w:t xml:space="preserve"> </w:t>
      </w:r>
      <w:r w:rsidR="002C1772">
        <w:rPr>
          <w:rFonts w:cs="Arial"/>
          <w:sz w:val="22"/>
        </w:rPr>
        <w:t xml:space="preserve">con el </w:t>
      </w:r>
      <w:r w:rsidR="007434F4">
        <w:rPr>
          <w:rFonts w:cs="Arial"/>
          <w:sz w:val="22"/>
        </w:rPr>
        <w:t xml:space="preserve">objeto </w:t>
      </w:r>
      <w:r w:rsidR="002C1772">
        <w:rPr>
          <w:rFonts w:cs="Arial"/>
          <w:sz w:val="22"/>
        </w:rPr>
        <w:t xml:space="preserve">de </w:t>
      </w:r>
      <w:r w:rsidR="00B22B87">
        <w:rPr>
          <w:rFonts w:cs="Arial"/>
          <w:sz w:val="22"/>
        </w:rPr>
        <w:t xml:space="preserve">identificar </w:t>
      </w:r>
      <w:r w:rsidR="00110E53" w:rsidRPr="00110E53">
        <w:rPr>
          <w:rFonts w:cs="Arial"/>
          <w:sz w:val="22"/>
        </w:rPr>
        <w:t xml:space="preserve">propuestas e inquietudes relacionadas con </w:t>
      </w:r>
      <w:r w:rsidR="00AD7D3E">
        <w:rPr>
          <w:rFonts w:cs="Arial"/>
          <w:sz w:val="22"/>
        </w:rPr>
        <w:t xml:space="preserve">la contratación mediante convocatorias públicas, </w:t>
      </w:r>
      <w:r w:rsidR="00442DB7">
        <w:rPr>
          <w:rFonts w:cs="Arial"/>
          <w:sz w:val="22"/>
        </w:rPr>
        <w:t xml:space="preserve">la </w:t>
      </w:r>
      <w:r w:rsidR="00AE1D67">
        <w:rPr>
          <w:rFonts w:cs="Arial"/>
          <w:sz w:val="22"/>
        </w:rPr>
        <w:t>operación y desempeño histórico</w:t>
      </w:r>
      <w:r w:rsidR="00442DB7">
        <w:rPr>
          <w:rFonts w:cs="Arial"/>
          <w:sz w:val="22"/>
        </w:rPr>
        <w:t xml:space="preserve"> </w:t>
      </w:r>
      <w:r w:rsidR="000913FB">
        <w:rPr>
          <w:rFonts w:cs="Arial"/>
          <w:sz w:val="22"/>
        </w:rPr>
        <w:t>de</w:t>
      </w:r>
      <w:r w:rsidR="000913FB" w:rsidRPr="00110E53">
        <w:rPr>
          <w:rFonts w:cs="Arial"/>
          <w:sz w:val="22"/>
        </w:rPr>
        <w:t xml:space="preserve"> SICEP</w:t>
      </w:r>
      <w:r w:rsidR="000253B6">
        <w:rPr>
          <w:rFonts w:cs="Arial"/>
          <w:sz w:val="22"/>
        </w:rPr>
        <w:t xml:space="preserve">, así como su funcionamiento de cara a los escenarios </w:t>
      </w:r>
      <w:r w:rsidR="00775DA4">
        <w:rPr>
          <w:rFonts w:cs="Arial"/>
          <w:sz w:val="22"/>
        </w:rPr>
        <w:t xml:space="preserve">de mercado </w:t>
      </w:r>
      <w:r w:rsidR="00C26BDE">
        <w:rPr>
          <w:rFonts w:cs="Arial"/>
          <w:sz w:val="22"/>
        </w:rPr>
        <w:t xml:space="preserve">y de contratación de energía, </w:t>
      </w:r>
      <w:r w:rsidR="000253B6">
        <w:rPr>
          <w:rFonts w:cs="Arial"/>
          <w:sz w:val="22"/>
        </w:rPr>
        <w:t>esperados en el contexto de</w:t>
      </w:r>
      <w:r w:rsidR="00110E53" w:rsidRPr="00110E53">
        <w:rPr>
          <w:rFonts w:cs="Arial"/>
          <w:sz w:val="22"/>
        </w:rPr>
        <w:t xml:space="preserve">l </w:t>
      </w:r>
      <w:r w:rsidR="000253B6">
        <w:rPr>
          <w:rFonts w:cs="Arial"/>
          <w:sz w:val="22"/>
        </w:rPr>
        <w:t>F</w:t>
      </w:r>
      <w:r w:rsidR="00110E53" w:rsidRPr="00110E53">
        <w:rPr>
          <w:rFonts w:cs="Arial"/>
          <w:sz w:val="22"/>
        </w:rPr>
        <w:t xml:space="preserve">enómeno del </w:t>
      </w:r>
      <w:r w:rsidR="000253B6">
        <w:rPr>
          <w:rFonts w:cs="Arial"/>
          <w:sz w:val="22"/>
        </w:rPr>
        <w:t>N</w:t>
      </w:r>
      <w:r w:rsidR="00110E53" w:rsidRPr="00110E53">
        <w:rPr>
          <w:rFonts w:cs="Arial"/>
          <w:sz w:val="22"/>
        </w:rPr>
        <w:t>iño</w:t>
      </w:r>
      <w:r w:rsidR="001F0DC0">
        <w:rPr>
          <w:rFonts w:cs="Arial"/>
          <w:sz w:val="22"/>
        </w:rPr>
        <w:t>.</w:t>
      </w:r>
    </w:p>
    <w:p w14:paraId="04D3EA50" w14:textId="77777777" w:rsidR="005B357E" w:rsidRPr="008E5732" w:rsidRDefault="005B357E" w:rsidP="00CA7786">
      <w:pPr>
        <w:rPr>
          <w:rFonts w:cs="Arial"/>
          <w:b/>
          <w:sz w:val="22"/>
        </w:rPr>
      </w:pPr>
    </w:p>
    <w:p w14:paraId="6FB10A2C" w14:textId="322B028F" w:rsidR="00DD52AA" w:rsidRDefault="00DD52AA" w:rsidP="00CA7786">
      <w:pPr>
        <w:pStyle w:val="Ttulo1"/>
        <w:spacing w:after="0"/>
        <w:ind w:left="431" w:hanging="431"/>
        <w:rPr>
          <w:rFonts w:cs="Arial"/>
          <w:sz w:val="22"/>
        </w:rPr>
      </w:pPr>
      <w:bookmarkStart w:id="4" w:name="_Toc144899064"/>
      <w:r>
        <w:rPr>
          <w:rFonts w:cs="Arial"/>
          <w:sz w:val="22"/>
        </w:rPr>
        <w:t>FACULTADES DE LA CREG PARA ESTABLECER LAS MEDIDAS</w:t>
      </w:r>
      <w:bookmarkEnd w:id="4"/>
    </w:p>
    <w:p w14:paraId="3044CA19" w14:textId="77777777" w:rsidR="00DD52AA" w:rsidRDefault="00DD52AA" w:rsidP="00CA7786">
      <w:pPr>
        <w:rPr>
          <w:rFonts w:cs="Arial"/>
          <w:sz w:val="22"/>
        </w:rPr>
      </w:pPr>
    </w:p>
    <w:p w14:paraId="43E9AB73" w14:textId="40548903" w:rsidR="00E33833" w:rsidRDefault="00FC1D1F" w:rsidP="00CA7786">
      <w:pPr>
        <w:rPr>
          <w:rFonts w:cs="Arial"/>
          <w:sz w:val="22"/>
        </w:rPr>
      </w:pPr>
      <w:r>
        <w:rPr>
          <w:rFonts w:cs="Arial"/>
          <w:sz w:val="22"/>
        </w:rPr>
        <w:t>L</w:t>
      </w:r>
      <w:r w:rsidR="00E33833" w:rsidRPr="00E33833">
        <w:rPr>
          <w:rFonts w:cs="Arial"/>
          <w:sz w:val="22"/>
        </w:rPr>
        <w:t>as actividades de generación y de comercialización de energía</w:t>
      </w:r>
      <w:r w:rsidR="00E33833">
        <w:rPr>
          <w:rFonts w:cs="Arial"/>
          <w:sz w:val="22"/>
        </w:rPr>
        <w:t xml:space="preserve"> </w:t>
      </w:r>
      <w:r w:rsidR="00E33833" w:rsidRPr="00E33833">
        <w:rPr>
          <w:rFonts w:cs="Arial"/>
          <w:sz w:val="22"/>
        </w:rPr>
        <w:t>eléctrica están definidas como servicios públicos de carácter esencial,</w:t>
      </w:r>
      <w:r w:rsidR="00E33833">
        <w:rPr>
          <w:rFonts w:cs="Arial"/>
          <w:sz w:val="22"/>
        </w:rPr>
        <w:t xml:space="preserve"> </w:t>
      </w:r>
      <w:r w:rsidR="00E33833" w:rsidRPr="00E33833">
        <w:rPr>
          <w:rFonts w:cs="Arial"/>
          <w:sz w:val="22"/>
        </w:rPr>
        <w:t>obligatorio y solidario, y de utilidad pública (L. 143/94, art. 5, y L. 142/94, arts. 4, 14.2 y</w:t>
      </w:r>
      <w:r w:rsidR="00E33833">
        <w:rPr>
          <w:rFonts w:cs="Arial"/>
          <w:sz w:val="22"/>
        </w:rPr>
        <w:t xml:space="preserve"> </w:t>
      </w:r>
      <w:r w:rsidR="00E33833" w:rsidRPr="00E33833">
        <w:rPr>
          <w:rFonts w:cs="Arial"/>
          <w:sz w:val="22"/>
        </w:rPr>
        <w:t>14.25), y sometidas a la intervención del Estado, especialmente la que se lleva a cabo a</w:t>
      </w:r>
      <w:r w:rsidR="00E33833">
        <w:rPr>
          <w:rFonts w:cs="Arial"/>
          <w:sz w:val="22"/>
        </w:rPr>
        <w:t xml:space="preserve"> </w:t>
      </w:r>
      <w:r w:rsidR="00E33833" w:rsidRPr="00E33833">
        <w:rPr>
          <w:rFonts w:cs="Arial"/>
          <w:sz w:val="22"/>
        </w:rPr>
        <w:t>través de los instrumentos de regulación, y de inspección, vigilancia y control (L. 142/94,</w:t>
      </w:r>
      <w:r w:rsidR="00E33833">
        <w:rPr>
          <w:rFonts w:cs="Arial"/>
          <w:sz w:val="22"/>
        </w:rPr>
        <w:t xml:space="preserve"> </w:t>
      </w:r>
      <w:r w:rsidR="00E33833" w:rsidRPr="00E33833">
        <w:rPr>
          <w:rFonts w:cs="Arial"/>
          <w:sz w:val="22"/>
        </w:rPr>
        <w:t>arts. 3, 73, 74 y 79).</w:t>
      </w:r>
    </w:p>
    <w:p w14:paraId="330F1DC6" w14:textId="77777777" w:rsidR="00E33833" w:rsidRPr="00E33833" w:rsidRDefault="00E33833" w:rsidP="00CA7786">
      <w:pPr>
        <w:rPr>
          <w:rFonts w:cs="Arial"/>
          <w:sz w:val="22"/>
        </w:rPr>
      </w:pPr>
    </w:p>
    <w:p w14:paraId="6E0E591E" w14:textId="50305798" w:rsidR="00E33833" w:rsidRDefault="00E33833" w:rsidP="00CA7786">
      <w:pPr>
        <w:rPr>
          <w:rFonts w:cs="Arial"/>
          <w:sz w:val="22"/>
        </w:rPr>
      </w:pPr>
      <w:r w:rsidRPr="00E33833">
        <w:rPr>
          <w:rFonts w:cs="Arial"/>
          <w:sz w:val="22"/>
        </w:rPr>
        <w:t>Se trata de actividades reguladas y controladas por el Estado</w:t>
      </w:r>
      <w:r w:rsidR="00786BA9">
        <w:rPr>
          <w:rFonts w:cs="Arial"/>
          <w:sz w:val="22"/>
        </w:rPr>
        <w:t>.</w:t>
      </w:r>
      <w:r w:rsidRPr="00E33833">
        <w:rPr>
          <w:rFonts w:cs="Arial"/>
          <w:sz w:val="22"/>
        </w:rPr>
        <w:t xml:space="preserve"> </w:t>
      </w:r>
      <w:r w:rsidR="00786BA9">
        <w:rPr>
          <w:rFonts w:cs="Arial"/>
          <w:sz w:val="22"/>
        </w:rPr>
        <w:t>E</w:t>
      </w:r>
      <w:r w:rsidRPr="00E33833">
        <w:rPr>
          <w:rFonts w:cs="Arial"/>
          <w:sz w:val="22"/>
        </w:rPr>
        <w:t>n consecuencia, la</w:t>
      </w:r>
      <w:r w:rsidR="003100FF">
        <w:rPr>
          <w:rFonts w:cs="Arial"/>
          <w:sz w:val="22"/>
        </w:rPr>
        <w:t xml:space="preserve"> </w:t>
      </w:r>
      <w:r w:rsidRPr="00E33833">
        <w:rPr>
          <w:rFonts w:cs="Arial"/>
          <w:sz w:val="22"/>
        </w:rPr>
        <w:t>libertad económica y contractual de quienes las acometen está sometida a los límites y</w:t>
      </w:r>
      <w:r w:rsidR="003100FF">
        <w:rPr>
          <w:rFonts w:cs="Arial"/>
          <w:sz w:val="22"/>
        </w:rPr>
        <w:t xml:space="preserve"> </w:t>
      </w:r>
      <w:r w:rsidRPr="00E33833">
        <w:rPr>
          <w:rFonts w:cs="Arial"/>
          <w:sz w:val="22"/>
        </w:rPr>
        <w:t>restricciones establecidas por la Constitución para este tipo de servicios públicos</w:t>
      </w:r>
      <w:r w:rsidR="001255EC">
        <w:rPr>
          <w:rFonts w:cs="Arial"/>
          <w:sz w:val="22"/>
        </w:rPr>
        <w:t xml:space="preserve"> </w:t>
      </w:r>
      <w:r w:rsidRPr="00E33833">
        <w:rPr>
          <w:rFonts w:cs="Arial"/>
          <w:sz w:val="22"/>
        </w:rPr>
        <w:t>y a las restricciones legales.</w:t>
      </w:r>
      <w:r w:rsidRPr="00E33833">
        <w:rPr>
          <w:rFonts w:cs="Arial"/>
          <w:sz w:val="22"/>
        </w:rPr>
        <w:cr/>
      </w:r>
    </w:p>
    <w:p w14:paraId="3E77BAA4" w14:textId="52C818E7" w:rsidR="00E11538" w:rsidRDefault="00E11538" w:rsidP="00CA7786">
      <w:pPr>
        <w:rPr>
          <w:rFonts w:cs="Arial"/>
          <w:sz w:val="22"/>
        </w:rPr>
      </w:pPr>
      <w:r w:rsidRPr="00E11538">
        <w:rPr>
          <w:rFonts w:cs="Arial"/>
          <w:sz w:val="22"/>
        </w:rPr>
        <w:t>Ley 142 de 1994, artículo 74.1, literal c), expresamente</w:t>
      </w:r>
      <w:r>
        <w:rPr>
          <w:rFonts w:cs="Arial"/>
          <w:sz w:val="22"/>
        </w:rPr>
        <w:t xml:space="preserve"> </w:t>
      </w:r>
      <w:r w:rsidRPr="00E11538">
        <w:rPr>
          <w:rFonts w:cs="Arial"/>
          <w:sz w:val="22"/>
        </w:rPr>
        <w:t xml:space="preserve">atribuyó a la CREG la función y facultad especial de expedir el </w:t>
      </w:r>
      <w:r w:rsidR="00A15263">
        <w:rPr>
          <w:rFonts w:cs="Arial"/>
          <w:sz w:val="22"/>
        </w:rPr>
        <w:t>R</w:t>
      </w:r>
      <w:r w:rsidRPr="00E11538">
        <w:rPr>
          <w:rFonts w:cs="Arial"/>
          <w:sz w:val="22"/>
        </w:rPr>
        <w:t xml:space="preserve">eglamento de </w:t>
      </w:r>
      <w:r w:rsidR="00A15263">
        <w:rPr>
          <w:rFonts w:cs="Arial"/>
          <w:sz w:val="22"/>
        </w:rPr>
        <w:t>O</w:t>
      </w:r>
      <w:r w:rsidRPr="00E11538">
        <w:rPr>
          <w:rFonts w:cs="Arial"/>
          <w:sz w:val="22"/>
        </w:rPr>
        <w:t>peración</w:t>
      </w:r>
      <w:r>
        <w:rPr>
          <w:rFonts w:cs="Arial"/>
          <w:sz w:val="22"/>
        </w:rPr>
        <w:t xml:space="preserve"> </w:t>
      </w:r>
      <w:r w:rsidRPr="00E11538">
        <w:rPr>
          <w:rFonts w:cs="Arial"/>
          <w:sz w:val="22"/>
        </w:rPr>
        <w:t>para regular el funcionamiento del Mercado Mayorista de Energía.</w:t>
      </w:r>
    </w:p>
    <w:p w14:paraId="6BD34330" w14:textId="77777777" w:rsidR="00E11538" w:rsidRPr="00E11538" w:rsidRDefault="00E11538" w:rsidP="00CA7786">
      <w:pPr>
        <w:rPr>
          <w:rFonts w:cs="Arial"/>
          <w:sz w:val="22"/>
        </w:rPr>
      </w:pPr>
    </w:p>
    <w:p w14:paraId="3A6DF97F" w14:textId="0C55619C" w:rsidR="00E11538" w:rsidRDefault="00E11538" w:rsidP="00CA7786">
      <w:pPr>
        <w:rPr>
          <w:rFonts w:cs="Arial"/>
          <w:sz w:val="22"/>
        </w:rPr>
      </w:pPr>
      <w:r w:rsidRPr="00E11538">
        <w:rPr>
          <w:rFonts w:cs="Arial"/>
          <w:sz w:val="22"/>
        </w:rPr>
        <w:t>Aplicando las definiciones de Reglamento de Operación y de Mercado Mayorista</w:t>
      </w:r>
      <w:r>
        <w:rPr>
          <w:rFonts w:cs="Arial"/>
          <w:sz w:val="22"/>
        </w:rPr>
        <w:t xml:space="preserve"> </w:t>
      </w:r>
      <w:r w:rsidRPr="00E11538">
        <w:rPr>
          <w:rFonts w:cs="Arial"/>
          <w:sz w:val="22"/>
        </w:rPr>
        <w:t>contenidas en el Artículo 11 de la Ley 143 de 1994, en virtud de esta función le</w:t>
      </w:r>
      <w:r>
        <w:rPr>
          <w:rFonts w:cs="Arial"/>
          <w:sz w:val="22"/>
        </w:rPr>
        <w:t xml:space="preserve"> </w:t>
      </w:r>
      <w:r w:rsidRPr="00E11538">
        <w:rPr>
          <w:rFonts w:cs="Arial"/>
          <w:sz w:val="22"/>
        </w:rPr>
        <w:t>corresponde a la CREG definir el conjunto de principios, criterios y procedimientos</w:t>
      </w:r>
      <w:r>
        <w:rPr>
          <w:rFonts w:cs="Arial"/>
          <w:sz w:val="22"/>
        </w:rPr>
        <w:t xml:space="preserve"> </w:t>
      </w:r>
      <w:r w:rsidRPr="00E11538">
        <w:rPr>
          <w:rFonts w:cs="Arial"/>
          <w:sz w:val="22"/>
        </w:rPr>
        <w:t>obligatorios que deben cumplir los generadores y comercializadores para realizar sus</w:t>
      </w:r>
      <w:r>
        <w:rPr>
          <w:rFonts w:cs="Arial"/>
          <w:sz w:val="22"/>
        </w:rPr>
        <w:t xml:space="preserve"> </w:t>
      </w:r>
      <w:r w:rsidRPr="00E11538">
        <w:rPr>
          <w:rFonts w:cs="Arial"/>
          <w:sz w:val="22"/>
        </w:rPr>
        <w:t>operaciones económicas en este Mercado.</w:t>
      </w:r>
    </w:p>
    <w:p w14:paraId="6998074B" w14:textId="77777777" w:rsidR="00E11538" w:rsidRPr="00E11538" w:rsidRDefault="00E11538" w:rsidP="00CA7786">
      <w:pPr>
        <w:rPr>
          <w:rFonts w:cs="Arial"/>
          <w:sz w:val="22"/>
        </w:rPr>
      </w:pPr>
    </w:p>
    <w:p w14:paraId="66B214CE" w14:textId="4FC42030" w:rsidR="00DD52AA" w:rsidRDefault="00E11538" w:rsidP="00CA7786">
      <w:pPr>
        <w:rPr>
          <w:rFonts w:cs="Arial"/>
          <w:sz w:val="22"/>
        </w:rPr>
      </w:pPr>
      <w:r w:rsidRPr="00E11538">
        <w:rPr>
          <w:rFonts w:cs="Arial"/>
          <w:sz w:val="22"/>
        </w:rPr>
        <w:t>Esta función comprende la regulación de todos los aspectos relativos al funcionamiento</w:t>
      </w:r>
      <w:r>
        <w:rPr>
          <w:rFonts w:cs="Arial"/>
          <w:sz w:val="22"/>
        </w:rPr>
        <w:t xml:space="preserve"> </w:t>
      </w:r>
      <w:r w:rsidRPr="00E11538">
        <w:rPr>
          <w:rFonts w:cs="Arial"/>
          <w:sz w:val="22"/>
        </w:rPr>
        <w:t>del Mercado Mayorista, incluidos los relacionados con su diseño, organización, los</w:t>
      </w:r>
      <w:r>
        <w:rPr>
          <w:rFonts w:cs="Arial"/>
          <w:sz w:val="22"/>
        </w:rPr>
        <w:t xml:space="preserve"> </w:t>
      </w:r>
      <w:r w:rsidRPr="00E11538">
        <w:rPr>
          <w:rFonts w:cs="Arial"/>
          <w:sz w:val="22"/>
        </w:rPr>
        <w:t>contratos que allí se celebran y todos los demás que sean necesarios para que se</w:t>
      </w:r>
      <w:r>
        <w:rPr>
          <w:rFonts w:cs="Arial"/>
          <w:sz w:val="22"/>
        </w:rPr>
        <w:t xml:space="preserve"> </w:t>
      </w:r>
      <w:r w:rsidRPr="00E11538">
        <w:rPr>
          <w:rFonts w:cs="Arial"/>
          <w:sz w:val="22"/>
        </w:rPr>
        <w:t>logren los fines atribuidos por la Constitución y la Ley al Mercado.</w:t>
      </w:r>
      <w:r w:rsidRPr="00E11538">
        <w:rPr>
          <w:rFonts w:cs="Arial"/>
          <w:sz w:val="22"/>
        </w:rPr>
        <w:cr/>
      </w:r>
    </w:p>
    <w:p w14:paraId="4F234FE3" w14:textId="446BF29F" w:rsidR="00EC1EDD" w:rsidRPr="00EC1EDD" w:rsidRDefault="00EC1EDD" w:rsidP="00CA7786">
      <w:pPr>
        <w:rPr>
          <w:rFonts w:cs="Arial"/>
          <w:sz w:val="22"/>
        </w:rPr>
      </w:pPr>
      <w:r w:rsidRPr="00EC1EDD">
        <w:rPr>
          <w:rFonts w:cs="Arial"/>
          <w:sz w:val="22"/>
        </w:rPr>
        <w:t>Está definida, tanto desde el punto de vista constitucional como legal, la</w:t>
      </w:r>
      <w:r>
        <w:rPr>
          <w:rFonts w:cs="Arial"/>
          <w:sz w:val="22"/>
        </w:rPr>
        <w:t xml:space="preserve"> </w:t>
      </w:r>
      <w:r w:rsidRPr="00EC1EDD">
        <w:rPr>
          <w:rFonts w:cs="Arial"/>
          <w:sz w:val="22"/>
        </w:rPr>
        <w:t>competencia de la CREG para regular el funcionamiento del Mercado Mayorista</w:t>
      </w:r>
      <w:r>
        <w:rPr>
          <w:rFonts w:cs="Arial"/>
          <w:sz w:val="22"/>
        </w:rPr>
        <w:t xml:space="preserve"> </w:t>
      </w:r>
      <w:r w:rsidRPr="00EC1EDD">
        <w:rPr>
          <w:rFonts w:cs="Arial"/>
          <w:sz w:val="22"/>
        </w:rPr>
        <w:t>a través del Reglamento de Operación, que se materializa en resoluciones de</w:t>
      </w:r>
      <w:r>
        <w:rPr>
          <w:rFonts w:cs="Arial"/>
          <w:sz w:val="22"/>
        </w:rPr>
        <w:t xml:space="preserve"> </w:t>
      </w:r>
      <w:r w:rsidRPr="00EC1EDD">
        <w:rPr>
          <w:rFonts w:cs="Arial"/>
          <w:sz w:val="22"/>
        </w:rPr>
        <w:t>carácter general, impersonal y abstracto.</w:t>
      </w:r>
    </w:p>
    <w:p w14:paraId="5B054D0F" w14:textId="77777777" w:rsidR="00EC1EDD" w:rsidRDefault="00EC1EDD" w:rsidP="00CA7786">
      <w:pPr>
        <w:rPr>
          <w:rFonts w:cs="Arial"/>
          <w:sz w:val="22"/>
        </w:rPr>
      </w:pPr>
    </w:p>
    <w:p w14:paraId="09C7D0C8" w14:textId="296EB0A9" w:rsidR="00EC1EDD" w:rsidRPr="00EC1EDD" w:rsidRDefault="00EC1EDD" w:rsidP="00CA7786">
      <w:pPr>
        <w:rPr>
          <w:rFonts w:cs="Arial"/>
          <w:sz w:val="22"/>
        </w:rPr>
      </w:pPr>
      <w:r w:rsidRPr="00EC1EDD">
        <w:rPr>
          <w:rFonts w:cs="Arial"/>
          <w:sz w:val="22"/>
        </w:rPr>
        <w:lastRenderedPageBreak/>
        <w:t>En ejercicio de esta función, le compete a la CREG regular todos aquellos</w:t>
      </w:r>
      <w:r>
        <w:rPr>
          <w:rFonts w:cs="Arial"/>
          <w:sz w:val="22"/>
        </w:rPr>
        <w:t xml:space="preserve"> </w:t>
      </w:r>
      <w:r w:rsidRPr="00EC1EDD">
        <w:rPr>
          <w:rFonts w:cs="Arial"/>
          <w:sz w:val="22"/>
        </w:rPr>
        <w:t>“elementos o factores del mercado mayorista”, tales como los contratos que se</w:t>
      </w:r>
      <w:r>
        <w:rPr>
          <w:rFonts w:cs="Arial"/>
          <w:sz w:val="22"/>
        </w:rPr>
        <w:t xml:space="preserve"> </w:t>
      </w:r>
      <w:r w:rsidRPr="00EC1EDD">
        <w:rPr>
          <w:rFonts w:cs="Arial"/>
          <w:sz w:val="22"/>
        </w:rPr>
        <w:t>celebran en dicho mercado para el suministro de la energía eléctrica, los niveles</w:t>
      </w:r>
      <w:r>
        <w:rPr>
          <w:rFonts w:cs="Arial"/>
          <w:sz w:val="22"/>
        </w:rPr>
        <w:t xml:space="preserve"> </w:t>
      </w:r>
      <w:r w:rsidRPr="00EC1EDD">
        <w:rPr>
          <w:rFonts w:cs="Arial"/>
          <w:sz w:val="22"/>
        </w:rPr>
        <w:t>mínimos operativos, la intervención de precios de oferta, etc.</w:t>
      </w:r>
    </w:p>
    <w:p w14:paraId="006F1C84" w14:textId="77777777" w:rsidR="00EC1EDD" w:rsidRDefault="00EC1EDD" w:rsidP="00CA7786">
      <w:pPr>
        <w:rPr>
          <w:rFonts w:cs="Arial"/>
          <w:sz w:val="22"/>
        </w:rPr>
      </w:pPr>
    </w:p>
    <w:p w14:paraId="179F7DAB" w14:textId="729D384B" w:rsidR="00EC1EDD" w:rsidRPr="00EC1EDD" w:rsidRDefault="00EC1EDD" w:rsidP="00CA7786">
      <w:pPr>
        <w:rPr>
          <w:rFonts w:cs="Arial"/>
          <w:sz w:val="22"/>
        </w:rPr>
      </w:pPr>
      <w:r w:rsidRPr="00EC1EDD">
        <w:rPr>
          <w:rFonts w:cs="Arial"/>
          <w:sz w:val="22"/>
        </w:rPr>
        <w:t>El contrato para el suministro de energía es un instrumento indispensable para el</w:t>
      </w:r>
      <w:r w:rsidR="00DA3DAF">
        <w:rPr>
          <w:rFonts w:cs="Arial"/>
          <w:sz w:val="22"/>
        </w:rPr>
        <w:t xml:space="preserve"> </w:t>
      </w:r>
      <w:r w:rsidRPr="00EC1EDD">
        <w:rPr>
          <w:rFonts w:cs="Arial"/>
          <w:sz w:val="22"/>
        </w:rPr>
        <w:t>funcionamiento del Mercado Mayorista, pues precisamente es a través de este</w:t>
      </w:r>
      <w:r w:rsidR="00DA3DAF">
        <w:rPr>
          <w:rFonts w:cs="Arial"/>
          <w:sz w:val="22"/>
        </w:rPr>
        <w:t xml:space="preserve"> </w:t>
      </w:r>
      <w:r w:rsidRPr="00EC1EDD">
        <w:rPr>
          <w:rFonts w:cs="Arial"/>
          <w:sz w:val="22"/>
        </w:rPr>
        <w:t>instrumento que se compra y se vende energía. En tanto estos contratos dan</w:t>
      </w:r>
      <w:r w:rsidR="00DA3DAF">
        <w:rPr>
          <w:rFonts w:cs="Arial"/>
          <w:sz w:val="22"/>
        </w:rPr>
        <w:t xml:space="preserve"> </w:t>
      </w:r>
      <w:r w:rsidRPr="00EC1EDD">
        <w:rPr>
          <w:rFonts w:cs="Arial"/>
          <w:sz w:val="22"/>
        </w:rPr>
        <w:t>forma jurídica a las operaciones económicas propias del funcionamiento de</w:t>
      </w:r>
      <w:r w:rsidR="00DA3DAF">
        <w:rPr>
          <w:rFonts w:cs="Arial"/>
          <w:sz w:val="22"/>
        </w:rPr>
        <w:t xml:space="preserve"> </w:t>
      </w:r>
      <w:r w:rsidRPr="00EC1EDD">
        <w:rPr>
          <w:rFonts w:cs="Arial"/>
          <w:sz w:val="22"/>
        </w:rPr>
        <w:t>dicho mercado, le corresponde a la CREG establecer el régimen especial al que</w:t>
      </w:r>
      <w:r w:rsidR="00DA3DAF">
        <w:rPr>
          <w:rFonts w:cs="Arial"/>
          <w:sz w:val="22"/>
        </w:rPr>
        <w:t xml:space="preserve"> </w:t>
      </w:r>
      <w:r w:rsidRPr="00EC1EDD">
        <w:rPr>
          <w:rFonts w:cs="Arial"/>
          <w:sz w:val="22"/>
        </w:rPr>
        <w:t>estarán sometidos.</w:t>
      </w:r>
    </w:p>
    <w:p w14:paraId="0C96274F" w14:textId="77777777" w:rsidR="00EC1EDD" w:rsidRDefault="00EC1EDD" w:rsidP="00CA7786">
      <w:pPr>
        <w:rPr>
          <w:rFonts w:cs="Arial"/>
          <w:sz w:val="22"/>
        </w:rPr>
      </w:pPr>
    </w:p>
    <w:p w14:paraId="34BAE57B" w14:textId="768BE702" w:rsidR="00DD52AA" w:rsidRDefault="00EC1EDD" w:rsidP="00EC1EDD">
      <w:pPr>
        <w:rPr>
          <w:rFonts w:cs="Arial"/>
          <w:sz w:val="22"/>
        </w:rPr>
      </w:pPr>
      <w:r w:rsidRPr="00EC1EDD">
        <w:rPr>
          <w:rFonts w:cs="Arial"/>
          <w:sz w:val="22"/>
        </w:rPr>
        <w:t>La adopción de un régimen especial mediante el Reglamento de Operación para</w:t>
      </w:r>
      <w:r w:rsidR="00DA3DAF">
        <w:rPr>
          <w:rFonts w:cs="Arial"/>
          <w:sz w:val="22"/>
        </w:rPr>
        <w:t xml:space="preserve"> </w:t>
      </w:r>
      <w:r w:rsidRPr="00EC1EDD">
        <w:rPr>
          <w:rFonts w:cs="Arial"/>
          <w:sz w:val="22"/>
        </w:rPr>
        <w:t>los contratos que se celebran en el Mercado Mayorista para el suministro de la</w:t>
      </w:r>
      <w:r w:rsidR="00DA3DAF">
        <w:rPr>
          <w:rFonts w:cs="Arial"/>
          <w:sz w:val="22"/>
        </w:rPr>
        <w:t xml:space="preserve"> </w:t>
      </w:r>
      <w:r w:rsidRPr="00EC1EDD">
        <w:rPr>
          <w:rFonts w:cs="Arial"/>
          <w:sz w:val="22"/>
        </w:rPr>
        <w:t xml:space="preserve">energía </w:t>
      </w:r>
      <w:proofErr w:type="gramStart"/>
      <w:r w:rsidRPr="00EC1EDD">
        <w:rPr>
          <w:rFonts w:cs="Arial"/>
          <w:sz w:val="22"/>
        </w:rPr>
        <w:t>eléctrica,</w:t>
      </w:r>
      <w:proofErr w:type="gramEnd"/>
      <w:r w:rsidRPr="00EC1EDD">
        <w:rPr>
          <w:rFonts w:cs="Arial"/>
          <w:sz w:val="22"/>
        </w:rPr>
        <w:t xml:space="preserve"> no constituye la creación directa o autónoma de normas con</w:t>
      </w:r>
      <w:r w:rsidR="00DA3DAF">
        <w:rPr>
          <w:rFonts w:cs="Arial"/>
          <w:sz w:val="22"/>
        </w:rPr>
        <w:t xml:space="preserve"> </w:t>
      </w:r>
      <w:r w:rsidRPr="00EC1EDD">
        <w:rPr>
          <w:rFonts w:cs="Arial"/>
          <w:sz w:val="22"/>
        </w:rPr>
        <w:t>fuerza de ley, sino que se trata aplicar y desarrollar los mandatos superiores</w:t>
      </w:r>
      <w:r w:rsidR="00DA3DAF">
        <w:rPr>
          <w:rFonts w:cs="Arial"/>
          <w:sz w:val="22"/>
        </w:rPr>
        <w:t xml:space="preserve"> </w:t>
      </w:r>
      <w:r w:rsidRPr="00EC1EDD">
        <w:rPr>
          <w:rFonts w:cs="Arial"/>
          <w:sz w:val="22"/>
        </w:rPr>
        <w:t>contenidos en las leyes 142 y 143 de 1994.</w:t>
      </w:r>
    </w:p>
    <w:p w14:paraId="7D6A14F2" w14:textId="77777777" w:rsidR="009C2C6F" w:rsidRDefault="009C2C6F" w:rsidP="00EC1EDD">
      <w:pPr>
        <w:rPr>
          <w:rFonts w:cs="Arial"/>
          <w:sz w:val="22"/>
        </w:rPr>
      </w:pPr>
    </w:p>
    <w:p w14:paraId="7FC987E7" w14:textId="5D6ECD6D" w:rsidR="009C2C6F" w:rsidRDefault="0061128A" w:rsidP="00CA7786">
      <w:pPr>
        <w:rPr>
          <w:rFonts w:cs="Arial"/>
          <w:sz w:val="22"/>
        </w:rPr>
      </w:pPr>
      <w:r>
        <w:rPr>
          <w:rFonts w:cs="Arial"/>
          <w:sz w:val="22"/>
        </w:rPr>
        <w:t>L</w:t>
      </w:r>
      <w:r w:rsidRPr="0061128A">
        <w:rPr>
          <w:rFonts w:cs="Arial"/>
          <w:sz w:val="22"/>
        </w:rPr>
        <w:t>a principal función que debe ejercer el regulador es</w:t>
      </w:r>
      <w:r>
        <w:rPr>
          <w:rFonts w:cs="Arial"/>
          <w:sz w:val="22"/>
        </w:rPr>
        <w:t xml:space="preserve"> </w:t>
      </w:r>
      <w:r w:rsidRPr="0061128A">
        <w:rPr>
          <w:rFonts w:cs="Arial"/>
          <w:sz w:val="22"/>
        </w:rPr>
        <w:t>la</w:t>
      </w:r>
      <w:r w:rsidR="00532706">
        <w:rPr>
          <w:rFonts w:cs="Arial"/>
          <w:sz w:val="22"/>
        </w:rPr>
        <w:t xml:space="preserve"> de</w:t>
      </w:r>
      <w:r w:rsidRPr="0061128A">
        <w:rPr>
          <w:rFonts w:cs="Arial"/>
          <w:sz w:val="22"/>
        </w:rPr>
        <w:t xml:space="preserve"> corregir las fallas del mercado para lograr condiciones de competencia que beneficien</w:t>
      </w:r>
      <w:r>
        <w:rPr>
          <w:rFonts w:cs="Arial"/>
          <w:sz w:val="22"/>
        </w:rPr>
        <w:t xml:space="preserve"> </w:t>
      </w:r>
      <w:r w:rsidRPr="0061128A">
        <w:rPr>
          <w:rFonts w:cs="Arial"/>
          <w:sz w:val="22"/>
        </w:rPr>
        <w:t>a los usuarios en la provisión del servicio de energía. Para el ejercicio de esta función</w:t>
      </w:r>
      <w:r>
        <w:rPr>
          <w:rFonts w:cs="Arial"/>
          <w:sz w:val="22"/>
        </w:rPr>
        <w:t xml:space="preserve"> </w:t>
      </w:r>
      <w:r w:rsidRPr="0061128A">
        <w:rPr>
          <w:rFonts w:cs="Arial"/>
          <w:sz w:val="22"/>
        </w:rPr>
        <w:t>el regulador debe sujetarse a las normas de carácter superior que lo rigen, encausarse</w:t>
      </w:r>
      <w:r>
        <w:rPr>
          <w:rFonts w:cs="Arial"/>
          <w:sz w:val="22"/>
        </w:rPr>
        <w:t xml:space="preserve"> </w:t>
      </w:r>
      <w:r w:rsidRPr="0061128A">
        <w:rPr>
          <w:rFonts w:cs="Arial"/>
          <w:sz w:val="22"/>
        </w:rPr>
        <w:t>al cumplimiento de los objetivos constitucionales y legales y debe considerar las</w:t>
      </w:r>
      <w:r>
        <w:rPr>
          <w:rFonts w:cs="Arial"/>
          <w:sz w:val="22"/>
        </w:rPr>
        <w:t xml:space="preserve"> </w:t>
      </w:r>
      <w:r w:rsidRPr="0061128A">
        <w:rPr>
          <w:rFonts w:cs="Arial"/>
          <w:sz w:val="22"/>
        </w:rPr>
        <w:t>condiciones del mercado que regula para atender adecuadamente estos mandatos y</w:t>
      </w:r>
      <w:r>
        <w:rPr>
          <w:rFonts w:cs="Arial"/>
          <w:sz w:val="22"/>
        </w:rPr>
        <w:t xml:space="preserve"> </w:t>
      </w:r>
      <w:r w:rsidRPr="0061128A">
        <w:rPr>
          <w:rFonts w:cs="Arial"/>
          <w:sz w:val="22"/>
        </w:rPr>
        <w:t>fines.</w:t>
      </w:r>
    </w:p>
    <w:p w14:paraId="46ABC5AD" w14:textId="77777777" w:rsidR="00E1018F" w:rsidRDefault="00E1018F" w:rsidP="0061128A">
      <w:pPr>
        <w:rPr>
          <w:rFonts w:cs="Arial"/>
          <w:sz w:val="22"/>
        </w:rPr>
      </w:pPr>
    </w:p>
    <w:p w14:paraId="024048FE" w14:textId="02D495B2" w:rsidR="00E1018F" w:rsidRDefault="00E1018F" w:rsidP="0061128A">
      <w:pPr>
        <w:rPr>
          <w:rFonts w:cs="Arial"/>
          <w:sz w:val="22"/>
        </w:rPr>
      </w:pPr>
      <w:r w:rsidRPr="003100FF">
        <w:rPr>
          <w:rFonts w:cs="Arial"/>
          <w:sz w:val="22"/>
        </w:rPr>
        <w:t>La estandarización de los contratos que se promovió con la expedición de la Resolución CREG 130 de 20</w:t>
      </w:r>
      <w:r w:rsidR="00E80E7B" w:rsidRPr="003100FF">
        <w:rPr>
          <w:rFonts w:cs="Arial"/>
          <w:sz w:val="22"/>
        </w:rPr>
        <w:t>19</w:t>
      </w:r>
      <w:r w:rsidRPr="003100FF">
        <w:rPr>
          <w:rFonts w:cs="Arial"/>
          <w:sz w:val="22"/>
        </w:rPr>
        <w:t>, la jurisprudencia nacional</w:t>
      </w:r>
      <w:r w:rsidR="00547EE7">
        <w:rPr>
          <w:rStyle w:val="Refdenotaalpie"/>
        </w:rPr>
        <w:footnoteReference w:id="4"/>
      </w:r>
      <w:r>
        <w:t xml:space="preserve"> </w:t>
      </w:r>
      <w:r w:rsidRPr="003100FF">
        <w:rPr>
          <w:rFonts w:cs="Arial"/>
          <w:sz w:val="22"/>
        </w:rPr>
        <w:t>y la doctrina</w:t>
      </w:r>
      <w:r w:rsidR="00944782">
        <w:rPr>
          <w:rStyle w:val="Refdenotaalpie"/>
        </w:rPr>
        <w:footnoteReference w:id="5"/>
      </w:r>
      <w:r>
        <w:t xml:space="preserve">, </w:t>
      </w:r>
      <w:r w:rsidRPr="003100FF">
        <w:rPr>
          <w:rFonts w:cs="Arial"/>
          <w:sz w:val="22"/>
        </w:rPr>
        <w:t xml:space="preserve">le han reconocido entre otros beneficios los de asegurar la estabilidad de los mercados, promover y afianzar el </w:t>
      </w:r>
      <w:r w:rsidRPr="00944782">
        <w:rPr>
          <w:rFonts w:cs="Arial"/>
          <w:sz w:val="22"/>
        </w:rPr>
        <w:t>cumplimiento de los derechos y obligaciones que de ellos nacen, estimular el aumento de las transacciones, favorecer una mayor seguridad jurídica y la reducción de los costos. Por otro lado, se trata de esquemas de contratación comúnmente aceptados y aplicados en el comercio internacional. No se puede interpretar que la contratación uniforme o estandarizada anule la libertad contractual</w:t>
      </w:r>
      <w:r w:rsidR="004A18BD">
        <w:rPr>
          <w:rFonts w:cs="Arial"/>
          <w:sz w:val="22"/>
        </w:rPr>
        <w:t>. C</w:t>
      </w:r>
      <w:r w:rsidRPr="00944782">
        <w:rPr>
          <w:rFonts w:cs="Arial"/>
          <w:sz w:val="22"/>
        </w:rPr>
        <w:t>onsideramos que por el contrario incentiva la contratación y permite la utilización eficiente y objetiva del contrato como mecanismo para el intercambio de bienes o servicios.</w:t>
      </w:r>
    </w:p>
    <w:p w14:paraId="47D6138D" w14:textId="77777777" w:rsidR="006E7D00" w:rsidRDefault="006E7D00" w:rsidP="0061128A">
      <w:pPr>
        <w:rPr>
          <w:rFonts w:cs="Arial"/>
          <w:sz w:val="22"/>
        </w:rPr>
      </w:pPr>
    </w:p>
    <w:p w14:paraId="73AA87A4" w14:textId="632187BA" w:rsidR="00A745E0" w:rsidRDefault="006E7D00" w:rsidP="00A745E0">
      <w:pPr>
        <w:rPr>
          <w:rFonts w:cs="Arial"/>
          <w:sz w:val="22"/>
        </w:rPr>
      </w:pPr>
      <w:r>
        <w:rPr>
          <w:rFonts w:cs="Arial"/>
          <w:sz w:val="22"/>
        </w:rPr>
        <w:lastRenderedPageBreak/>
        <w:t>En consecuencia,</w:t>
      </w:r>
      <w:r w:rsidR="00A745E0">
        <w:rPr>
          <w:rFonts w:cs="Arial"/>
          <w:sz w:val="22"/>
        </w:rPr>
        <w:t xml:space="preserve"> existen c</w:t>
      </w:r>
      <w:r w:rsidR="00A745E0" w:rsidRPr="00A745E0">
        <w:rPr>
          <w:rFonts w:cs="Arial"/>
          <w:sz w:val="22"/>
        </w:rPr>
        <w:t xml:space="preserve">riterios </w:t>
      </w:r>
      <w:r w:rsidR="00A745E0" w:rsidRPr="003472A2">
        <w:rPr>
          <w:rFonts w:cs="Arial"/>
          <w:sz w:val="22"/>
        </w:rPr>
        <w:t>constitucionales</w:t>
      </w:r>
      <w:r w:rsidR="00A745E0" w:rsidRPr="00A745E0">
        <w:rPr>
          <w:rFonts w:cs="Arial"/>
          <w:sz w:val="22"/>
        </w:rPr>
        <w:t xml:space="preserve"> y </w:t>
      </w:r>
      <w:r w:rsidR="00A745E0" w:rsidRPr="003472A2">
        <w:rPr>
          <w:rFonts w:cs="Arial"/>
          <w:sz w:val="22"/>
        </w:rPr>
        <w:t>jurisprudenciales</w:t>
      </w:r>
      <w:r w:rsidR="00A745E0" w:rsidRPr="00A745E0">
        <w:rPr>
          <w:rFonts w:cs="Arial"/>
          <w:sz w:val="22"/>
        </w:rPr>
        <w:t xml:space="preserve"> que </w:t>
      </w:r>
      <w:r w:rsidR="00847B44">
        <w:rPr>
          <w:rFonts w:cs="Arial"/>
          <w:sz w:val="22"/>
        </w:rPr>
        <w:t>NO</w:t>
      </w:r>
      <w:r w:rsidR="00A745E0" w:rsidRPr="00A745E0">
        <w:rPr>
          <w:rFonts w:cs="Arial"/>
          <w:sz w:val="22"/>
        </w:rPr>
        <w:t xml:space="preserve"> permiten concluir un reconocimiento absoluto de la autonomía de</w:t>
      </w:r>
      <w:r w:rsidR="00A745E0">
        <w:rPr>
          <w:rFonts w:cs="Arial"/>
          <w:sz w:val="22"/>
        </w:rPr>
        <w:t xml:space="preserve"> </w:t>
      </w:r>
      <w:r w:rsidR="00A745E0" w:rsidRPr="00A745E0">
        <w:rPr>
          <w:rFonts w:cs="Arial"/>
          <w:sz w:val="22"/>
        </w:rPr>
        <w:t xml:space="preserve">la voluntad privada a persona alguna. </w:t>
      </w:r>
      <w:r w:rsidR="00D0501E">
        <w:rPr>
          <w:rFonts w:cs="Arial"/>
          <w:sz w:val="22"/>
        </w:rPr>
        <w:t>L</w:t>
      </w:r>
      <w:r w:rsidR="00A745E0" w:rsidRPr="00A745E0">
        <w:rPr>
          <w:rFonts w:cs="Arial"/>
          <w:sz w:val="22"/>
        </w:rPr>
        <w:t>a Corte Constitucional</w:t>
      </w:r>
      <w:r w:rsidR="00A745E0">
        <w:rPr>
          <w:rFonts w:cs="Arial"/>
          <w:sz w:val="22"/>
        </w:rPr>
        <w:t xml:space="preserve"> </w:t>
      </w:r>
      <w:r w:rsidR="00A745E0" w:rsidRPr="00A745E0">
        <w:rPr>
          <w:rFonts w:cs="Arial"/>
          <w:sz w:val="22"/>
        </w:rPr>
        <w:t>ha sido enfática al señalar que la Constitución Política no reconoce la autonomía de la</w:t>
      </w:r>
      <w:r w:rsidR="00A745E0">
        <w:rPr>
          <w:rFonts w:cs="Arial"/>
          <w:sz w:val="22"/>
        </w:rPr>
        <w:t xml:space="preserve"> </w:t>
      </w:r>
      <w:r w:rsidR="00A745E0" w:rsidRPr="00A745E0">
        <w:rPr>
          <w:rFonts w:cs="Arial"/>
          <w:sz w:val="22"/>
        </w:rPr>
        <w:t>voluntad privada como un concepto absoluto, y menos autoritario. No puede, por tanto,</w:t>
      </w:r>
      <w:r w:rsidR="00A745E0">
        <w:rPr>
          <w:rFonts w:cs="Arial"/>
          <w:sz w:val="22"/>
        </w:rPr>
        <w:t xml:space="preserve"> </w:t>
      </w:r>
      <w:r w:rsidR="00A745E0" w:rsidRPr="00A745E0">
        <w:rPr>
          <w:rFonts w:cs="Arial"/>
          <w:sz w:val="22"/>
        </w:rPr>
        <w:t>interpretarse la ley en este sentido.</w:t>
      </w:r>
    </w:p>
    <w:p w14:paraId="51866F66" w14:textId="77777777" w:rsidR="005F7675" w:rsidRDefault="005F7675" w:rsidP="00A745E0">
      <w:pPr>
        <w:rPr>
          <w:rFonts w:cs="Arial"/>
          <w:sz w:val="22"/>
        </w:rPr>
      </w:pPr>
    </w:p>
    <w:p w14:paraId="3380D48C" w14:textId="6CF4BD70" w:rsidR="005F7675" w:rsidRDefault="00CC1B8F" w:rsidP="00A745E0">
      <w:pPr>
        <w:rPr>
          <w:rFonts w:cs="Arial"/>
          <w:sz w:val="22"/>
        </w:rPr>
      </w:pPr>
      <w:r>
        <w:rPr>
          <w:rFonts w:cs="Arial"/>
          <w:sz w:val="22"/>
        </w:rPr>
        <w:t>E</w:t>
      </w:r>
      <w:r w:rsidRPr="00CC1B8F">
        <w:rPr>
          <w:rFonts w:cs="Arial"/>
          <w:sz w:val="22"/>
        </w:rPr>
        <w:t>l campo de la libertad contractual se concreta en la</w:t>
      </w:r>
      <w:r>
        <w:rPr>
          <w:rFonts w:cs="Arial"/>
          <w:sz w:val="22"/>
        </w:rPr>
        <w:t xml:space="preserve"> </w:t>
      </w:r>
      <w:r w:rsidRPr="00CC1B8F">
        <w:rPr>
          <w:rFonts w:cs="Arial"/>
          <w:sz w:val="22"/>
        </w:rPr>
        <w:t>autonomía de cada individuo para decidir si celebra o no celebra un determinado</w:t>
      </w:r>
      <w:r>
        <w:rPr>
          <w:rFonts w:cs="Arial"/>
          <w:sz w:val="22"/>
        </w:rPr>
        <w:t xml:space="preserve"> </w:t>
      </w:r>
      <w:r w:rsidRPr="00CC1B8F">
        <w:rPr>
          <w:rFonts w:cs="Arial"/>
          <w:sz w:val="22"/>
        </w:rPr>
        <w:t>contrato y para definir su contenido. Por su alcance, esta libertad no puede ser pretexto</w:t>
      </w:r>
      <w:r>
        <w:rPr>
          <w:rFonts w:cs="Arial"/>
          <w:sz w:val="22"/>
        </w:rPr>
        <w:t xml:space="preserve"> </w:t>
      </w:r>
      <w:r w:rsidRPr="00CC1B8F">
        <w:rPr>
          <w:rFonts w:cs="Arial"/>
          <w:sz w:val="22"/>
        </w:rPr>
        <w:t>para interferir en la facultad que tiene el Estado para intervenir en la economía y en</w:t>
      </w:r>
      <w:r>
        <w:rPr>
          <w:rFonts w:cs="Arial"/>
          <w:sz w:val="22"/>
        </w:rPr>
        <w:t xml:space="preserve"> </w:t>
      </w:r>
      <w:r w:rsidRPr="00CC1B8F">
        <w:rPr>
          <w:rFonts w:cs="Arial"/>
          <w:sz w:val="22"/>
        </w:rPr>
        <w:t>particular en los servicios públicos imponiendo límites a la libertad económica; para</w:t>
      </w:r>
      <w:r>
        <w:rPr>
          <w:rFonts w:cs="Arial"/>
          <w:sz w:val="22"/>
        </w:rPr>
        <w:t xml:space="preserve"> </w:t>
      </w:r>
      <w:r w:rsidRPr="00CC1B8F">
        <w:rPr>
          <w:rFonts w:cs="Arial"/>
          <w:sz w:val="22"/>
        </w:rPr>
        <w:t>regular la organización de las actividades económicas, inspeccionar, vigilar y controlar,</w:t>
      </w:r>
      <w:r>
        <w:rPr>
          <w:rFonts w:cs="Arial"/>
          <w:sz w:val="22"/>
        </w:rPr>
        <w:t xml:space="preserve"> </w:t>
      </w:r>
      <w:r w:rsidRPr="00CC1B8F">
        <w:rPr>
          <w:rFonts w:cs="Arial"/>
          <w:sz w:val="22"/>
        </w:rPr>
        <w:t>y corregir las deficiencias del mercado, imponiendo límites a la libertad de empresa; así</w:t>
      </w:r>
      <w:r>
        <w:rPr>
          <w:rFonts w:cs="Arial"/>
          <w:sz w:val="22"/>
        </w:rPr>
        <w:t xml:space="preserve"> </w:t>
      </w:r>
      <w:r w:rsidRPr="00CC1B8F">
        <w:rPr>
          <w:rFonts w:cs="Arial"/>
          <w:sz w:val="22"/>
        </w:rPr>
        <w:t>como para intervenir en todos aquellos aspectos que sean necesarios para crear,</w:t>
      </w:r>
      <w:r>
        <w:rPr>
          <w:rFonts w:cs="Arial"/>
          <w:sz w:val="22"/>
        </w:rPr>
        <w:t xml:space="preserve"> </w:t>
      </w:r>
      <w:r w:rsidRPr="00CC1B8F">
        <w:rPr>
          <w:rFonts w:cs="Arial"/>
          <w:sz w:val="22"/>
        </w:rPr>
        <w:t>promover, incentivar y preservar la competencia</w:t>
      </w:r>
      <w:r w:rsidR="00171485">
        <w:rPr>
          <w:rStyle w:val="Refdenotaalpie"/>
          <w:rFonts w:cs="Arial"/>
          <w:sz w:val="22"/>
        </w:rPr>
        <w:footnoteReference w:id="6"/>
      </w:r>
      <w:r w:rsidRPr="00CC1B8F">
        <w:rPr>
          <w:rFonts w:cs="Arial"/>
          <w:sz w:val="22"/>
        </w:rPr>
        <w:t>.</w:t>
      </w:r>
      <w:r>
        <w:rPr>
          <w:rFonts w:cs="Arial"/>
          <w:sz w:val="22"/>
        </w:rPr>
        <w:t xml:space="preserve"> </w:t>
      </w:r>
      <w:r w:rsidR="00E263EC">
        <w:rPr>
          <w:rFonts w:cs="Arial"/>
          <w:sz w:val="22"/>
        </w:rPr>
        <w:t>Al respecto, es importante también tener en cuenta lo que l</w:t>
      </w:r>
      <w:r w:rsidR="005F7675">
        <w:rPr>
          <w:rFonts w:cs="Arial"/>
          <w:sz w:val="22"/>
        </w:rPr>
        <w:t xml:space="preserve">a Corte Constitucional ha </w:t>
      </w:r>
      <w:r w:rsidR="00AA12C6">
        <w:rPr>
          <w:rFonts w:cs="Arial"/>
          <w:sz w:val="22"/>
        </w:rPr>
        <w:t xml:space="preserve">definido </w:t>
      </w:r>
      <w:r w:rsidR="00ED575D">
        <w:rPr>
          <w:rFonts w:cs="Arial"/>
          <w:sz w:val="22"/>
        </w:rPr>
        <w:t xml:space="preserve">para </w:t>
      </w:r>
      <w:r w:rsidR="00AA12C6">
        <w:rPr>
          <w:rFonts w:cs="Arial"/>
          <w:sz w:val="22"/>
        </w:rPr>
        <w:t xml:space="preserve">el </w:t>
      </w:r>
      <w:r w:rsidR="00AA12C6">
        <w:rPr>
          <w:rFonts w:cs="Arial"/>
          <w:sz w:val="22"/>
        </w:rPr>
        <w:lastRenderedPageBreak/>
        <w:t>entendimiento y alcance de la libertad económica</w:t>
      </w:r>
      <w:r w:rsidR="008E560C">
        <w:rPr>
          <w:rStyle w:val="Refdenotaalpie"/>
          <w:rFonts w:cs="Arial"/>
          <w:sz w:val="22"/>
        </w:rPr>
        <w:footnoteReference w:id="7"/>
      </w:r>
      <w:r w:rsidR="00AA12C6">
        <w:rPr>
          <w:rFonts w:cs="Arial"/>
          <w:sz w:val="22"/>
        </w:rPr>
        <w:t>, la libre competencia</w:t>
      </w:r>
      <w:r w:rsidR="00C21D4C">
        <w:rPr>
          <w:rStyle w:val="Refdenotaalpie"/>
          <w:rFonts w:cs="Arial"/>
          <w:sz w:val="22"/>
        </w:rPr>
        <w:footnoteReference w:id="8"/>
      </w:r>
      <w:r w:rsidR="0000408C">
        <w:rPr>
          <w:rFonts w:cs="Arial"/>
          <w:sz w:val="22"/>
        </w:rPr>
        <w:t>, la libertad de empresa</w:t>
      </w:r>
      <w:r w:rsidR="00316579">
        <w:rPr>
          <w:rStyle w:val="Refdenotaalpie"/>
          <w:rFonts w:cs="Arial"/>
          <w:sz w:val="22"/>
        </w:rPr>
        <w:footnoteReference w:id="9"/>
      </w:r>
      <w:r w:rsidR="00AA12C6">
        <w:rPr>
          <w:rFonts w:cs="Arial"/>
          <w:sz w:val="22"/>
        </w:rPr>
        <w:t xml:space="preserve"> y </w:t>
      </w:r>
      <w:r w:rsidR="00601E66">
        <w:rPr>
          <w:rFonts w:cs="Arial"/>
          <w:sz w:val="22"/>
        </w:rPr>
        <w:t>la libertad de contratación</w:t>
      </w:r>
      <w:r w:rsidR="009863CF">
        <w:rPr>
          <w:rStyle w:val="Refdenotaalpie"/>
          <w:rFonts w:cs="Arial"/>
          <w:sz w:val="22"/>
        </w:rPr>
        <w:footnoteReference w:id="10"/>
      </w:r>
      <w:r w:rsidR="00601E66">
        <w:rPr>
          <w:rFonts w:cs="Arial"/>
          <w:sz w:val="22"/>
        </w:rPr>
        <w:t xml:space="preserve">. </w:t>
      </w:r>
    </w:p>
    <w:p w14:paraId="11D0A97D" w14:textId="77777777" w:rsidR="00A745E0" w:rsidRPr="00A745E0" w:rsidRDefault="00A745E0" w:rsidP="00A745E0">
      <w:pPr>
        <w:rPr>
          <w:rFonts w:cs="Arial"/>
          <w:sz w:val="22"/>
        </w:rPr>
      </w:pPr>
    </w:p>
    <w:p w14:paraId="522D92A7" w14:textId="6058D892" w:rsidR="00F63DBF" w:rsidRPr="00F63DBF" w:rsidRDefault="00F63DBF" w:rsidP="00F63DBF">
      <w:pPr>
        <w:rPr>
          <w:rFonts w:cs="Arial"/>
          <w:sz w:val="22"/>
        </w:rPr>
      </w:pPr>
      <w:r w:rsidRPr="00F63DBF">
        <w:rPr>
          <w:rFonts w:cs="Arial"/>
          <w:sz w:val="22"/>
        </w:rPr>
        <w:t>De la extensa jurisprudencia de la Corte se extraen las siguientes condiciones o</w:t>
      </w:r>
      <w:r>
        <w:rPr>
          <w:rFonts w:cs="Arial"/>
          <w:sz w:val="22"/>
        </w:rPr>
        <w:t xml:space="preserve"> </w:t>
      </w:r>
      <w:r w:rsidRPr="00F63DBF">
        <w:rPr>
          <w:rFonts w:cs="Arial"/>
          <w:sz w:val="22"/>
        </w:rPr>
        <w:t>características de los límites a la libertad contractual:</w:t>
      </w:r>
    </w:p>
    <w:p w14:paraId="338F27D1" w14:textId="77777777" w:rsidR="002F5419" w:rsidRPr="00F63DBF" w:rsidRDefault="002F5419" w:rsidP="00F63DBF">
      <w:pPr>
        <w:rPr>
          <w:rFonts w:cs="Arial"/>
          <w:sz w:val="22"/>
        </w:rPr>
      </w:pPr>
    </w:p>
    <w:p w14:paraId="332489D7" w14:textId="74CEB56C" w:rsidR="00F63DBF" w:rsidRPr="00F63DBF" w:rsidRDefault="00F63DBF" w:rsidP="00F63DBF">
      <w:pPr>
        <w:rPr>
          <w:rFonts w:cs="Arial"/>
          <w:sz w:val="22"/>
        </w:rPr>
      </w:pPr>
      <w:r w:rsidRPr="00F63DBF">
        <w:rPr>
          <w:rFonts w:cs="Arial"/>
          <w:sz w:val="22"/>
        </w:rPr>
        <w:lastRenderedPageBreak/>
        <w:t>i</w:t>
      </w:r>
      <w:r w:rsidR="002F5419">
        <w:rPr>
          <w:rFonts w:cs="Arial"/>
          <w:sz w:val="22"/>
        </w:rPr>
        <w:t>).</w:t>
      </w:r>
      <w:r w:rsidRPr="00F63DBF">
        <w:rPr>
          <w:rFonts w:cs="Arial"/>
          <w:sz w:val="22"/>
        </w:rPr>
        <w:t xml:space="preserve"> La Constitución Política impuso a la libertad contractual los mismos límites de la</w:t>
      </w:r>
      <w:r w:rsidR="002F5419">
        <w:rPr>
          <w:rFonts w:cs="Arial"/>
          <w:sz w:val="22"/>
        </w:rPr>
        <w:t xml:space="preserve"> </w:t>
      </w:r>
      <w:r w:rsidRPr="00F63DBF">
        <w:rPr>
          <w:rFonts w:cs="Arial"/>
          <w:sz w:val="22"/>
        </w:rPr>
        <w:t>libertad económica, con el fin de que no se ejerza arbitrariamente ni en contra de los</w:t>
      </w:r>
      <w:r w:rsidR="002F5419">
        <w:rPr>
          <w:rFonts w:cs="Arial"/>
          <w:sz w:val="22"/>
        </w:rPr>
        <w:t xml:space="preserve"> </w:t>
      </w:r>
      <w:r w:rsidRPr="00F63DBF">
        <w:rPr>
          <w:rFonts w:cs="Arial"/>
          <w:sz w:val="22"/>
        </w:rPr>
        <w:t>principios constitucionales</w:t>
      </w:r>
      <w:r w:rsidR="002F5419">
        <w:rPr>
          <w:rStyle w:val="Refdenotaalpie"/>
          <w:rFonts w:cs="Arial"/>
          <w:sz w:val="22"/>
        </w:rPr>
        <w:footnoteReference w:id="11"/>
      </w:r>
      <w:r w:rsidRPr="00F63DBF">
        <w:rPr>
          <w:rFonts w:cs="Arial"/>
          <w:sz w:val="22"/>
        </w:rPr>
        <w:t>.</w:t>
      </w:r>
    </w:p>
    <w:p w14:paraId="20BEBA2F" w14:textId="77777777" w:rsidR="00AE159A" w:rsidRPr="00F63DBF" w:rsidRDefault="00AE159A" w:rsidP="00F63DBF">
      <w:pPr>
        <w:rPr>
          <w:rFonts w:cs="Arial"/>
          <w:sz w:val="22"/>
        </w:rPr>
      </w:pPr>
    </w:p>
    <w:p w14:paraId="66268E67" w14:textId="5A29F01C" w:rsidR="00F63DBF" w:rsidRPr="00F63DBF" w:rsidRDefault="00F63DBF" w:rsidP="00F63DBF">
      <w:pPr>
        <w:rPr>
          <w:rFonts w:cs="Arial"/>
          <w:sz w:val="22"/>
        </w:rPr>
      </w:pPr>
      <w:proofErr w:type="spellStart"/>
      <w:r w:rsidRPr="00F63DBF">
        <w:rPr>
          <w:rFonts w:cs="Arial"/>
          <w:sz w:val="22"/>
        </w:rPr>
        <w:t>ii</w:t>
      </w:r>
      <w:proofErr w:type="spellEnd"/>
      <w:r w:rsidRPr="00F63DBF">
        <w:rPr>
          <w:rFonts w:cs="Arial"/>
          <w:sz w:val="22"/>
        </w:rPr>
        <w:t>) Desde la Constitución Política la libertad contractual está limitada por la prevalencia</w:t>
      </w:r>
      <w:r w:rsidR="00AE159A">
        <w:rPr>
          <w:rFonts w:cs="Arial"/>
          <w:sz w:val="22"/>
        </w:rPr>
        <w:t xml:space="preserve"> </w:t>
      </w:r>
      <w:r w:rsidRPr="00F63DBF">
        <w:rPr>
          <w:rFonts w:cs="Arial"/>
          <w:sz w:val="22"/>
        </w:rPr>
        <w:t>del interés general; por la promoción del bienestar general; por razones de</w:t>
      </w:r>
      <w:r w:rsidR="00AE159A">
        <w:rPr>
          <w:rFonts w:cs="Arial"/>
          <w:sz w:val="22"/>
        </w:rPr>
        <w:t xml:space="preserve"> </w:t>
      </w:r>
      <w:r w:rsidRPr="00F63DBF">
        <w:rPr>
          <w:rFonts w:cs="Arial"/>
          <w:sz w:val="22"/>
        </w:rPr>
        <w:t>seguridad, salubridad, moralidad, utilidad pública o interés social; por los principios</w:t>
      </w:r>
      <w:r w:rsidR="00AE159A">
        <w:rPr>
          <w:rFonts w:cs="Arial"/>
          <w:sz w:val="22"/>
        </w:rPr>
        <w:t xml:space="preserve"> </w:t>
      </w:r>
      <w:r w:rsidRPr="00F63DBF">
        <w:rPr>
          <w:rFonts w:cs="Arial"/>
          <w:sz w:val="22"/>
        </w:rPr>
        <w:t>constitucionales, como la libre y leal competencia, la eficiencia, la justicia y la</w:t>
      </w:r>
      <w:r w:rsidR="00AE159A">
        <w:rPr>
          <w:rFonts w:cs="Arial"/>
          <w:sz w:val="22"/>
        </w:rPr>
        <w:t xml:space="preserve"> </w:t>
      </w:r>
      <w:r w:rsidRPr="00F63DBF">
        <w:rPr>
          <w:rFonts w:cs="Arial"/>
          <w:sz w:val="22"/>
        </w:rPr>
        <w:t>equidad; y en términos generales por las competencias de intervención y</w:t>
      </w:r>
      <w:r w:rsidR="00AE159A">
        <w:rPr>
          <w:rFonts w:cs="Arial"/>
          <w:sz w:val="22"/>
        </w:rPr>
        <w:t xml:space="preserve"> </w:t>
      </w:r>
      <w:r w:rsidRPr="00F63DBF">
        <w:rPr>
          <w:rFonts w:cs="Arial"/>
          <w:sz w:val="22"/>
        </w:rPr>
        <w:t>regulación a cargo del Estado, que es mucho más intensa precisamente cuando se</w:t>
      </w:r>
      <w:r w:rsidR="00AE159A">
        <w:rPr>
          <w:rFonts w:cs="Arial"/>
          <w:sz w:val="22"/>
        </w:rPr>
        <w:t xml:space="preserve"> </w:t>
      </w:r>
      <w:r w:rsidRPr="00F63DBF">
        <w:rPr>
          <w:rFonts w:cs="Arial"/>
          <w:sz w:val="22"/>
        </w:rPr>
        <w:t>abre la posibilidad de que a la prestación de los servicios públicos concurran los</w:t>
      </w:r>
      <w:r w:rsidR="00AE159A">
        <w:rPr>
          <w:rFonts w:cs="Arial"/>
          <w:sz w:val="22"/>
        </w:rPr>
        <w:t xml:space="preserve"> </w:t>
      </w:r>
      <w:r w:rsidRPr="00F63DBF">
        <w:rPr>
          <w:rFonts w:cs="Arial"/>
          <w:sz w:val="22"/>
        </w:rPr>
        <w:t>particulares; por la necesidad de que el Estado ejerza labores de vigilancia y</w:t>
      </w:r>
      <w:r w:rsidR="00AE159A">
        <w:rPr>
          <w:rFonts w:cs="Arial"/>
          <w:sz w:val="22"/>
        </w:rPr>
        <w:t xml:space="preserve"> </w:t>
      </w:r>
      <w:r w:rsidRPr="00F63DBF">
        <w:rPr>
          <w:rFonts w:cs="Arial"/>
          <w:sz w:val="22"/>
        </w:rPr>
        <w:t>control; y particularmente, por la necesidad de limitar el poder del monopolio y de</w:t>
      </w:r>
      <w:r w:rsidR="00AE159A">
        <w:rPr>
          <w:rFonts w:cs="Arial"/>
          <w:sz w:val="22"/>
        </w:rPr>
        <w:t xml:space="preserve"> </w:t>
      </w:r>
      <w:r w:rsidRPr="00F63DBF">
        <w:rPr>
          <w:rFonts w:cs="Arial"/>
          <w:sz w:val="22"/>
        </w:rPr>
        <w:t>evitar y controlar el abuso de posición dominante; por la clasificación de una</w:t>
      </w:r>
    </w:p>
    <w:p w14:paraId="08238884" w14:textId="22B4F1C2" w:rsidR="00F63DBF" w:rsidRDefault="00F63DBF" w:rsidP="00F63DBF">
      <w:pPr>
        <w:rPr>
          <w:rFonts w:cs="Arial"/>
          <w:sz w:val="22"/>
        </w:rPr>
      </w:pPr>
      <w:r w:rsidRPr="00F63DBF">
        <w:rPr>
          <w:rFonts w:cs="Arial"/>
          <w:sz w:val="22"/>
        </w:rPr>
        <w:t>determinada actividad como un servicio público, la regulación del crédito, de las</w:t>
      </w:r>
      <w:r w:rsidR="00AE159A">
        <w:rPr>
          <w:rFonts w:cs="Arial"/>
          <w:sz w:val="22"/>
        </w:rPr>
        <w:t xml:space="preserve"> </w:t>
      </w:r>
      <w:r w:rsidRPr="00F63DBF">
        <w:rPr>
          <w:rFonts w:cs="Arial"/>
          <w:sz w:val="22"/>
        </w:rPr>
        <w:t xml:space="preserve">actividades comerciales e industriales, </w:t>
      </w:r>
      <w:proofErr w:type="spellStart"/>
      <w:r w:rsidRPr="00F63DBF">
        <w:rPr>
          <w:rFonts w:cs="Arial"/>
          <w:sz w:val="22"/>
        </w:rPr>
        <w:t>etc</w:t>
      </w:r>
      <w:proofErr w:type="spellEnd"/>
      <w:r w:rsidR="00751E90">
        <w:rPr>
          <w:rStyle w:val="Refdenotaalpie"/>
          <w:rFonts w:cs="Arial"/>
          <w:sz w:val="22"/>
        </w:rPr>
        <w:footnoteReference w:id="12"/>
      </w:r>
      <w:r w:rsidRPr="00F63DBF">
        <w:rPr>
          <w:rFonts w:cs="Arial"/>
          <w:sz w:val="22"/>
        </w:rPr>
        <w:t xml:space="preserve"> .</w:t>
      </w:r>
    </w:p>
    <w:p w14:paraId="12D59E6E" w14:textId="77777777" w:rsidR="007759D5" w:rsidRDefault="007759D5" w:rsidP="00F63DBF">
      <w:pPr>
        <w:rPr>
          <w:rFonts w:cs="Arial"/>
          <w:sz w:val="22"/>
        </w:rPr>
      </w:pPr>
    </w:p>
    <w:p w14:paraId="34F5E10A" w14:textId="681821C9" w:rsidR="00C43BD3" w:rsidRDefault="007759D5" w:rsidP="00F63DBF">
      <w:pPr>
        <w:rPr>
          <w:rFonts w:cs="Arial"/>
          <w:sz w:val="22"/>
        </w:rPr>
      </w:pPr>
      <w:proofErr w:type="spellStart"/>
      <w:r>
        <w:rPr>
          <w:rFonts w:cs="Arial"/>
          <w:sz w:val="22"/>
        </w:rPr>
        <w:t>iii</w:t>
      </w:r>
      <w:proofErr w:type="spellEnd"/>
      <w:r>
        <w:rPr>
          <w:rFonts w:cs="Arial"/>
          <w:sz w:val="22"/>
        </w:rPr>
        <w:t>)</w:t>
      </w:r>
      <w:r w:rsidR="004024D9">
        <w:rPr>
          <w:rFonts w:cs="Arial"/>
          <w:sz w:val="22"/>
        </w:rPr>
        <w:t xml:space="preserve">. </w:t>
      </w:r>
      <w:r w:rsidR="004024D9" w:rsidRPr="004D63CA">
        <w:rPr>
          <w:rFonts w:cs="Arial"/>
          <w:sz w:val="22"/>
        </w:rPr>
        <w:t>La Constitución Política y las normas supranacionales adoptadas internamente facultan al legislador para imponer límites a la libertad contractual, con el fin de promover el bienestar general y proteger el interés general</w:t>
      </w:r>
      <w:r w:rsidR="00D11218">
        <w:rPr>
          <w:rStyle w:val="Refdenotaalpie"/>
          <w:rFonts w:cs="Arial"/>
          <w:sz w:val="22"/>
        </w:rPr>
        <w:footnoteReference w:id="13"/>
      </w:r>
      <w:r w:rsidR="004024D9" w:rsidRPr="004D63CA">
        <w:rPr>
          <w:rFonts w:cs="Arial"/>
          <w:sz w:val="22"/>
        </w:rPr>
        <w:t xml:space="preserve">. </w:t>
      </w:r>
    </w:p>
    <w:p w14:paraId="0CEF4389" w14:textId="77777777" w:rsidR="00C43BD3" w:rsidRDefault="00C43BD3" w:rsidP="00F63DBF">
      <w:pPr>
        <w:rPr>
          <w:rFonts w:cs="Arial"/>
          <w:sz w:val="22"/>
        </w:rPr>
      </w:pPr>
    </w:p>
    <w:p w14:paraId="2FD85A11" w14:textId="5BBF6A42" w:rsidR="00C43BD3" w:rsidRDefault="004024D9" w:rsidP="00F63DBF">
      <w:pPr>
        <w:rPr>
          <w:rFonts w:cs="Arial"/>
          <w:sz w:val="22"/>
        </w:rPr>
      </w:pPr>
      <w:proofErr w:type="spellStart"/>
      <w:r w:rsidRPr="004D63CA">
        <w:rPr>
          <w:rFonts w:cs="Arial"/>
          <w:sz w:val="22"/>
        </w:rPr>
        <w:t>iv</w:t>
      </w:r>
      <w:proofErr w:type="spellEnd"/>
      <w:r w:rsidRPr="004D63CA">
        <w:rPr>
          <w:rFonts w:cs="Arial"/>
          <w:sz w:val="22"/>
        </w:rPr>
        <w:t>)</w:t>
      </w:r>
      <w:r w:rsidR="00D11218">
        <w:rPr>
          <w:rFonts w:cs="Arial"/>
          <w:sz w:val="22"/>
        </w:rPr>
        <w:t>.</w:t>
      </w:r>
      <w:r w:rsidRPr="004D63CA">
        <w:rPr>
          <w:rFonts w:cs="Arial"/>
          <w:sz w:val="22"/>
        </w:rPr>
        <w:t xml:space="preserve"> Los límites o restricciones a la libertad contractual deben provenir de la ley, o estar dispuestos u ordenados por ella, cuando la autonomía privada de la voluntad sea insuficiente para garantizar relaciones justas y libres, y los principios constitucionales así lo exijan</w:t>
      </w:r>
      <w:r w:rsidR="00F01B74">
        <w:rPr>
          <w:rStyle w:val="Refdenotaalpie"/>
          <w:rFonts w:cs="Arial"/>
          <w:sz w:val="22"/>
        </w:rPr>
        <w:footnoteReference w:id="14"/>
      </w:r>
      <w:r w:rsidRPr="004D63CA">
        <w:rPr>
          <w:rFonts w:cs="Arial"/>
          <w:sz w:val="22"/>
        </w:rPr>
        <w:t xml:space="preserve">. </w:t>
      </w:r>
    </w:p>
    <w:p w14:paraId="27F51BD4" w14:textId="77777777" w:rsidR="00C43BD3" w:rsidRDefault="00C43BD3" w:rsidP="00F63DBF">
      <w:pPr>
        <w:rPr>
          <w:rFonts w:cs="Arial"/>
          <w:sz w:val="22"/>
        </w:rPr>
      </w:pPr>
    </w:p>
    <w:p w14:paraId="29B20B24" w14:textId="1FB6D818" w:rsidR="007759D5" w:rsidRDefault="004024D9" w:rsidP="00F63DBF">
      <w:pPr>
        <w:rPr>
          <w:rFonts w:cs="Arial"/>
          <w:sz w:val="22"/>
        </w:rPr>
      </w:pPr>
      <w:r w:rsidRPr="004D63CA">
        <w:rPr>
          <w:rFonts w:cs="Arial"/>
          <w:sz w:val="22"/>
        </w:rPr>
        <w:t>v)</w:t>
      </w:r>
      <w:r w:rsidR="00D11218">
        <w:rPr>
          <w:rFonts w:cs="Arial"/>
          <w:sz w:val="22"/>
        </w:rPr>
        <w:t>.</w:t>
      </w:r>
      <w:r w:rsidRPr="004D63CA">
        <w:rPr>
          <w:rFonts w:cs="Arial"/>
          <w:sz w:val="22"/>
        </w:rPr>
        <w:t xml:space="preserve"> La libertad contractual es indispensable para el funcionamiento de los mercados. Sin embargo, en virtud de la facultad de intervención, el Estado está autorizado para sancionar concentraciones, abusos y disfunciones que se presentan en los mercados; para </w:t>
      </w:r>
      <w:r w:rsidRPr="004D63CA">
        <w:rPr>
          <w:rFonts w:cs="Arial"/>
          <w:sz w:val="22"/>
        </w:rPr>
        <w:lastRenderedPageBreak/>
        <w:t>corregirlas, compensarlas; o, en casos extremos, sustituir enteramente los mecanismos de mercado</w:t>
      </w:r>
      <w:r w:rsidR="00F01B74">
        <w:rPr>
          <w:rStyle w:val="Refdenotaalpie"/>
          <w:rFonts w:cs="Arial"/>
          <w:sz w:val="22"/>
        </w:rPr>
        <w:footnoteReference w:id="15"/>
      </w:r>
      <w:r w:rsidRPr="004D63CA">
        <w:rPr>
          <w:rFonts w:cs="Arial"/>
          <w:sz w:val="22"/>
        </w:rPr>
        <w:t>.</w:t>
      </w:r>
    </w:p>
    <w:p w14:paraId="5FAAA26F" w14:textId="77777777" w:rsidR="00F63DBF" w:rsidRPr="00A745E0" w:rsidRDefault="00F63DBF" w:rsidP="00A745E0">
      <w:pPr>
        <w:rPr>
          <w:rFonts w:cs="Arial"/>
          <w:sz w:val="22"/>
        </w:rPr>
      </w:pPr>
    </w:p>
    <w:p w14:paraId="20F37AED" w14:textId="70194BD7" w:rsidR="006E7D00" w:rsidRDefault="00A745E0" w:rsidP="0061128A">
      <w:pPr>
        <w:rPr>
          <w:rFonts w:cs="Arial"/>
          <w:sz w:val="22"/>
        </w:rPr>
      </w:pPr>
      <w:r w:rsidRPr="00A745E0">
        <w:rPr>
          <w:rFonts w:cs="Arial"/>
          <w:sz w:val="22"/>
        </w:rPr>
        <w:t>Para el caso específico</w:t>
      </w:r>
      <w:r w:rsidR="00E91597">
        <w:rPr>
          <w:rFonts w:cs="Arial"/>
          <w:sz w:val="22"/>
        </w:rPr>
        <w:t xml:space="preserve"> de la propuesta que soporta el presente documento,</w:t>
      </w:r>
      <w:r w:rsidRPr="00A745E0">
        <w:rPr>
          <w:rFonts w:cs="Arial"/>
          <w:sz w:val="22"/>
        </w:rPr>
        <w:t xml:space="preserve"> existe en las leyes 142 y 143 de 1994 un conjunto de normas</w:t>
      </w:r>
      <w:r>
        <w:rPr>
          <w:rFonts w:cs="Arial"/>
          <w:sz w:val="22"/>
        </w:rPr>
        <w:t xml:space="preserve"> </w:t>
      </w:r>
      <w:r w:rsidRPr="00A745E0">
        <w:rPr>
          <w:rFonts w:cs="Arial"/>
          <w:sz w:val="22"/>
        </w:rPr>
        <w:t>que permiten determinar el ámbito de la libertad contractual que se reconoce a los</w:t>
      </w:r>
      <w:r>
        <w:rPr>
          <w:rFonts w:cs="Arial"/>
          <w:sz w:val="22"/>
        </w:rPr>
        <w:t xml:space="preserve"> </w:t>
      </w:r>
      <w:r w:rsidRPr="00A745E0">
        <w:rPr>
          <w:rFonts w:cs="Arial"/>
          <w:sz w:val="22"/>
        </w:rPr>
        <w:t>generadores y comercializadores de electricidad, de las cuales se concluye que su</w:t>
      </w:r>
      <w:r>
        <w:rPr>
          <w:rFonts w:cs="Arial"/>
          <w:sz w:val="22"/>
        </w:rPr>
        <w:t xml:space="preserve"> </w:t>
      </w:r>
      <w:r w:rsidRPr="00A745E0">
        <w:rPr>
          <w:rFonts w:cs="Arial"/>
          <w:sz w:val="22"/>
        </w:rPr>
        <w:t>campo de acción es mucho más restringido que el que se reconoce a los demás</w:t>
      </w:r>
      <w:r>
        <w:rPr>
          <w:rFonts w:cs="Arial"/>
          <w:sz w:val="22"/>
        </w:rPr>
        <w:t xml:space="preserve"> </w:t>
      </w:r>
      <w:r w:rsidRPr="00A745E0">
        <w:rPr>
          <w:rFonts w:cs="Arial"/>
          <w:sz w:val="22"/>
        </w:rPr>
        <w:t>particulares. Dentro del ámbito reconocido por estas leyes se debe analizar la propuesta</w:t>
      </w:r>
      <w:r>
        <w:rPr>
          <w:rFonts w:cs="Arial"/>
          <w:sz w:val="22"/>
        </w:rPr>
        <w:t xml:space="preserve"> </w:t>
      </w:r>
      <w:r w:rsidRPr="00A745E0">
        <w:rPr>
          <w:rFonts w:cs="Arial"/>
          <w:sz w:val="22"/>
        </w:rPr>
        <w:t>de la CREG.</w:t>
      </w:r>
      <w:r w:rsidR="006E7D00">
        <w:rPr>
          <w:rFonts w:cs="Arial"/>
          <w:sz w:val="22"/>
        </w:rPr>
        <w:t xml:space="preserve"> </w:t>
      </w:r>
    </w:p>
    <w:p w14:paraId="34077B40" w14:textId="77777777" w:rsidR="00F66FAE" w:rsidRDefault="00F66FAE" w:rsidP="0061128A">
      <w:pPr>
        <w:rPr>
          <w:rFonts w:cs="Arial"/>
          <w:sz w:val="22"/>
        </w:rPr>
      </w:pPr>
    </w:p>
    <w:p w14:paraId="4CE55844" w14:textId="4EFD2989" w:rsidR="00DD52AA" w:rsidRDefault="00F66FAE" w:rsidP="00CA7786">
      <w:pPr>
        <w:rPr>
          <w:rFonts w:cs="Arial"/>
          <w:sz w:val="22"/>
        </w:rPr>
      </w:pPr>
      <w:r w:rsidRPr="00F66FAE">
        <w:rPr>
          <w:rFonts w:cs="Arial"/>
          <w:sz w:val="22"/>
        </w:rPr>
        <w:t>Por las anteriores razones se concluye que la propuesta aquí analizada no desconoce</w:t>
      </w:r>
      <w:r>
        <w:rPr>
          <w:rFonts w:cs="Arial"/>
          <w:sz w:val="22"/>
        </w:rPr>
        <w:t xml:space="preserve"> </w:t>
      </w:r>
      <w:r w:rsidRPr="00F66FAE">
        <w:rPr>
          <w:rFonts w:cs="Arial"/>
          <w:sz w:val="22"/>
        </w:rPr>
        <w:t>la libertad contractual que las leyes 142 y 143 de 1994 reconocen a los generadores y</w:t>
      </w:r>
      <w:r>
        <w:rPr>
          <w:rFonts w:cs="Arial"/>
          <w:sz w:val="22"/>
        </w:rPr>
        <w:t xml:space="preserve"> </w:t>
      </w:r>
      <w:r w:rsidRPr="00F66FAE">
        <w:rPr>
          <w:rFonts w:cs="Arial"/>
          <w:sz w:val="22"/>
        </w:rPr>
        <w:t>comercializadores para comprar y vender energía en el Sistema Interconectado</w:t>
      </w:r>
      <w:r>
        <w:rPr>
          <w:rFonts w:cs="Arial"/>
          <w:sz w:val="22"/>
        </w:rPr>
        <w:t xml:space="preserve"> </w:t>
      </w:r>
      <w:r w:rsidRPr="00F66FAE">
        <w:rPr>
          <w:rFonts w:cs="Arial"/>
          <w:sz w:val="22"/>
        </w:rPr>
        <w:t>Nacional, sino que por el contrario se trata de una propuesta que busca cumplir los</w:t>
      </w:r>
      <w:r>
        <w:rPr>
          <w:rFonts w:cs="Arial"/>
          <w:sz w:val="22"/>
        </w:rPr>
        <w:t xml:space="preserve"> </w:t>
      </w:r>
      <w:r w:rsidRPr="00F66FAE">
        <w:rPr>
          <w:rFonts w:cs="Arial"/>
          <w:sz w:val="22"/>
        </w:rPr>
        <w:t>objetivos legales que tanto la Constitución como estas leyes asignaron al mercado</w:t>
      </w:r>
      <w:r>
        <w:rPr>
          <w:rFonts w:cs="Arial"/>
          <w:sz w:val="22"/>
        </w:rPr>
        <w:t xml:space="preserve"> </w:t>
      </w:r>
      <w:r w:rsidRPr="00F66FAE">
        <w:rPr>
          <w:rFonts w:cs="Arial"/>
          <w:sz w:val="22"/>
        </w:rPr>
        <w:t>como mecanismo de asignación eficiente de bienes y servicios; al contrato como</w:t>
      </w:r>
      <w:r>
        <w:rPr>
          <w:rFonts w:cs="Arial"/>
          <w:sz w:val="22"/>
        </w:rPr>
        <w:t xml:space="preserve"> </w:t>
      </w:r>
      <w:r w:rsidRPr="00F66FAE">
        <w:rPr>
          <w:rFonts w:cs="Arial"/>
          <w:sz w:val="22"/>
        </w:rPr>
        <w:t>instrumento para el intercambio objetivo, equitativo y justo de bienes y servicios; y a la</w:t>
      </w:r>
      <w:r>
        <w:rPr>
          <w:rFonts w:cs="Arial"/>
          <w:sz w:val="22"/>
        </w:rPr>
        <w:t xml:space="preserve"> </w:t>
      </w:r>
      <w:r w:rsidRPr="00F66FAE">
        <w:rPr>
          <w:rFonts w:cs="Arial"/>
          <w:sz w:val="22"/>
        </w:rPr>
        <w:t>regulación como mecanismo de intervención del estado en el servicio de energía</w:t>
      </w:r>
      <w:r>
        <w:rPr>
          <w:rFonts w:cs="Arial"/>
          <w:sz w:val="22"/>
        </w:rPr>
        <w:t xml:space="preserve"> </w:t>
      </w:r>
      <w:r w:rsidRPr="00F66FAE">
        <w:rPr>
          <w:rFonts w:cs="Arial"/>
          <w:sz w:val="22"/>
        </w:rPr>
        <w:t>eléctrica para hacer coincidir los intereses de los prestadores del servicio con los</w:t>
      </w:r>
      <w:r>
        <w:rPr>
          <w:rFonts w:cs="Arial"/>
          <w:sz w:val="22"/>
        </w:rPr>
        <w:t xml:space="preserve"> </w:t>
      </w:r>
      <w:r w:rsidRPr="00F66FAE">
        <w:rPr>
          <w:rFonts w:cs="Arial"/>
          <w:sz w:val="22"/>
        </w:rPr>
        <w:t>objetivos constitucionales del Estado Social de Derecho y el interés general cuya</w:t>
      </w:r>
      <w:r>
        <w:rPr>
          <w:rFonts w:cs="Arial"/>
          <w:sz w:val="22"/>
        </w:rPr>
        <w:t xml:space="preserve"> </w:t>
      </w:r>
      <w:r w:rsidRPr="00F66FAE">
        <w:rPr>
          <w:rFonts w:cs="Arial"/>
          <w:sz w:val="22"/>
        </w:rPr>
        <w:t>satisfacción se persigue con este servicio.</w:t>
      </w:r>
      <w:r w:rsidRPr="00F66FAE">
        <w:rPr>
          <w:rFonts w:cs="Arial"/>
          <w:sz w:val="22"/>
        </w:rPr>
        <w:cr/>
      </w:r>
    </w:p>
    <w:p w14:paraId="49977D1E" w14:textId="60E5C640" w:rsidR="00020441" w:rsidRPr="00DA6A99" w:rsidRDefault="00725B1F" w:rsidP="00CA7786">
      <w:pPr>
        <w:pStyle w:val="Ttulo1"/>
        <w:spacing w:after="0"/>
        <w:ind w:left="431" w:hanging="431"/>
        <w:rPr>
          <w:rFonts w:cs="Arial"/>
          <w:sz w:val="22"/>
          <w:szCs w:val="22"/>
        </w:rPr>
      </w:pPr>
      <w:bookmarkStart w:id="5" w:name="_Toc144899065"/>
      <w:r w:rsidRPr="00DA6A99">
        <w:rPr>
          <w:rFonts w:cs="Arial"/>
          <w:sz w:val="22"/>
          <w:szCs w:val="22"/>
        </w:rPr>
        <w:t>NECESIDAD REGULATORIA IDENTIFICADA</w:t>
      </w:r>
      <w:bookmarkEnd w:id="5"/>
      <w:r w:rsidRPr="00DA6A99">
        <w:rPr>
          <w:rFonts w:cs="Arial"/>
          <w:sz w:val="22"/>
          <w:szCs w:val="22"/>
        </w:rPr>
        <w:t xml:space="preserve"> </w:t>
      </w:r>
    </w:p>
    <w:p w14:paraId="477A6FBD" w14:textId="77777777" w:rsidR="00490DEE" w:rsidRPr="00DA6A99" w:rsidRDefault="00490DEE" w:rsidP="00CA7786">
      <w:pPr>
        <w:rPr>
          <w:sz w:val="22"/>
          <w:szCs w:val="22"/>
        </w:rPr>
      </w:pPr>
    </w:p>
    <w:p w14:paraId="4FBDF5DB" w14:textId="77777777" w:rsidR="00322C03" w:rsidRPr="00DA6A99" w:rsidRDefault="00322C03" w:rsidP="00CA7786">
      <w:pPr>
        <w:rPr>
          <w:rFonts w:cs="Arial"/>
          <w:sz w:val="22"/>
          <w:szCs w:val="22"/>
          <w:lang w:val="es-CO"/>
        </w:rPr>
      </w:pPr>
      <w:r w:rsidRPr="00DA6A99">
        <w:rPr>
          <w:rFonts w:cs="Arial"/>
          <w:sz w:val="22"/>
          <w:szCs w:val="22"/>
          <w:lang w:val="es-CO"/>
        </w:rPr>
        <w:t>El Análisis de Impacto Normativo - AIN, es la herramienta empleada por la CREG para apoyar la toma de decisiones en el proceso de construcción regulatoria y que tiene por objeto analizar técnicamente y con evidencia la pertinencia de una intervención y la mejor forma de llevarla a cabo.</w:t>
      </w:r>
    </w:p>
    <w:p w14:paraId="458DBD55" w14:textId="77777777" w:rsidR="00322C03" w:rsidRPr="00DA6A99" w:rsidRDefault="00322C03" w:rsidP="00CA7786">
      <w:pPr>
        <w:rPr>
          <w:rFonts w:cs="Arial"/>
          <w:sz w:val="22"/>
          <w:szCs w:val="22"/>
          <w:lang w:val="es-CO"/>
        </w:rPr>
      </w:pPr>
    </w:p>
    <w:p w14:paraId="4876DC34" w14:textId="02E5B934" w:rsidR="00322C03" w:rsidRPr="00DA6A99" w:rsidRDefault="00322C03" w:rsidP="00CA7786">
      <w:pPr>
        <w:rPr>
          <w:rFonts w:cs="Arial"/>
          <w:sz w:val="22"/>
          <w:szCs w:val="22"/>
          <w:lang w:val="es-CO"/>
        </w:rPr>
      </w:pPr>
      <w:r w:rsidRPr="00DA6A99">
        <w:rPr>
          <w:rFonts w:cs="Arial"/>
          <w:sz w:val="22"/>
          <w:szCs w:val="22"/>
          <w:lang w:val="es-CO"/>
        </w:rPr>
        <w:t>Lo anterior es posible porque el AIN prescribe una metodología que permite establecer un problema a resolver, sus causas y consecuencias, así como las alternativas de intervención que pueden generan los impactos esperados para dar tratamiento al problema identificado.</w:t>
      </w:r>
      <w:r w:rsidR="00BF3894" w:rsidRPr="00DA6A99">
        <w:rPr>
          <w:rFonts w:cs="Arial"/>
          <w:sz w:val="22"/>
          <w:szCs w:val="22"/>
          <w:lang w:val="es-CO"/>
        </w:rPr>
        <w:t xml:space="preserve"> </w:t>
      </w:r>
      <w:r w:rsidRPr="00DA6A99">
        <w:rPr>
          <w:rFonts w:cs="Arial"/>
          <w:sz w:val="22"/>
          <w:szCs w:val="22"/>
          <w:lang w:val="es-CO"/>
        </w:rPr>
        <w:t xml:space="preserve">A continuación, se precisan los elementos técnicos que </w:t>
      </w:r>
      <w:r w:rsidR="00CD2968" w:rsidRPr="00DA6A99">
        <w:rPr>
          <w:rFonts w:cs="Arial"/>
          <w:sz w:val="22"/>
          <w:szCs w:val="22"/>
          <w:lang w:val="es-CO"/>
        </w:rPr>
        <w:t>llevaron a la CREG a formular la propuesta regulatoria que acompaña a este documento</w:t>
      </w:r>
      <w:r w:rsidR="002345E9" w:rsidRPr="00DA6A99">
        <w:rPr>
          <w:rFonts w:cs="Arial"/>
          <w:sz w:val="22"/>
          <w:szCs w:val="22"/>
          <w:lang w:val="es-CO"/>
        </w:rPr>
        <w:t>.</w:t>
      </w:r>
    </w:p>
    <w:p w14:paraId="7E638725" w14:textId="77777777" w:rsidR="004B1E1C" w:rsidRPr="00DA6A99" w:rsidRDefault="004B1E1C" w:rsidP="00CA7786">
      <w:pPr>
        <w:rPr>
          <w:rFonts w:cs="Arial"/>
          <w:sz w:val="22"/>
          <w:szCs w:val="22"/>
        </w:rPr>
      </w:pPr>
    </w:p>
    <w:p w14:paraId="32E692A7" w14:textId="4A336892" w:rsidR="00B26390" w:rsidRPr="00B26390" w:rsidRDefault="00B26390" w:rsidP="00CA7786">
      <w:pPr>
        <w:pStyle w:val="Ttulo2"/>
        <w:numPr>
          <w:ilvl w:val="1"/>
          <w:numId w:val="25"/>
        </w:numPr>
        <w:spacing w:after="0"/>
        <w:rPr>
          <w:rFonts w:cs="Arial"/>
          <w:sz w:val="22"/>
          <w:szCs w:val="22"/>
        </w:rPr>
      </w:pPr>
      <w:r w:rsidRPr="00B26390">
        <w:rPr>
          <w:rFonts w:cs="Arial"/>
          <w:sz w:val="22"/>
          <w:szCs w:val="22"/>
        </w:rPr>
        <w:t>Definición del problema</w:t>
      </w:r>
    </w:p>
    <w:p w14:paraId="32159B84" w14:textId="77777777" w:rsidR="00B26390" w:rsidRDefault="00B26390" w:rsidP="00CA7786">
      <w:pPr>
        <w:rPr>
          <w:rFonts w:cs="Arial"/>
          <w:sz w:val="22"/>
          <w:szCs w:val="22"/>
          <w:lang w:val="es-CO"/>
        </w:rPr>
      </w:pPr>
    </w:p>
    <w:p w14:paraId="17F73547" w14:textId="5294D0A8" w:rsidR="002542B1" w:rsidRPr="00DA6A99" w:rsidRDefault="00757A98" w:rsidP="00CA7786">
      <w:pPr>
        <w:rPr>
          <w:rFonts w:cs="Arial"/>
          <w:sz w:val="22"/>
          <w:szCs w:val="22"/>
          <w:lang w:val="es-CO"/>
        </w:rPr>
      </w:pPr>
      <w:r w:rsidRPr="00DA6A99">
        <w:rPr>
          <w:rFonts w:cs="Arial"/>
          <w:sz w:val="22"/>
          <w:szCs w:val="22"/>
          <w:lang w:val="es-CO"/>
        </w:rPr>
        <w:t>A la luz de</w:t>
      </w:r>
      <w:r w:rsidR="00521632" w:rsidRPr="00DA6A99">
        <w:rPr>
          <w:rFonts w:cs="Arial"/>
          <w:sz w:val="22"/>
          <w:szCs w:val="22"/>
          <w:lang w:val="es-CO"/>
        </w:rPr>
        <w:t xml:space="preserve"> las disposiciones del </w:t>
      </w:r>
      <w:r w:rsidR="00521632" w:rsidRPr="00DA6A99">
        <w:rPr>
          <w:rFonts w:cs="Arial"/>
          <w:sz w:val="22"/>
          <w:szCs w:val="22"/>
        </w:rPr>
        <w:t xml:space="preserve">el Decreto MME 929 de 2023 </w:t>
      </w:r>
      <w:r w:rsidRPr="00DA6A99">
        <w:rPr>
          <w:rFonts w:cs="Arial"/>
          <w:sz w:val="22"/>
          <w:szCs w:val="22"/>
          <w:lang w:val="es-CO"/>
        </w:rPr>
        <w:t xml:space="preserve">y en el marco de las propuestas formuladas por los agentes, la CREG identificó el problema consistente en: </w:t>
      </w:r>
      <w:r w:rsidRPr="00DA6A99">
        <w:rPr>
          <w:rFonts w:cs="Arial"/>
          <w:i/>
          <w:sz w:val="22"/>
          <w:szCs w:val="22"/>
          <w:lang w:val="es-CO"/>
        </w:rPr>
        <w:t>“Baja cobertura de la demanda regulada frente a compras en bolsa, en un contexto de incrementos en precios derivados de la coyuntura – Fenómeno del Niño</w:t>
      </w:r>
      <w:r w:rsidRPr="00DA6A99">
        <w:rPr>
          <w:rFonts w:cs="Arial"/>
          <w:i/>
          <w:iCs/>
          <w:sz w:val="22"/>
          <w:szCs w:val="22"/>
          <w:lang w:val="es-CO"/>
        </w:rPr>
        <w:t>”</w:t>
      </w:r>
      <w:r w:rsidR="00B113EE" w:rsidRPr="00DA6A99">
        <w:rPr>
          <w:rFonts w:cs="Arial"/>
          <w:i/>
          <w:iCs/>
          <w:sz w:val="22"/>
          <w:szCs w:val="22"/>
          <w:lang w:val="es-CO"/>
        </w:rPr>
        <w:t>.</w:t>
      </w:r>
      <w:r w:rsidR="003F16C0" w:rsidRPr="00DA6A99">
        <w:rPr>
          <w:rFonts w:cs="Arial"/>
          <w:sz w:val="22"/>
          <w:szCs w:val="22"/>
          <w:lang w:val="es-CO"/>
        </w:rPr>
        <w:t xml:space="preserve"> </w:t>
      </w:r>
      <w:r w:rsidR="007C2916" w:rsidRPr="00DA6A99">
        <w:rPr>
          <w:rFonts w:cs="Arial"/>
          <w:sz w:val="22"/>
          <w:szCs w:val="22"/>
        </w:rPr>
        <w:t>Para ilust</w:t>
      </w:r>
      <w:r w:rsidR="002542B1" w:rsidRPr="00DA6A99">
        <w:rPr>
          <w:rFonts w:cs="Arial"/>
          <w:sz w:val="22"/>
          <w:szCs w:val="22"/>
        </w:rPr>
        <w:t xml:space="preserve">rar el problema identificado, a </w:t>
      </w:r>
      <w:proofErr w:type="gramStart"/>
      <w:r w:rsidR="002542B1" w:rsidRPr="00DA6A99">
        <w:rPr>
          <w:rFonts w:cs="Arial"/>
          <w:sz w:val="22"/>
          <w:szCs w:val="22"/>
        </w:rPr>
        <w:t>continuación</w:t>
      </w:r>
      <w:proofErr w:type="gramEnd"/>
      <w:r w:rsidR="002542B1" w:rsidRPr="00DA6A99">
        <w:rPr>
          <w:rFonts w:cs="Arial"/>
          <w:sz w:val="22"/>
          <w:szCs w:val="22"/>
        </w:rPr>
        <w:t xml:space="preserve"> se presenta la exposición a bolsa </w:t>
      </w:r>
      <w:r w:rsidR="00112755" w:rsidRPr="00DA6A99">
        <w:rPr>
          <w:rFonts w:cs="Arial"/>
          <w:sz w:val="22"/>
          <w:szCs w:val="22"/>
        </w:rPr>
        <w:t xml:space="preserve">para atender la demanda regulada y no regulada en </w:t>
      </w:r>
      <w:r w:rsidR="003F16C0" w:rsidRPr="00DA6A99">
        <w:rPr>
          <w:rFonts w:cs="Arial"/>
          <w:sz w:val="22"/>
          <w:szCs w:val="22"/>
        </w:rPr>
        <w:t>2022 y 2023.</w:t>
      </w:r>
    </w:p>
    <w:p w14:paraId="057FA962" w14:textId="54107F79" w:rsidR="007C2916" w:rsidRPr="00490DEE" w:rsidRDefault="002542B1" w:rsidP="00CA7786">
      <w:pPr>
        <w:rPr>
          <w:rFonts w:cs="Arial"/>
          <w:szCs w:val="24"/>
        </w:rPr>
      </w:pPr>
      <w:r>
        <w:rPr>
          <w:rFonts w:cs="Arial"/>
          <w:szCs w:val="24"/>
        </w:rPr>
        <w:t xml:space="preserve"> </w:t>
      </w:r>
    </w:p>
    <w:p w14:paraId="291FFCA1" w14:textId="77777777" w:rsidR="009574BE" w:rsidRDefault="009574BE">
      <w:pPr>
        <w:jc w:val="left"/>
        <w:rPr>
          <w:b/>
          <w:sz w:val="22"/>
          <w:szCs w:val="22"/>
        </w:rPr>
      </w:pPr>
      <w:bookmarkStart w:id="6" w:name="_Toc144900328"/>
      <w:r>
        <w:rPr>
          <w:sz w:val="22"/>
          <w:szCs w:val="22"/>
        </w:rPr>
        <w:br w:type="page"/>
      </w:r>
    </w:p>
    <w:p w14:paraId="3D0C4A6C" w14:textId="5F0D9C1C" w:rsidR="00B113EE" w:rsidRPr="003B2674" w:rsidRDefault="003B2674" w:rsidP="00CA7786">
      <w:pPr>
        <w:pStyle w:val="Descripcin"/>
        <w:spacing w:before="0" w:after="0"/>
        <w:jc w:val="center"/>
        <w:rPr>
          <w:rFonts w:cs="Arial"/>
          <w:sz w:val="22"/>
          <w:szCs w:val="22"/>
          <w:lang w:val="es-CO"/>
        </w:rPr>
      </w:pPr>
      <w:r w:rsidRPr="003B2674">
        <w:rPr>
          <w:sz w:val="22"/>
          <w:szCs w:val="22"/>
        </w:rPr>
        <w:lastRenderedPageBreak/>
        <w:t xml:space="preserve">Gráfica </w:t>
      </w:r>
      <w:r w:rsidRPr="003B2674">
        <w:rPr>
          <w:sz w:val="22"/>
          <w:szCs w:val="22"/>
        </w:rPr>
        <w:fldChar w:fldCharType="begin"/>
      </w:r>
      <w:r w:rsidRPr="003B2674">
        <w:rPr>
          <w:sz w:val="22"/>
          <w:szCs w:val="22"/>
        </w:rPr>
        <w:instrText xml:space="preserve"> SEQ Gráfica \* ARABIC </w:instrText>
      </w:r>
      <w:r w:rsidRPr="003B2674">
        <w:rPr>
          <w:sz w:val="22"/>
          <w:szCs w:val="22"/>
        </w:rPr>
        <w:fldChar w:fldCharType="separate"/>
      </w:r>
      <w:r>
        <w:rPr>
          <w:noProof/>
          <w:sz w:val="22"/>
          <w:szCs w:val="22"/>
        </w:rPr>
        <w:t>1</w:t>
      </w:r>
      <w:r w:rsidRPr="003B2674">
        <w:rPr>
          <w:sz w:val="22"/>
          <w:szCs w:val="22"/>
        </w:rPr>
        <w:fldChar w:fldCharType="end"/>
      </w:r>
      <w:r w:rsidRPr="003B2674">
        <w:rPr>
          <w:sz w:val="22"/>
          <w:szCs w:val="22"/>
        </w:rPr>
        <w:t xml:space="preserve">. </w:t>
      </w:r>
      <w:r w:rsidR="00B252E9" w:rsidRPr="003B2674">
        <w:rPr>
          <w:rFonts w:cs="Arial"/>
          <w:sz w:val="22"/>
          <w:szCs w:val="22"/>
        </w:rPr>
        <w:t xml:space="preserve">Exposición </w:t>
      </w:r>
      <w:r w:rsidR="00B113EE" w:rsidRPr="003B2674">
        <w:rPr>
          <w:rFonts w:cs="Arial"/>
          <w:sz w:val="22"/>
          <w:szCs w:val="22"/>
          <w:lang w:val="es-CO"/>
        </w:rPr>
        <w:t>a bolsa para atender demanda regulada</w:t>
      </w:r>
      <w:bookmarkEnd w:id="6"/>
    </w:p>
    <w:p w14:paraId="1B8FF26B" w14:textId="77777777" w:rsidR="00B113EE" w:rsidRPr="00490DEE" w:rsidRDefault="00B113EE" w:rsidP="00CA7786">
      <w:pPr>
        <w:jc w:val="center"/>
        <w:rPr>
          <w:rFonts w:cs="Arial"/>
          <w:szCs w:val="24"/>
        </w:rPr>
      </w:pPr>
      <w:r w:rsidRPr="00490DEE">
        <w:rPr>
          <w:rFonts w:cs="Arial"/>
          <w:noProof/>
          <w:szCs w:val="24"/>
        </w:rPr>
        <w:drawing>
          <wp:inline distT="0" distB="0" distL="0" distR="0" wp14:anchorId="3BCD7E28" wp14:editId="11CB19A9">
            <wp:extent cx="5400000" cy="3060000"/>
            <wp:effectExtent l="0" t="0" r="10795" b="7620"/>
            <wp:docPr id="930290811" name="Gráfico 1">
              <a:extLst xmlns:a="http://schemas.openxmlformats.org/drawingml/2006/main">
                <a:ext uri="{FF2B5EF4-FFF2-40B4-BE49-F238E27FC236}">
                  <a16:creationId xmlns:a16="http://schemas.microsoft.com/office/drawing/2014/main" id="{9B113810-9C65-6E1F-5524-9DDFC6E989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53BCE6" w14:textId="77777777" w:rsidR="00B113EE" w:rsidRPr="00DC3F44" w:rsidRDefault="00B113EE" w:rsidP="00CA7786">
      <w:pPr>
        <w:jc w:val="center"/>
        <w:rPr>
          <w:rFonts w:cs="Arial"/>
          <w:bCs/>
          <w:sz w:val="20"/>
        </w:rPr>
      </w:pPr>
      <w:r w:rsidRPr="00DC3F44">
        <w:rPr>
          <w:rFonts w:cs="Arial"/>
          <w:bCs/>
          <w:sz w:val="20"/>
        </w:rPr>
        <w:t>Fuente: XM - SINERGOX</w:t>
      </w:r>
    </w:p>
    <w:p w14:paraId="51909051" w14:textId="77777777" w:rsidR="00B113EE" w:rsidRDefault="00B113EE" w:rsidP="00CA7786">
      <w:pPr>
        <w:rPr>
          <w:rFonts w:cs="Arial"/>
          <w:szCs w:val="24"/>
        </w:rPr>
      </w:pPr>
    </w:p>
    <w:p w14:paraId="4793DDBD" w14:textId="77777777" w:rsidR="00BA3F62" w:rsidRPr="00BA3F62" w:rsidRDefault="00BA3F62" w:rsidP="00CA7786">
      <w:pPr>
        <w:rPr>
          <w:rFonts w:cs="Arial"/>
          <w:sz w:val="22"/>
          <w:szCs w:val="22"/>
        </w:rPr>
      </w:pPr>
      <w:r w:rsidRPr="00BA3F62">
        <w:rPr>
          <w:rFonts w:cs="Arial"/>
          <w:sz w:val="22"/>
          <w:szCs w:val="22"/>
        </w:rPr>
        <w:t>Un análisis de la exposición de los comercializadores a la bolsa de energía para atender la demanda regulada revela una exposición promedio simple de 28,4% y 29% respectivamente para los años 2022 y 2023.</w:t>
      </w:r>
    </w:p>
    <w:p w14:paraId="5E6E4682" w14:textId="77777777" w:rsidR="00BA3F62" w:rsidRPr="00490DEE" w:rsidRDefault="00BA3F62" w:rsidP="00CA7786">
      <w:pPr>
        <w:rPr>
          <w:rFonts w:cs="Arial"/>
          <w:szCs w:val="24"/>
        </w:rPr>
      </w:pPr>
    </w:p>
    <w:p w14:paraId="31FD4C71" w14:textId="0910CE8F" w:rsidR="00B113EE" w:rsidRPr="00B252E9" w:rsidRDefault="003B2674" w:rsidP="00CA7786">
      <w:pPr>
        <w:jc w:val="center"/>
        <w:rPr>
          <w:rFonts w:cs="Arial"/>
          <w:sz w:val="22"/>
          <w:szCs w:val="22"/>
        </w:rPr>
      </w:pPr>
      <w:bookmarkStart w:id="7" w:name="_Toc144900329"/>
      <w:r w:rsidRPr="003B2674">
        <w:rPr>
          <w:b/>
          <w:bCs/>
          <w:sz w:val="22"/>
          <w:szCs w:val="22"/>
        </w:rPr>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noProof/>
          <w:sz w:val="22"/>
          <w:szCs w:val="22"/>
        </w:rPr>
        <w:t>2</w:t>
      </w:r>
      <w:r w:rsidRPr="003B2674">
        <w:rPr>
          <w:b/>
          <w:bCs/>
          <w:sz w:val="22"/>
          <w:szCs w:val="22"/>
        </w:rPr>
        <w:fldChar w:fldCharType="end"/>
      </w:r>
      <w:r w:rsidRPr="003B2674">
        <w:rPr>
          <w:b/>
          <w:bCs/>
          <w:sz w:val="22"/>
          <w:szCs w:val="22"/>
        </w:rPr>
        <w:t>.</w:t>
      </w:r>
      <w:r w:rsidRPr="003B2674">
        <w:rPr>
          <w:sz w:val="22"/>
          <w:szCs w:val="22"/>
        </w:rPr>
        <w:t xml:space="preserve"> </w:t>
      </w:r>
      <w:r w:rsidR="00B252E9" w:rsidRPr="00B252E9">
        <w:rPr>
          <w:rFonts w:cs="Arial"/>
          <w:b/>
          <w:sz w:val="22"/>
          <w:szCs w:val="22"/>
        </w:rPr>
        <w:t xml:space="preserve">Exposición </w:t>
      </w:r>
      <w:r w:rsidR="00B113EE" w:rsidRPr="00B252E9">
        <w:rPr>
          <w:rFonts w:cs="Arial"/>
          <w:b/>
          <w:sz w:val="22"/>
          <w:szCs w:val="22"/>
          <w:lang w:val="es-CO"/>
        </w:rPr>
        <w:t>a bolsa para atender demanda no regulada</w:t>
      </w:r>
      <w:bookmarkEnd w:id="7"/>
    </w:p>
    <w:p w14:paraId="5D6A5CCC" w14:textId="77777777" w:rsidR="00B113EE" w:rsidRPr="00490DEE" w:rsidRDefault="00B113EE" w:rsidP="00CA7786">
      <w:pPr>
        <w:jc w:val="center"/>
        <w:rPr>
          <w:rFonts w:cs="Arial"/>
          <w:szCs w:val="24"/>
        </w:rPr>
      </w:pPr>
      <w:r w:rsidRPr="00490DEE">
        <w:rPr>
          <w:rFonts w:cs="Arial"/>
          <w:noProof/>
          <w:szCs w:val="24"/>
        </w:rPr>
        <w:drawing>
          <wp:inline distT="0" distB="0" distL="0" distR="0" wp14:anchorId="66C6922F" wp14:editId="05AA3715">
            <wp:extent cx="5400000" cy="3060000"/>
            <wp:effectExtent l="0" t="0" r="10795" b="7620"/>
            <wp:docPr id="1786587686" name="Gráfico 1">
              <a:extLst xmlns:a="http://schemas.openxmlformats.org/drawingml/2006/main">
                <a:ext uri="{FF2B5EF4-FFF2-40B4-BE49-F238E27FC236}">
                  <a16:creationId xmlns:a16="http://schemas.microsoft.com/office/drawing/2014/main" id="{1848176B-5B5A-3250-C7B1-DD2DE6A873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76DE77" w14:textId="3265C6C9" w:rsidR="00B113EE" w:rsidRPr="00DC3F44" w:rsidRDefault="00B113EE" w:rsidP="00CA7786">
      <w:pPr>
        <w:jc w:val="center"/>
        <w:rPr>
          <w:rFonts w:cs="Arial"/>
          <w:bCs/>
          <w:sz w:val="20"/>
        </w:rPr>
      </w:pPr>
      <w:r w:rsidRPr="00DC3F44">
        <w:rPr>
          <w:rFonts w:cs="Arial"/>
          <w:bCs/>
          <w:sz w:val="20"/>
        </w:rPr>
        <w:t>Fuente: XM - SINERGOX</w:t>
      </w:r>
    </w:p>
    <w:p w14:paraId="5C5AAE27" w14:textId="77777777" w:rsidR="00B113EE" w:rsidRPr="00490DEE" w:rsidRDefault="00B113EE" w:rsidP="00CA7786">
      <w:pPr>
        <w:rPr>
          <w:rFonts w:cs="Arial"/>
          <w:szCs w:val="24"/>
        </w:rPr>
      </w:pPr>
    </w:p>
    <w:p w14:paraId="06CDC44F" w14:textId="77777777" w:rsidR="00E775FB" w:rsidRPr="00E775FB" w:rsidRDefault="00E775FB" w:rsidP="00CA7786">
      <w:pPr>
        <w:rPr>
          <w:rFonts w:cs="Arial"/>
          <w:sz w:val="22"/>
          <w:szCs w:val="22"/>
        </w:rPr>
      </w:pPr>
      <w:r w:rsidRPr="00E775FB">
        <w:rPr>
          <w:rFonts w:cs="Arial"/>
          <w:sz w:val="22"/>
          <w:szCs w:val="22"/>
        </w:rPr>
        <w:lastRenderedPageBreak/>
        <w:t>Si se comparan los resultados anteriores con la misma exposición para atender la demanda no regulada, se observa una exposición mayor que ronda cerca del 35,9% y 32,5% para los años 2022 y 2023 respectivamente.</w:t>
      </w:r>
    </w:p>
    <w:p w14:paraId="2421D7C5" w14:textId="77777777" w:rsidR="00B57F06" w:rsidRDefault="00B57F06" w:rsidP="00CA7786">
      <w:pPr>
        <w:rPr>
          <w:rFonts w:cs="Arial"/>
          <w:sz w:val="22"/>
          <w:szCs w:val="22"/>
        </w:rPr>
      </w:pPr>
    </w:p>
    <w:p w14:paraId="08D5C9C6" w14:textId="6E2BE9B8" w:rsidR="00FF564D" w:rsidRDefault="00FF564D" w:rsidP="00CA7786">
      <w:pPr>
        <w:rPr>
          <w:rFonts w:cs="Arial"/>
          <w:sz w:val="22"/>
          <w:szCs w:val="22"/>
        </w:rPr>
      </w:pPr>
      <w:r>
        <w:rPr>
          <w:rFonts w:cs="Arial"/>
          <w:sz w:val="22"/>
          <w:szCs w:val="22"/>
        </w:rPr>
        <w:t xml:space="preserve">Es preciso destacar que el promedio ponderado </w:t>
      </w:r>
      <w:r w:rsidR="001858C8">
        <w:rPr>
          <w:rFonts w:cs="Arial"/>
          <w:sz w:val="22"/>
          <w:szCs w:val="22"/>
        </w:rPr>
        <w:t>de exposición a bolsa se encuentra alrededor del 20%</w:t>
      </w:r>
      <w:r w:rsidR="00B37237">
        <w:rPr>
          <w:rFonts w:cs="Arial"/>
          <w:sz w:val="22"/>
          <w:szCs w:val="22"/>
        </w:rPr>
        <w:t xml:space="preserve"> y que si bien, es menor que el promedio simple que arriba se presenta, resulta previsible que </w:t>
      </w:r>
      <w:r w:rsidR="00191754">
        <w:rPr>
          <w:rFonts w:cs="Arial"/>
          <w:sz w:val="22"/>
          <w:szCs w:val="22"/>
        </w:rPr>
        <w:t xml:space="preserve">dicha exposición pueda </w:t>
      </w:r>
      <w:r w:rsidR="00B37237">
        <w:rPr>
          <w:rFonts w:cs="Arial"/>
          <w:sz w:val="22"/>
          <w:szCs w:val="22"/>
        </w:rPr>
        <w:t>aument</w:t>
      </w:r>
      <w:r w:rsidR="00191754">
        <w:rPr>
          <w:rFonts w:cs="Arial"/>
          <w:sz w:val="22"/>
          <w:szCs w:val="22"/>
        </w:rPr>
        <w:t>ar</w:t>
      </w:r>
      <w:r w:rsidR="00B37237">
        <w:rPr>
          <w:rFonts w:cs="Arial"/>
          <w:sz w:val="22"/>
          <w:szCs w:val="22"/>
        </w:rPr>
        <w:t xml:space="preserve"> en escenarios críticos de hidrología que son típicos </w:t>
      </w:r>
      <w:r w:rsidR="00062750">
        <w:rPr>
          <w:rFonts w:cs="Arial"/>
          <w:sz w:val="22"/>
          <w:szCs w:val="22"/>
        </w:rPr>
        <w:t>en coyuntura de Fenómeno del Niño.</w:t>
      </w:r>
    </w:p>
    <w:p w14:paraId="4D47CD5A" w14:textId="77777777" w:rsidR="00B37237" w:rsidRDefault="00B37237" w:rsidP="00CA7786">
      <w:pPr>
        <w:rPr>
          <w:rFonts w:cs="Arial"/>
          <w:sz w:val="22"/>
          <w:szCs w:val="22"/>
        </w:rPr>
      </w:pPr>
    </w:p>
    <w:p w14:paraId="58C1AF29" w14:textId="47C7ABD2" w:rsidR="00B26390" w:rsidRPr="00B26390" w:rsidRDefault="00B26390" w:rsidP="00CA7786">
      <w:pPr>
        <w:pStyle w:val="Ttulo2"/>
        <w:numPr>
          <w:ilvl w:val="1"/>
          <w:numId w:val="25"/>
        </w:numPr>
        <w:spacing w:after="0"/>
        <w:rPr>
          <w:rFonts w:cs="Arial"/>
          <w:sz w:val="22"/>
          <w:szCs w:val="22"/>
        </w:rPr>
      </w:pPr>
      <w:r>
        <w:rPr>
          <w:rFonts w:cs="Arial"/>
          <w:sz w:val="22"/>
          <w:szCs w:val="22"/>
        </w:rPr>
        <w:t>Principales causas</w:t>
      </w:r>
      <w:r w:rsidRPr="00B26390">
        <w:rPr>
          <w:rFonts w:cs="Arial"/>
          <w:sz w:val="22"/>
          <w:szCs w:val="22"/>
        </w:rPr>
        <w:t xml:space="preserve"> del problema</w:t>
      </w:r>
    </w:p>
    <w:p w14:paraId="57DD1D80" w14:textId="77777777" w:rsidR="00B26390" w:rsidRPr="00242631" w:rsidRDefault="00B26390" w:rsidP="00CA7786">
      <w:pPr>
        <w:rPr>
          <w:rFonts w:cs="Arial"/>
          <w:sz w:val="22"/>
          <w:szCs w:val="22"/>
        </w:rPr>
      </w:pPr>
    </w:p>
    <w:p w14:paraId="3F802D52" w14:textId="437F232D" w:rsidR="00A63D38" w:rsidRPr="00242631" w:rsidRDefault="0065049E" w:rsidP="00CA7786">
      <w:pPr>
        <w:rPr>
          <w:rFonts w:cs="Arial"/>
          <w:sz w:val="22"/>
          <w:szCs w:val="22"/>
        </w:rPr>
      </w:pPr>
      <w:r>
        <w:rPr>
          <w:rFonts w:cs="Arial"/>
          <w:sz w:val="22"/>
          <w:szCs w:val="22"/>
        </w:rPr>
        <w:t xml:space="preserve">Una vez caracterizado el </w:t>
      </w:r>
      <w:r w:rsidR="00872206">
        <w:rPr>
          <w:rFonts w:cs="Arial"/>
          <w:sz w:val="22"/>
          <w:szCs w:val="22"/>
        </w:rPr>
        <w:t xml:space="preserve">problema, es importante abordar </w:t>
      </w:r>
      <w:r w:rsidR="00CC700A">
        <w:rPr>
          <w:rFonts w:cs="Arial"/>
          <w:sz w:val="22"/>
          <w:szCs w:val="22"/>
        </w:rPr>
        <w:t xml:space="preserve">sus </w:t>
      </w:r>
      <w:r w:rsidR="00A63D38" w:rsidRPr="00242631">
        <w:rPr>
          <w:rFonts w:cs="Arial"/>
          <w:sz w:val="22"/>
          <w:szCs w:val="22"/>
        </w:rPr>
        <w:t xml:space="preserve">causas </w:t>
      </w:r>
      <w:r w:rsidR="00642378">
        <w:rPr>
          <w:rFonts w:cs="Arial"/>
          <w:sz w:val="22"/>
          <w:szCs w:val="22"/>
        </w:rPr>
        <w:t xml:space="preserve">asociadas, las cuales pueden ser de </w:t>
      </w:r>
      <w:r w:rsidR="001206CC" w:rsidRPr="00242631">
        <w:rPr>
          <w:rFonts w:cs="Arial"/>
          <w:sz w:val="22"/>
          <w:szCs w:val="22"/>
        </w:rPr>
        <w:t>dos tipos</w:t>
      </w:r>
      <w:r w:rsidR="00DF4F58" w:rsidRPr="00242631">
        <w:rPr>
          <w:rFonts w:cs="Arial"/>
          <w:sz w:val="22"/>
          <w:szCs w:val="22"/>
        </w:rPr>
        <w:t xml:space="preserve">: </w:t>
      </w:r>
      <w:r w:rsidR="00926B70" w:rsidRPr="00242631">
        <w:rPr>
          <w:rFonts w:cs="Arial"/>
          <w:sz w:val="22"/>
          <w:szCs w:val="22"/>
        </w:rPr>
        <w:t xml:space="preserve">aquellas referentes a contextos de mercado y </w:t>
      </w:r>
      <w:r w:rsidR="00E07CEA" w:rsidRPr="00242631">
        <w:rPr>
          <w:rFonts w:cs="Arial"/>
          <w:sz w:val="22"/>
          <w:szCs w:val="22"/>
        </w:rPr>
        <w:t>las que corresponden a aspectos operativos del SICEP.</w:t>
      </w:r>
    </w:p>
    <w:p w14:paraId="40767F75" w14:textId="77777777" w:rsidR="00E17BDD" w:rsidRPr="00471B50" w:rsidRDefault="00E17BDD" w:rsidP="00CA7786">
      <w:pPr>
        <w:rPr>
          <w:rFonts w:cs="Arial"/>
          <w:sz w:val="22"/>
          <w:szCs w:val="22"/>
        </w:rPr>
      </w:pPr>
    </w:p>
    <w:p w14:paraId="61D9ECC0" w14:textId="10FA53BC" w:rsidR="00A63D38" w:rsidRPr="003A25C4" w:rsidRDefault="00A63D38" w:rsidP="00CA7786">
      <w:pPr>
        <w:pStyle w:val="Prrafodelista"/>
        <w:numPr>
          <w:ilvl w:val="2"/>
          <w:numId w:val="25"/>
        </w:numPr>
        <w:contextualSpacing w:val="0"/>
        <w:outlineLvl w:val="2"/>
        <w:rPr>
          <w:rFonts w:cs="Arial"/>
          <w:b/>
          <w:sz w:val="22"/>
          <w:szCs w:val="22"/>
        </w:rPr>
      </w:pPr>
      <w:r w:rsidRPr="003A25C4">
        <w:rPr>
          <w:rFonts w:cs="Arial"/>
          <w:b/>
          <w:sz w:val="22"/>
          <w:szCs w:val="22"/>
        </w:rPr>
        <w:t>Causas de mercado</w:t>
      </w:r>
    </w:p>
    <w:p w14:paraId="7C0EE0FB" w14:textId="77777777" w:rsidR="00A63D38" w:rsidRPr="00471B50" w:rsidRDefault="00A63D38" w:rsidP="00CA7786">
      <w:pPr>
        <w:rPr>
          <w:rFonts w:cs="Arial"/>
          <w:sz w:val="22"/>
          <w:szCs w:val="22"/>
        </w:rPr>
      </w:pPr>
    </w:p>
    <w:p w14:paraId="0F09CE85" w14:textId="5EA98243" w:rsidR="00B00905" w:rsidRPr="009635E2" w:rsidRDefault="00B00905" w:rsidP="00CA7786">
      <w:pPr>
        <w:pStyle w:val="Prrafodelista"/>
        <w:numPr>
          <w:ilvl w:val="0"/>
          <w:numId w:val="13"/>
        </w:numPr>
        <w:contextualSpacing w:val="0"/>
        <w:rPr>
          <w:rFonts w:cs="Arial"/>
          <w:b/>
          <w:sz w:val="22"/>
          <w:szCs w:val="22"/>
        </w:rPr>
      </w:pPr>
      <w:r w:rsidRPr="009635E2">
        <w:rPr>
          <w:rFonts w:cs="Arial"/>
          <w:b/>
          <w:sz w:val="22"/>
          <w:szCs w:val="22"/>
        </w:rPr>
        <w:t>Generadores no tienen</w:t>
      </w:r>
      <w:r w:rsidR="00C279C7">
        <w:rPr>
          <w:rFonts w:cs="Arial"/>
          <w:b/>
          <w:sz w:val="22"/>
          <w:szCs w:val="22"/>
        </w:rPr>
        <w:t xml:space="preserve"> suficientes</w:t>
      </w:r>
      <w:r w:rsidRPr="009635E2">
        <w:rPr>
          <w:rFonts w:cs="Arial"/>
          <w:b/>
          <w:sz w:val="22"/>
          <w:szCs w:val="22"/>
        </w:rPr>
        <w:t xml:space="preserve"> incentivos </w:t>
      </w:r>
      <w:r w:rsidR="00817DAF" w:rsidRPr="00471B50">
        <w:rPr>
          <w:rFonts w:cs="Arial"/>
          <w:b/>
          <w:sz w:val="22"/>
          <w:szCs w:val="22"/>
        </w:rPr>
        <w:t>de mercado</w:t>
      </w:r>
      <w:r w:rsidRPr="00471B50">
        <w:rPr>
          <w:rFonts w:cs="Arial"/>
          <w:b/>
          <w:sz w:val="22"/>
          <w:szCs w:val="22"/>
        </w:rPr>
        <w:t xml:space="preserve"> </w:t>
      </w:r>
      <w:r w:rsidRPr="009635E2">
        <w:rPr>
          <w:rFonts w:cs="Arial"/>
          <w:b/>
          <w:sz w:val="22"/>
          <w:szCs w:val="22"/>
        </w:rPr>
        <w:t>para participar de las convocatorias realizadas por los comercializadores.</w:t>
      </w:r>
    </w:p>
    <w:p w14:paraId="7E8CD5F2" w14:textId="77777777" w:rsidR="00B47CA4" w:rsidRPr="00471B50" w:rsidRDefault="00B47CA4" w:rsidP="00CA7786">
      <w:pPr>
        <w:rPr>
          <w:rFonts w:cs="Arial"/>
          <w:sz w:val="22"/>
          <w:szCs w:val="22"/>
        </w:rPr>
      </w:pPr>
    </w:p>
    <w:p w14:paraId="25E6A21B" w14:textId="728103B6" w:rsidR="00555A3A" w:rsidRDefault="00F241E8" w:rsidP="00CA7786">
      <w:pPr>
        <w:rPr>
          <w:rFonts w:cs="Arial"/>
          <w:sz w:val="22"/>
          <w:szCs w:val="22"/>
        </w:rPr>
      </w:pPr>
      <w:r>
        <w:rPr>
          <w:rFonts w:cs="Arial"/>
          <w:sz w:val="22"/>
          <w:szCs w:val="22"/>
        </w:rPr>
        <w:t>A agosto de 20</w:t>
      </w:r>
      <w:r w:rsidR="002405AF">
        <w:rPr>
          <w:rFonts w:cs="Arial"/>
          <w:sz w:val="22"/>
          <w:szCs w:val="22"/>
        </w:rPr>
        <w:t>23</w:t>
      </w:r>
      <w:r w:rsidR="007A512D">
        <w:rPr>
          <w:rFonts w:cs="Arial"/>
          <w:sz w:val="22"/>
          <w:szCs w:val="22"/>
        </w:rPr>
        <w:t xml:space="preserve"> se han registrado </w:t>
      </w:r>
      <w:r w:rsidR="003B2674">
        <w:rPr>
          <w:rFonts w:cs="Arial"/>
          <w:sz w:val="22"/>
          <w:szCs w:val="22"/>
        </w:rPr>
        <w:t xml:space="preserve">317 convocatorias </w:t>
      </w:r>
      <w:r w:rsidR="007A512D">
        <w:rPr>
          <w:rFonts w:cs="Arial"/>
          <w:sz w:val="22"/>
          <w:szCs w:val="22"/>
        </w:rPr>
        <w:t xml:space="preserve">en SICEP </w:t>
      </w:r>
      <w:r w:rsidR="00156262">
        <w:rPr>
          <w:rFonts w:cs="Arial"/>
          <w:sz w:val="22"/>
          <w:szCs w:val="22"/>
        </w:rPr>
        <w:t>y la participación promedio</w:t>
      </w:r>
      <w:r w:rsidR="0054661A">
        <w:rPr>
          <w:rFonts w:cs="Arial"/>
          <w:sz w:val="22"/>
          <w:szCs w:val="22"/>
        </w:rPr>
        <w:t xml:space="preserve"> que </w:t>
      </w:r>
      <w:r w:rsidR="008448AC">
        <w:rPr>
          <w:rFonts w:cs="Arial"/>
          <w:sz w:val="22"/>
          <w:szCs w:val="22"/>
        </w:rPr>
        <w:t xml:space="preserve">estuvo por encima de 11 ofertas en 2021 ha evidenciado una reducción </w:t>
      </w:r>
      <w:r w:rsidR="00B40CE5">
        <w:rPr>
          <w:rFonts w:cs="Arial"/>
          <w:sz w:val="22"/>
          <w:szCs w:val="22"/>
        </w:rPr>
        <w:t>para 2022 y 2023.</w:t>
      </w:r>
      <w:r w:rsidR="009737EF">
        <w:rPr>
          <w:rFonts w:cs="Arial"/>
          <w:sz w:val="22"/>
          <w:szCs w:val="22"/>
        </w:rPr>
        <w:t xml:space="preserve"> Lo anterior resulta significativo si se observa que e</w:t>
      </w:r>
      <w:r w:rsidR="003344BA">
        <w:rPr>
          <w:rFonts w:cs="Arial"/>
          <w:sz w:val="22"/>
          <w:szCs w:val="22"/>
        </w:rPr>
        <w:t xml:space="preserve">l promedio anual de ofertas adjudicadas </w:t>
      </w:r>
      <w:r w:rsidR="00555A3A">
        <w:rPr>
          <w:rFonts w:cs="Arial"/>
          <w:sz w:val="22"/>
          <w:szCs w:val="22"/>
        </w:rPr>
        <w:t>fue del 47,1% de las ofertas recibidas.</w:t>
      </w:r>
    </w:p>
    <w:p w14:paraId="6709AFB4" w14:textId="77777777" w:rsidR="00E17BDD" w:rsidRDefault="00E17BDD" w:rsidP="00CA7786">
      <w:pPr>
        <w:rPr>
          <w:rFonts w:cs="Arial"/>
          <w:sz w:val="22"/>
          <w:szCs w:val="22"/>
        </w:rPr>
      </w:pPr>
    </w:p>
    <w:p w14:paraId="6E5C222A" w14:textId="6918BE59" w:rsidR="00B3350D" w:rsidRPr="003B2674" w:rsidRDefault="003B2674" w:rsidP="00CA7786">
      <w:pPr>
        <w:jc w:val="center"/>
        <w:rPr>
          <w:rFonts w:cs="Arial"/>
          <w:sz w:val="28"/>
          <w:szCs w:val="28"/>
        </w:rPr>
      </w:pPr>
      <w:bookmarkStart w:id="8" w:name="_Toc144900330"/>
      <w:r w:rsidRPr="003B2674">
        <w:rPr>
          <w:b/>
          <w:bCs/>
          <w:sz w:val="22"/>
          <w:szCs w:val="22"/>
        </w:rPr>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noProof/>
          <w:sz w:val="22"/>
          <w:szCs w:val="22"/>
        </w:rPr>
        <w:t>3</w:t>
      </w:r>
      <w:r w:rsidRPr="003B2674">
        <w:rPr>
          <w:b/>
          <w:bCs/>
          <w:sz w:val="22"/>
          <w:szCs w:val="22"/>
        </w:rPr>
        <w:fldChar w:fldCharType="end"/>
      </w:r>
      <w:r w:rsidRPr="003B2674">
        <w:rPr>
          <w:b/>
          <w:bCs/>
          <w:sz w:val="22"/>
          <w:szCs w:val="22"/>
        </w:rPr>
        <w:t>.</w:t>
      </w:r>
      <w:r w:rsidRPr="003B2674">
        <w:rPr>
          <w:sz w:val="22"/>
          <w:szCs w:val="22"/>
        </w:rPr>
        <w:t xml:space="preserve"> </w:t>
      </w:r>
      <w:r w:rsidR="00156262" w:rsidRPr="003B2674">
        <w:rPr>
          <w:rFonts w:cs="Arial"/>
          <w:b/>
          <w:sz w:val="22"/>
          <w:szCs w:val="22"/>
        </w:rPr>
        <w:t>Promedio de ofertas recibidas y adjudicadas por año</w:t>
      </w:r>
      <w:bookmarkEnd w:id="8"/>
    </w:p>
    <w:p w14:paraId="5335B0E2" w14:textId="34CD3530" w:rsidR="00B3350D" w:rsidRDefault="00B3350D" w:rsidP="00CA7786">
      <w:pPr>
        <w:jc w:val="center"/>
        <w:rPr>
          <w:rFonts w:cs="Arial"/>
          <w:sz w:val="22"/>
          <w:szCs w:val="22"/>
        </w:rPr>
      </w:pPr>
      <w:r>
        <w:rPr>
          <w:noProof/>
        </w:rPr>
        <w:drawing>
          <wp:inline distT="0" distB="0" distL="0" distR="0" wp14:anchorId="3F7E49A8" wp14:editId="7E69E42F">
            <wp:extent cx="4680000" cy="2340000"/>
            <wp:effectExtent l="0" t="0" r="6350" b="3175"/>
            <wp:docPr id="299280580" name="Gráfico 1">
              <a:extLst xmlns:a="http://schemas.openxmlformats.org/drawingml/2006/main">
                <a:ext uri="{FF2B5EF4-FFF2-40B4-BE49-F238E27FC236}">
                  <a16:creationId xmlns:a16="http://schemas.microsoft.com/office/drawing/2014/main" id="{352E827A-11B0-2AA4-82CA-35D2E8E640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81ACED" w14:textId="554DBB4E" w:rsidR="00555A3A" w:rsidRPr="003B2674" w:rsidRDefault="00555A3A" w:rsidP="00CA7786">
      <w:pPr>
        <w:jc w:val="center"/>
        <w:rPr>
          <w:rFonts w:cs="Arial"/>
          <w:bCs/>
          <w:sz w:val="20"/>
        </w:rPr>
      </w:pPr>
      <w:r w:rsidRPr="003B2674">
        <w:rPr>
          <w:rFonts w:cs="Arial"/>
          <w:bCs/>
          <w:sz w:val="20"/>
        </w:rPr>
        <w:t>Fuente: Cálculos CREG con información de XM - SICEP</w:t>
      </w:r>
    </w:p>
    <w:p w14:paraId="32D5368B" w14:textId="77777777" w:rsidR="001F7F75" w:rsidRDefault="001F7F75" w:rsidP="00CA7786">
      <w:pPr>
        <w:rPr>
          <w:rFonts w:cs="Arial"/>
          <w:sz w:val="22"/>
          <w:szCs w:val="22"/>
        </w:rPr>
      </w:pPr>
    </w:p>
    <w:p w14:paraId="1194DABF" w14:textId="3FC68B89" w:rsidR="001F7F75" w:rsidRDefault="009E1336" w:rsidP="00CA7786">
      <w:pPr>
        <w:rPr>
          <w:rFonts w:cs="Arial"/>
          <w:sz w:val="22"/>
          <w:szCs w:val="22"/>
        </w:rPr>
      </w:pPr>
      <w:r>
        <w:rPr>
          <w:rFonts w:cs="Arial"/>
          <w:sz w:val="22"/>
          <w:szCs w:val="22"/>
        </w:rPr>
        <w:t xml:space="preserve">En términos de </w:t>
      </w:r>
      <w:r w:rsidR="0069699C">
        <w:rPr>
          <w:rFonts w:cs="Arial"/>
          <w:sz w:val="22"/>
          <w:szCs w:val="22"/>
        </w:rPr>
        <w:t xml:space="preserve">volúmenes de energía demandada y energía adjudicada, </w:t>
      </w:r>
      <w:r w:rsidR="00B30FE6">
        <w:rPr>
          <w:rFonts w:cs="Arial"/>
          <w:sz w:val="22"/>
          <w:szCs w:val="22"/>
        </w:rPr>
        <w:t>la Comisión evidenció que</w:t>
      </w:r>
      <w:r w:rsidR="00B705A2">
        <w:rPr>
          <w:rFonts w:cs="Arial"/>
          <w:sz w:val="22"/>
          <w:szCs w:val="22"/>
        </w:rPr>
        <w:t>,</w:t>
      </w:r>
      <w:r w:rsidR="00B30FE6">
        <w:rPr>
          <w:rFonts w:cs="Arial"/>
          <w:sz w:val="22"/>
          <w:szCs w:val="22"/>
        </w:rPr>
        <w:t xml:space="preserve"> </w:t>
      </w:r>
      <w:r w:rsidR="00C871EB">
        <w:rPr>
          <w:rFonts w:cs="Arial"/>
          <w:sz w:val="22"/>
          <w:szCs w:val="22"/>
        </w:rPr>
        <w:t>en promedio, 66,8% de la energía demandada en convocatorias públicas resultó efectivamente adjudicada.</w:t>
      </w:r>
      <w:r w:rsidR="0089680B">
        <w:rPr>
          <w:rFonts w:cs="Arial"/>
          <w:sz w:val="22"/>
          <w:szCs w:val="22"/>
        </w:rPr>
        <w:t xml:space="preserve"> Esto resulta relevante si se tiene en cuenta que toda energía </w:t>
      </w:r>
      <w:r w:rsidR="00B705A2">
        <w:rPr>
          <w:rFonts w:cs="Arial"/>
          <w:sz w:val="22"/>
          <w:szCs w:val="22"/>
        </w:rPr>
        <w:t xml:space="preserve">demandada y que no resulta adjudicada </w:t>
      </w:r>
      <w:r w:rsidR="005C6188">
        <w:rPr>
          <w:rFonts w:cs="Arial"/>
          <w:sz w:val="22"/>
          <w:szCs w:val="22"/>
        </w:rPr>
        <w:t>se traduce en una mayor exposición a bolsa para la atención de la demanda comercial regulada.</w:t>
      </w:r>
    </w:p>
    <w:p w14:paraId="127A3321" w14:textId="77777777" w:rsidR="0025704F" w:rsidRDefault="0025704F" w:rsidP="00CA7786">
      <w:pPr>
        <w:rPr>
          <w:rFonts w:cs="Arial"/>
          <w:sz w:val="22"/>
          <w:szCs w:val="22"/>
        </w:rPr>
      </w:pPr>
    </w:p>
    <w:p w14:paraId="558A83CE" w14:textId="0274FF5E" w:rsidR="0025704F" w:rsidRPr="003B2674" w:rsidRDefault="003B2674" w:rsidP="00CA7786">
      <w:pPr>
        <w:jc w:val="center"/>
        <w:rPr>
          <w:rFonts w:cs="Arial"/>
          <w:sz w:val="28"/>
          <w:szCs w:val="28"/>
        </w:rPr>
      </w:pPr>
      <w:bookmarkStart w:id="9" w:name="_Toc144900331"/>
      <w:r w:rsidRPr="003B2674">
        <w:rPr>
          <w:b/>
          <w:bCs/>
          <w:sz w:val="22"/>
          <w:szCs w:val="22"/>
        </w:rPr>
        <w:lastRenderedPageBreak/>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noProof/>
          <w:sz w:val="22"/>
          <w:szCs w:val="22"/>
        </w:rPr>
        <w:t>4</w:t>
      </w:r>
      <w:r w:rsidRPr="003B2674">
        <w:rPr>
          <w:b/>
          <w:bCs/>
          <w:sz w:val="22"/>
          <w:szCs w:val="22"/>
        </w:rPr>
        <w:fldChar w:fldCharType="end"/>
      </w:r>
      <w:r w:rsidRPr="003B2674">
        <w:rPr>
          <w:b/>
          <w:bCs/>
          <w:sz w:val="22"/>
          <w:szCs w:val="22"/>
        </w:rPr>
        <w:t>.</w:t>
      </w:r>
      <w:r w:rsidRPr="003B2674">
        <w:rPr>
          <w:sz w:val="22"/>
          <w:szCs w:val="22"/>
        </w:rPr>
        <w:t xml:space="preserve"> </w:t>
      </w:r>
      <w:r w:rsidR="0025704F" w:rsidRPr="003B2674">
        <w:rPr>
          <w:rFonts w:cs="Arial"/>
          <w:b/>
          <w:sz w:val="22"/>
          <w:szCs w:val="22"/>
        </w:rPr>
        <w:t>Porcentaje promedio de energía demandada y energía adjudicada</w:t>
      </w:r>
      <w:bookmarkEnd w:id="9"/>
    </w:p>
    <w:p w14:paraId="2514C061" w14:textId="74CEEA48" w:rsidR="0025704F" w:rsidRDefault="0025704F" w:rsidP="00CA7786">
      <w:pPr>
        <w:jc w:val="center"/>
        <w:rPr>
          <w:rFonts w:cs="Arial"/>
          <w:sz w:val="22"/>
          <w:szCs w:val="22"/>
        </w:rPr>
      </w:pPr>
      <w:r>
        <w:rPr>
          <w:noProof/>
        </w:rPr>
        <w:drawing>
          <wp:inline distT="0" distB="0" distL="0" distR="0" wp14:anchorId="40FED054" wp14:editId="4A32927B">
            <wp:extent cx="4680000" cy="2340000"/>
            <wp:effectExtent l="0" t="0" r="6350" b="3175"/>
            <wp:docPr id="922319763" name="Gráfico 1">
              <a:extLst xmlns:a="http://schemas.openxmlformats.org/drawingml/2006/main">
                <a:ext uri="{FF2B5EF4-FFF2-40B4-BE49-F238E27FC236}">
                  <a16:creationId xmlns:a16="http://schemas.microsoft.com/office/drawing/2014/main" id="{107A7DFB-C368-CEF3-9BF3-AAA003EFBE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A8A556" w14:textId="77777777" w:rsidR="0025704F" w:rsidRPr="003B2674" w:rsidRDefault="0025704F" w:rsidP="00CA7786">
      <w:pPr>
        <w:jc w:val="center"/>
        <w:rPr>
          <w:rFonts w:cs="Arial"/>
          <w:bCs/>
          <w:sz w:val="20"/>
        </w:rPr>
      </w:pPr>
      <w:r w:rsidRPr="003B2674">
        <w:rPr>
          <w:rFonts w:cs="Arial"/>
          <w:bCs/>
          <w:sz w:val="20"/>
        </w:rPr>
        <w:t>Fuente: Cálculos CREG con información de XM - SICEP</w:t>
      </w:r>
    </w:p>
    <w:p w14:paraId="15CE33F6" w14:textId="77777777" w:rsidR="009E1336" w:rsidRDefault="009E1336" w:rsidP="00CA7786">
      <w:pPr>
        <w:rPr>
          <w:rFonts w:cs="Arial"/>
          <w:sz w:val="22"/>
          <w:szCs w:val="22"/>
        </w:rPr>
      </w:pPr>
    </w:p>
    <w:p w14:paraId="19FA2F79" w14:textId="3DEF7408" w:rsidR="004B21AA" w:rsidRDefault="00ED6A9C" w:rsidP="00CA7786">
      <w:pPr>
        <w:rPr>
          <w:rFonts w:cs="Arial"/>
          <w:sz w:val="22"/>
          <w:szCs w:val="22"/>
        </w:rPr>
      </w:pPr>
      <w:r>
        <w:rPr>
          <w:rFonts w:cs="Arial"/>
          <w:sz w:val="22"/>
          <w:szCs w:val="22"/>
        </w:rPr>
        <w:t xml:space="preserve">En adición a lo expuesto, la CREG revisó el estado de las </w:t>
      </w:r>
      <w:r w:rsidR="005D23A2">
        <w:rPr>
          <w:rFonts w:cs="Arial"/>
          <w:sz w:val="22"/>
          <w:szCs w:val="22"/>
        </w:rPr>
        <w:t xml:space="preserve">317 </w:t>
      </w:r>
      <w:r>
        <w:rPr>
          <w:rFonts w:cs="Arial"/>
          <w:sz w:val="22"/>
          <w:szCs w:val="22"/>
        </w:rPr>
        <w:t xml:space="preserve">convocatorias </w:t>
      </w:r>
      <w:r w:rsidR="004B21AA">
        <w:rPr>
          <w:rFonts w:cs="Arial"/>
          <w:sz w:val="22"/>
          <w:szCs w:val="22"/>
        </w:rPr>
        <w:t>realizadas a agosto de 2023 y encontró</w:t>
      </w:r>
      <w:r w:rsidR="00C574D1">
        <w:rPr>
          <w:rFonts w:cs="Arial"/>
          <w:sz w:val="22"/>
          <w:szCs w:val="22"/>
        </w:rPr>
        <w:t>: (i)</w:t>
      </w:r>
      <w:r w:rsidR="007861BC">
        <w:rPr>
          <w:rFonts w:cs="Arial"/>
          <w:sz w:val="22"/>
          <w:szCs w:val="22"/>
        </w:rPr>
        <w:t xml:space="preserve"> </w:t>
      </w:r>
      <w:r w:rsidR="00C574D1">
        <w:rPr>
          <w:rFonts w:cs="Arial"/>
          <w:sz w:val="22"/>
          <w:szCs w:val="22"/>
        </w:rPr>
        <w:t>en</w:t>
      </w:r>
      <w:r w:rsidR="007861BC">
        <w:rPr>
          <w:rFonts w:cs="Arial"/>
          <w:sz w:val="22"/>
          <w:szCs w:val="22"/>
        </w:rPr>
        <w:t xml:space="preserve"> promedio, e</w:t>
      </w:r>
      <w:r w:rsidR="006D3B69" w:rsidRPr="007861BC">
        <w:rPr>
          <w:rFonts w:cs="Arial"/>
          <w:sz w:val="22"/>
          <w:szCs w:val="22"/>
        </w:rPr>
        <w:t>l 6</w:t>
      </w:r>
      <w:r w:rsidR="00EC16A3">
        <w:rPr>
          <w:rFonts w:cs="Arial"/>
          <w:sz w:val="22"/>
          <w:szCs w:val="22"/>
        </w:rPr>
        <w:t>,</w:t>
      </w:r>
      <w:r w:rsidR="00965326">
        <w:rPr>
          <w:rFonts w:cs="Arial"/>
          <w:sz w:val="22"/>
          <w:szCs w:val="22"/>
        </w:rPr>
        <w:t>6</w:t>
      </w:r>
      <w:r w:rsidR="006D3B69" w:rsidRPr="007861BC">
        <w:rPr>
          <w:rFonts w:cs="Arial"/>
          <w:sz w:val="22"/>
          <w:szCs w:val="22"/>
        </w:rPr>
        <w:t xml:space="preserve">% </w:t>
      </w:r>
      <w:r w:rsidR="00EC16A3">
        <w:rPr>
          <w:rFonts w:cs="Arial"/>
          <w:sz w:val="22"/>
          <w:szCs w:val="22"/>
        </w:rPr>
        <w:t>de las convocatorias se han cancelado</w:t>
      </w:r>
      <w:r w:rsidR="00C44960">
        <w:rPr>
          <w:rFonts w:cs="Arial"/>
          <w:sz w:val="22"/>
          <w:szCs w:val="22"/>
        </w:rPr>
        <w:t>, (</w:t>
      </w:r>
      <w:proofErr w:type="spellStart"/>
      <w:r w:rsidR="00C44960">
        <w:rPr>
          <w:rFonts w:cs="Arial"/>
          <w:sz w:val="22"/>
          <w:szCs w:val="22"/>
        </w:rPr>
        <w:t>ii</w:t>
      </w:r>
      <w:proofErr w:type="spellEnd"/>
      <w:r w:rsidR="00C44960">
        <w:rPr>
          <w:rFonts w:cs="Arial"/>
          <w:sz w:val="22"/>
          <w:szCs w:val="22"/>
        </w:rPr>
        <w:t xml:space="preserve">) </w:t>
      </w:r>
      <w:r w:rsidR="005D23A2">
        <w:rPr>
          <w:rFonts w:cs="Arial"/>
          <w:sz w:val="22"/>
          <w:szCs w:val="22"/>
        </w:rPr>
        <w:t>el 56,2% de las convocatorias resultaron cerradas y adjudicadas, (</w:t>
      </w:r>
      <w:proofErr w:type="spellStart"/>
      <w:r w:rsidR="005D23A2">
        <w:rPr>
          <w:rFonts w:cs="Arial"/>
          <w:sz w:val="22"/>
          <w:szCs w:val="22"/>
        </w:rPr>
        <w:t>iii</w:t>
      </w:r>
      <w:proofErr w:type="spellEnd"/>
      <w:r w:rsidR="005D23A2">
        <w:rPr>
          <w:rFonts w:cs="Arial"/>
          <w:sz w:val="22"/>
          <w:szCs w:val="22"/>
        </w:rPr>
        <w:t xml:space="preserve">) </w:t>
      </w:r>
      <w:r w:rsidR="000E5741">
        <w:rPr>
          <w:rFonts w:cs="Arial"/>
          <w:sz w:val="22"/>
          <w:szCs w:val="22"/>
        </w:rPr>
        <w:t xml:space="preserve">el 28,4% de las convocatorias </w:t>
      </w:r>
      <w:r w:rsidR="006D7575">
        <w:rPr>
          <w:rFonts w:cs="Arial"/>
          <w:sz w:val="22"/>
          <w:szCs w:val="22"/>
        </w:rPr>
        <w:t>terminaron cerradas y desiertas y</w:t>
      </w:r>
      <w:r w:rsidR="002075A8">
        <w:rPr>
          <w:rFonts w:cs="Arial"/>
          <w:sz w:val="22"/>
          <w:szCs w:val="22"/>
        </w:rPr>
        <w:t xml:space="preserve">, </w:t>
      </w:r>
      <w:r w:rsidR="003A19CD">
        <w:rPr>
          <w:rFonts w:cs="Arial"/>
          <w:sz w:val="22"/>
          <w:szCs w:val="22"/>
        </w:rPr>
        <w:t>(</w:t>
      </w:r>
      <w:proofErr w:type="spellStart"/>
      <w:r w:rsidR="003A19CD">
        <w:rPr>
          <w:rFonts w:cs="Arial"/>
          <w:sz w:val="22"/>
          <w:szCs w:val="22"/>
        </w:rPr>
        <w:t>iv</w:t>
      </w:r>
      <w:proofErr w:type="spellEnd"/>
      <w:r w:rsidR="003A19CD">
        <w:rPr>
          <w:rFonts w:cs="Arial"/>
          <w:sz w:val="22"/>
          <w:szCs w:val="22"/>
        </w:rPr>
        <w:t>)</w:t>
      </w:r>
      <w:r w:rsidR="006D7575">
        <w:rPr>
          <w:rFonts w:cs="Arial"/>
          <w:sz w:val="22"/>
          <w:szCs w:val="22"/>
        </w:rPr>
        <w:t xml:space="preserve"> </w:t>
      </w:r>
      <w:r w:rsidR="002075A8">
        <w:rPr>
          <w:rFonts w:cs="Arial"/>
          <w:sz w:val="22"/>
          <w:szCs w:val="22"/>
        </w:rPr>
        <w:t>el</w:t>
      </w:r>
      <w:r w:rsidR="003A19CD">
        <w:rPr>
          <w:rFonts w:cs="Arial"/>
          <w:sz w:val="22"/>
          <w:szCs w:val="22"/>
        </w:rPr>
        <w:t xml:space="preserve"> 8,8% de las </w:t>
      </w:r>
      <w:r w:rsidR="00F04C08">
        <w:rPr>
          <w:rFonts w:cs="Arial"/>
          <w:sz w:val="22"/>
          <w:szCs w:val="22"/>
        </w:rPr>
        <w:t xml:space="preserve">convocatorias </w:t>
      </w:r>
      <w:r w:rsidR="000F1082">
        <w:rPr>
          <w:rFonts w:cs="Arial"/>
          <w:sz w:val="22"/>
          <w:szCs w:val="22"/>
        </w:rPr>
        <w:t>están abiertas y en desarrollo.</w:t>
      </w:r>
      <w:r w:rsidR="00A61315">
        <w:rPr>
          <w:rFonts w:cs="Arial"/>
          <w:sz w:val="22"/>
          <w:szCs w:val="22"/>
        </w:rPr>
        <w:t xml:space="preserve"> </w:t>
      </w:r>
      <w:r w:rsidR="00B6352B">
        <w:rPr>
          <w:rFonts w:cs="Arial"/>
          <w:sz w:val="22"/>
          <w:szCs w:val="22"/>
        </w:rPr>
        <w:t xml:space="preserve">En el gráfico siguiente, se presenta el estado de las convocatorias </w:t>
      </w:r>
      <w:r w:rsidR="0026029A">
        <w:rPr>
          <w:rFonts w:cs="Arial"/>
          <w:sz w:val="22"/>
          <w:szCs w:val="22"/>
        </w:rPr>
        <w:t>por año de desarrol</w:t>
      </w:r>
      <w:r w:rsidR="00047BB4">
        <w:rPr>
          <w:rFonts w:cs="Arial"/>
          <w:sz w:val="22"/>
          <w:szCs w:val="22"/>
        </w:rPr>
        <w:t>lo</w:t>
      </w:r>
      <w:r w:rsidR="00E3140A">
        <w:rPr>
          <w:rFonts w:cs="Arial"/>
          <w:sz w:val="22"/>
          <w:szCs w:val="22"/>
        </w:rPr>
        <w:t>:</w:t>
      </w:r>
    </w:p>
    <w:p w14:paraId="2DFBF71F" w14:textId="77777777" w:rsidR="004B21AA" w:rsidRDefault="004B21AA" w:rsidP="00CA7786">
      <w:pPr>
        <w:rPr>
          <w:rFonts w:cs="Arial"/>
          <w:sz w:val="22"/>
          <w:szCs w:val="22"/>
        </w:rPr>
      </w:pPr>
    </w:p>
    <w:p w14:paraId="364422A6" w14:textId="0AC9E4FB" w:rsidR="004B21AA" w:rsidRPr="003B2674" w:rsidRDefault="003B2674" w:rsidP="00CA7786">
      <w:pPr>
        <w:jc w:val="center"/>
        <w:rPr>
          <w:rFonts w:cs="Arial"/>
          <w:sz w:val="28"/>
          <w:szCs w:val="28"/>
        </w:rPr>
      </w:pPr>
      <w:bookmarkStart w:id="10" w:name="_Toc144900332"/>
      <w:r w:rsidRPr="003B2674">
        <w:rPr>
          <w:b/>
          <w:bCs/>
          <w:sz w:val="22"/>
          <w:szCs w:val="22"/>
        </w:rPr>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noProof/>
          <w:sz w:val="22"/>
          <w:szCs w:val="22"/>
        </w:rPr>
        <w:t>5</w:t>
      </w:r>
      <w:r w:rsidRPr="003B2674">
        <w:rPr>
          <w:b/>
          <w:bCs/>
          <w:sz w:val="22"/>
          <w:szCs w:val="22"/>
        </w:rPr>
        <w:fldChar w:fldCharType="end"/>
      </w:r>
      <w:r w:rsidRPr="003B2674">
        <w:rPr>
          <w:b/>
          <w:bCs/>
          <w:sz w:val="22"/>
          <w:szCs w:val="22"/>
        </w:rPr>
        <w:t>.</w:t>
      </w:r>
      <w:r w:rsidRPr="003B2674">
        <w:rPr>
          <w:sz w:val="22"/>
          <w:szCs w:val="22"/>
        </w:rPr>
        <w:t xml:space="preserve"> </w:t>
      </w:r>
      <w:r w:rsidR="004B21AA" w:rsidRPr="003B2674">
        <w:rPr>
          <w:rFonts w:cs="Arial"/>
          <w:b/>
          <w:sz w:val="22"/>
          <w:szCs w:val="22"/>
        </w:rPr>
        <w:t>Estado de convocatorias por duración de los contratos</w:t>
      </w:r>
      <w:bookmarkEnd w:id="10"/>
    </w:p>
    <w:p w14:paraId="6EF21198" w14:textId="77777777" w:rsidR="004B21AA" w:rsidRDefault="004B21AA" w:rsidP="00CA7786">
      <w:pPr>
        <w:jc w:val="center"/>
        <w:rPr>
          <w:rFonts w:cs="Arial"/>
          <w:sz w:val="22"/>
          <w:szCs w:val="22"/>
        </w:rPr>
      </w:pPr>
      <w:r>
        <w:rPr>
          <w:noProof/>
        </w:rPr>
        <w:drawing>
          <wp:inline distT="0" distB="0" distL="0" distR="0" wp14:anchorId="47D5095C" wp14:editId="01B4E9C3">
            <wp:extent cx="4680000" cy="2448000"/>
            <wp:effectExtent l="0" t="0" r="6350" b="9525"/>
            <wp:docPr id="1392305367" name="Gráfico 1">
              <a:extLst xmlns:a="http://schemas.openxmlformats.org/drawingml/2006/main">
                <a:ext uri="{FF2B5EF4-FFF2-40B4-BE49-F238E27FC236}">
                  <a16:creationId xmlns:a16="http://schemas.microsoft.com/office/drawing/2014/main" id="{368BFE29-B503-B7D7-5232-C259D4B670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99E582" w14:textId="77777777" w:rsidR="004B21AA" w:rsidRPr="003B2674" w:rsidRDefault="004B21AA" w:rsidP="00CA7786">
      <w:pPr>
        <w:jc w:val="center"/>
        <w:rPr>
          <w:rFonts w:cs="Arial"/>
          <w:bCs/>
          <w:sz w:val="20"/>
        </w:rPr>
      </w:pPr>
      <w:r w:rsidRPr="003B2674">
        <w:rPr>
          <w:rFonts w:cs="Arial"/>
          <w:bCs/>
          <w:sz w:val="20"/>
        </w:rPr>
        <w:t>Fuente: Cálculos CREG con información de XM - SICEP</w:t>
      </w:r>
    </w:p>
    <w:p w14:paraId="46069EA4" w14:textId="77777777" w:rsidR="004B21AA" w:rsidRPr="005063CF" w:rsidRDefault="004B21AA" w:rsidP="00CA7786">
      <w:pPr>
        <w:rPr>
          <w:rFonts w:cs="Arial"/>
          <w:sz w:val="22"/>
        </w:rPr>
      </w:pPr>
    </w:p>
    <w:p w14:paraId="2CFED4A4" w14:textId="4CA03DD1" w:rsidR="001B1ECA" w:rsidRDefault="000173E0" w:rsidP="00CA7786">
      <w:pPr>
        <w:rPr>
          <w:rFonts w:cs="Arial"/>
          <w:sz w:val="22"/>
          <w:szCs w:val="22"/>
        </w:rPr>
      </w:pPr>
      <w:r>
        <w:rPr>
          <w:rFonts w:cs="Arial"/>
          <w:sz w:val="22"/>
        </w:rPr>
        <w:t xml:space="preserve">Por último, </w:t>
      </w:r>
      <w:r w:rsidR="00905C91">
        <w:rPr>
          <w:rFonts w:cs="Arial"/>
          <w:sz w:val="22"/>
        </w:rPr>
        <w:t xml:space="preserve">un análisis del estado de las convocatorias en función de la duración de </w:t>
      </w:r>
      <w:r w:rsidR="009C4AD5">
        <w:rPr>
          <w:rFonts w:cs="Arial"/>
          <w:sz w:val="22"/>
        </w:rPr>
        <w:t xml:space="preserve">sus </w:t>
      </w:r>
      <w:r w:rsidR="000A0BBD">
        <w:rPr>
          <w:rFonts w:cs="Arial"/>
          <w:sz w:val="22"/>
        </w:rPr>
        <w:t>contratos</w:t>
      </w:r>
      <w:r w:rsidR="00B8027C">
        <w:rPr>
          <w:rFonts w:cs="Arial"/>
          <w:sz w:val="22"/>
        </w:rPr>
        <w:t xml:space="preserve"> rev</w:t>
      </w:r>
      <w:r w:rsidR="006249D2">
        <w:rPr>
          <w:rFonts w:cs="Arial"/>
          <w:sz w:val="22"/>
        </w:rPr>
        <w:t>ela que</w:t>
      </w:r>
      <w:r w:rsidR="000E322E">
        <w:rPr>
          <w:rFonts w:cs="Arial"/>
          <w:sz w:val="22"/>
        </w:rPr>
        <w:t xml:space="preserve">: (i) </w:t>
      </w:r>
      <w:r w:rsidR="008A1DEB">
        <w:rPr>
          <w:rFonts w:cs="Arial"/>
          <w:sz w:val="22"/>
        </w:rPr>
        <w:t xml:space="preserve">el mayor volumen de convocatorias </w:t>
      </w:r>
      <w:r w:rsidR="009B2C65">
        <w:rPr>
          <w:rFonts w:cs="Arial"/>
          <w:sz w:val="22"/>
        </w:rPr>
        <w:t xml:space="preserve">da como resultado contratos con duración de </w:t>
      </w:r>
      <w:r w:rsidR="000A0BBD">
        <w:rPr>
          <w:rFonts w:cs="Arial"/>
          <w:sz w:val="22"/>
        </w:rPr>
        <w:t>0 a 5 años y, (</w:t>
      </w:r>
      <w:proofErr w:type="spellStart"/>
      <w:r w:rsidR="000A0BBD">
        <w:rPr>
          <w:rFonts w:cs="Arial"/>
          <w:sz w:val="22"/>
        </w:rPr>
        <w:t>ii</w:t>
      </w:r>
      <w:proofErr w:type="spellEnd"/>
      <w:r w:rsidR="000A0BBD">
        <w:rPr>
          <w:rFonts w:cs="Arial"/>
          <w:sz w:val="22"/>
        </w:rPr>
        <w:t xml:space="preserve">) </w:t>
      </w:r>
      <w:r w:rsidR="00FA4515">
        <w:rPr>
          <w:rFonts w:cs="Arial"/>
          <w:sz w:val="22"/>
        </w:rPr>
        <w:t xml:space="preserve">el volumen de convocatorias </w:t>
      </w:r>
      <w:r w:rsidR="00AF65AE">
        <w:rPr>
          <w:rFonts w:cs="Arial"/>
          <w:sz w:val="22"/>
        </w:rPr>
        <w:t xml:space="preserve">cerradas y </w:t>
      </w:r>
      <w:r w:rsidR="00C1614E">
        <w:rPr>
          <w:rFonts w:cs="Arial"/>
          <w:sz w:val="22"/>
        </w:rPr>
        <w:t>desi</w:t>
      </w:r>
      <w:r w:rsidR="00FC5B99">
        <w:rPr>
          <w:rFonts w:cs="Arial"/>
          <w:sz w:val="22"/>
        </w:rPr>
        <w:t>e</w:t>
      </w:r>
      <w:r w:rsidR="00C1614E">
        <w:rPr>
          <w:rFonts w:cs="Arial"/>
          <w:sz w:val="22"/>
        </w:rPr>
        <w:t xml:space="preserve">rtas </w:t>
      </w:r>
      <w:r w:rsidR="00FC5B99">
        <w:rPr>
          <w:rFonts w:cs="Arial"/>
          <w:sz w:val="22"/>
        </w:rPr>
        <w:t xml:space="preserve">despierta preocupaciones </w:t>
      </w:r>
      <w:r w:rsidR="009C4B23">
        <w:rPr>
          <w:rFonts w:cs="Arial"/>
          <w:sz w:val="22"/>
        </w:rPr>
        <w:t xml:space="preserve">porque lleva asociados contratos </w:t>
      </w:r>
      <w:r w:rsidR="00411F32">
        <w:rPr>
          <w:rFonts w:cs="Arial"/>
          <w:sz w:val="22"/>
        </w:rPr>
        <w:t xml:space="preserve">que hubieran llevado a coberturas </w:t>
      </w:r>
      <w:r w:rsidR="001A4A33">
        <w:rPr>
          <w:rFonts w:cs="Arial"/>
          <w:sz w:val="22"/>
        </w:rPr>
        <w:t>de energía de mediano y largo plazo.</w:t>
      </w:r>
    </w:p>
    <w:p w14:paraId="25B5FE7E" w14:textId="77777777" w:rsidR="001B1ECA" w:rsidRDefault="001B1ECA" w:rsidP="00CA7786">
      <w:pPr>
        <w:rPr>
          <w:rFonts w:cs="Arial"/>
          <w:sz w:val="22"/>
          <w:szCs w:val="22"/>
        </w:rPr>
      </w:pPr>
    </w:p>
    <w:p w14:paraId="21BBA50B" w14:textId="0E0428E0" w:rsidR="001B1ECA" w:rsidRPr="003B2674" w:rsidRDefault="003B2674" w:rsidP="00CA7786">
      <w:pPr>
        <w:jc w:val="center"/>
        <w:rPr>
          <w:rFonts w:cs="Arial"/>
          <w:sz w:val="28"/>
          <w:szCs w:val="28"/>
        </w:rPr>
      </w:pPr>
      <w:bookmarkStart w:id="11" w:name="_Toc144900333"/>
      <w:r w:rsidRPr="003B2674">
        <w:rPr>
          <w:b/>
          <w:bCs/>
          <w:sz w:val="22"/>
          <w:szCs w:val="22"/>
        </w:rPr>
        <w:lastRenderedPageBreak/>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noProof/>
          <w:sz w:val="22"/>
          <w:szCs w:val="22"/>
        </w:rPr>
        <w:t>6</w:t>
      </w:r>
      <w:r w:rsidRPr="003B2674">
        <w:rPr>
          <w:b/>
          <w:bCs/>
          <w:sz w:val="22"/>
          <w:szCs w:val="22"/>
        </w:rPr>
        <w:fldChar w:fldCharType="end"/>
      </w:r>
      <w:r w:rsidRPr="003B2674">
        <w:rPr>
          <w:b/>
          <w:bCs/>
          <w:sz w:val="22"/>
          <w:szCs w:val="22"/>
        </w:rPr>
        <w:t>.</w:t>
      </w:r>
      <w:r w:rsidRPr="003B2674">
        <w:rPr>
          <w:sz w:val="22"/>
          <w:szCs w:val="22"/>
        </w:rPr>
        <w:t xml:space="preserve"> </w:t>
      </w:r>
      <w:r w:rsidR="0025759B" w:rsidRPr="003B2674">
        <w:rPr>
          <w:rFonts w:cs="Arial"/>
          <w:b/>
          <w:sz w:val="22"/>
          <w:szCs w:val="22"/>
        </w:rPr>
        <w:t>Estado de convocatorias por duración de los contratos</w:t>
      </w:r>
      <w:bookmarkEnd w:id="11"/>
    </w:p>
    <w:p w14:paraId="57B518D1" w14:textId="1A2D2F47" w:rsidR="002E11A0" w:rsidRDefault="002E11A0" w:rsidP="00CA7786">
      <w:pPr>
        <w:jc w:val="center"/>
        <w:rPr>
          <w:rFonts w:cs="Arial"/>
          <w:sz w:val="22"/>
          <w:szCs w:val="22"/>
        </w:rPr>
      </w:pPr>
      <w:r>
        <w:rPr>
          <w:noProof/>
        </w:rPr>
        <w:drawing>
          <wp:inline distT="0" distB="0" distL="0" distR="0" wp14:anchorId="527B859E" wp14:editId="4E1F2EEF">
            <wp:extent cx="5400000" cy="2232000"/>
            <wp:effectExtent l="0" t="0" r="10795" b="16510"/>
            <wp:docPr id="1689745763" name="Gráfico 1">
              <a:extLst xmlns:a="http://schemas.openxmlformats.org/drawingml/2006/main">
                <a:ext uri="{FF2B5EF4-FFF2-40B4-BE49-F238E27FC236}">
                  <a16:creationId xmlns:a16="http://schemas.microsoft.com/office/drawing/2014/main" id="{45CC0125-E66B-1398-CB75-FEA199C33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AA79EF" w14:textId="5D7CB3DA" w:rsidR="002E11A0" w:rsidRPr="003B2674" w:rsidRDefault="0025759B" w:rsidP="00CA7786">
      <w:pPr>
        <w:jc w:val="center"/>
        <w:rPr>
          <w:rFonts w:cs="Arial"/>
          <w:bCs/>
          <w:szCs w:val="24"/>
        </w:rPr>
      </w:pPr>
      <w:r w:rsidRPr="003B2674">
        <w:rPr>
          <w:rFonts w:cs="Arial"/>
          <w:bCs/>
          <w:sz w:val="20"/>
        </w:rPr>
        <w:t>Fuente: Cálculos CREG con información de XM - SICEP</w:t>
      </w:r>
    </w:p>
    <w:p w14:paraId="1D3D8BE7" w14:textId="77777777" w:rsidR="002E11A0" w:rsidRDefault="002E11A0" w:rsidP="00CA7786">
      <w:pPr>
        <w:rPr>
          <w:rFonts w:cs="Arial"/>
          <w:sz w:val="22"/>
          <w:szCs w:val="22"/>
        </w:rPr>
      </w:pPr>
    </w:p>
    <w:p w14:paraId="3CA0FE4B" w14:textId="458F5DDB" w:rsidR="003335ED" w:rsidRDefault="00371BB0" w:rsidP="00CA7786">
      <w:pPr>
        <w:rPr>
          <w:rFonts w:cs="Arial"/>
          <w:sz w:val="22"/>
          <w:szCs w:val="22"/>
        </w:rPr>
      </w:pPr>
      <w:r>
        <w:rPr>
          <w:rFonts w:cs="Arial"/>
          <w:sz w:val="22"/>
          <w:szCs w:val="22"/>
        </w:rPr>
        <w:t xml:space="preserve">Así, </w:t>
      </w:r>
      <w:r w:rsidR="005F2176">
        <w:rPr>
          <w:rFonts w:cs="Arial"/>
          <w:sz w:val="22"/>
          <w:szCs w:val="22"/>
        </w:rPr>
        <w:t>la proporción de ener</w:t>
      </w:r>
      <w:r w:rsidR="00351082">
        <w:rPr>
          <w:rFonts w:cs="Arial"/>
          <w:sz w:val="22"/>
          <w:szCs w:val="22"/>
        </w:rPr>
        <w:t xml:space="preserve">gía demandada en convocatorias que no resulta adjudicada </w:t>
      </w:r>
      <w:r w:rsidR="00A13B93">
        <w:rPr>
          <w:rFonts w:cs="Arial"/>
          <w:sz w:val="22"/>
          <w:szCs w:val="22"/>
        </w:rPr>
        <w:t>constituye coberturas de energía no logradas por</w:t>
      </w:r>
      <w:r w:rsidR="00E77D03">
        <w:rPr>
          <w:rFonts w:cs="Arial"/>
          <w:sz w:val="22"/>
          <w:szCs w:val="22"/>
        </w:rPr>
        <w:t xml:space="preserve"> parte de</w:t>
      </w:r>
      <w:r w:rsidR="00A13B93">
        <w:rPr>
          <w:rFonts w:cs="Arial"/>
          <w:sz w:val="22"/>
          <w:szCs w:val="22"/>
        </w:rPr>
        <w:t xml:space="preserve"> los comercializadores </w:t>
      </w:r>
      <w:r w:rsidR="00B468E2">
        <w:rPr>
          <w:rFonts w:cs="Arial"/>
          <w:sz w:val="22"/>
          <w:szCs w:val="22"/>
        </w:rPr>
        <w:t xml:space="preserve">quienes </w:t>
      </w:r>
      <w:r w:rsidR="005F0103">
        <w:rPr>
          <w:rFonts w:cs="Arial"/>
          <w:sz w:val="22"/>
          <w:szCs w:val="22"/>
        </w:rPr>
        <w:t xml:space="preserve">al final deben </w:t>
      </w:r>
      <w:r w:rsidR="001A360D">
        <w:rPr>
          <w:rFonts w:cs="Arial"/>
          <w:sz w:val="22"/>
          <w:szCs w:val="22"/>
        </w:rPr>
        <w:t xml:space="preserve">concurrir a la </w:t>
      </w:r>
      <w:r w:rsidR="00EB75EC">
        <w:rPr>
          <w:rFonts w:cs="Arial"/>
          <w:sz w:val="22"/>
          <w:szCs w:val="22"/>
        </w:rPr>
        <w:t xml:space="preserve">exposición </w:t>
      </w:r>
      <w:r w:rsidR="007A58AE">
        <w:rPr>
          <w:rFonts w:cs="Arial"/>
          <w:sz w:val="22"/>
          <w:szCs w:val="22"/>
        </w:rPr>
        <w:t xml:space="preserve">en </w:t>
      </w:r>
      <w:r w:rsidR="0079417D">
        <w:rPr>
          <w:rFonts w:cs="Arial"/>
          <w:sz w:val="22"/>
          <w:szCs w:val="22"/>
        </w:rPr>
        <w:t xml:space="preserve">bolsa de energía, </w:t>
      </w:r>
      <w:r w:rsidR="007A58AE">
        <w:rPr>
          <w:rFonts w:cs="Arial"/>
          <w:sz w:val="22"/>
          <w:szCs w:val="22"/>
        </w:rPr>
        <w:t xml:space="preserve">la cual se </w:t>
      </w:r>
      <w:r w:rsidR="0079417D">
        <w:rPr>
          <w:rFonts w:cs="Arial"/>
          <w:sz w:val="22"/>
          <w:szCs w:val="22"/>
        </w:rPr>
        <w:t>caracteriza por mayores precios</w:t>
      </w:r>
      <w:r w:rsidR="00EB75EC">
        <w:rPr>
          <w:rFonts w:cs="Arial"/>
          <w:sz w:val="22"/>
          <w:szCs w:val="22"/>
        </w:rPr>
        <w:t xml:space="preserve"> que son trans</w:t>
      </w:r>
      <w:r w:rsidR="003335ED">
        <w:rPr>
          <w:rFonts w:cs="Arial"/>
          <w:sz w:val="22"/>
          <w:szCs w:val="22"/>
        </w:rPr>
        <w:t>feridos al usuario final.</w:t>
      </w:r>
    </w:p>
    <w:p w14:paraId="1746A88A" w14:textId="77777777" w:rsidR="00B30997" w:rsidRDefault="00B30997" w:rsidP="00CA7786">
      <w:pPr>
        <w:rPr>
          <w:rFonts w:cs="Arial"/>
          <w:sz w:val="22"/>
          <w:szCs w:val="22"/>
        </w:rPr>
      </w:pPr>
    </w:p>
    <w:p w14:paraId="7F7557A9" w14:textId="403A4D7D" w:rsidR="003335ED" w:rsidRDefault="00B30997" w:rsidP="00CA7786">
      <w:pPr>
        <w:rPr>
          <w:rFonts w:cs="Arial"/>
          <w:sz w:val="22"/>
          <w:szCs w:val="22"/>
        </w:rPr>
      </w:pPr>
      <w:r>
        <w:rPr>
          <w:rFonts w:cs="Arial"/>
          <w:sz w:val="22"/>
          <w:szCs w:val="22"/>
        </w:rPr>
        <w:t xml:space="preserve">Al respecto, </w:t>
      </w:r>
      <w:r w:rsidR="00F56152">
        <w:rPr>
          <w:rFonts w:cs="Arial"/>
          <w:sz w:val="22"/>
          <w:szCs w:val="22"/>
        </w:rPr>
        <w:t>es importante tener presente el comportamiento histórico de los precios promedio observados en l</w:t>
      </w:r>
      <w:r w:rsidR="00B82399">
        <w:rPr>
          <w:rFonts w:cs="Arial"/>
          <w:sz w:val="22"/>
          <w:szCs w:val="22"/>
        </w:rPr>
        <w:t xml:space="preserve">os contratos de energía para atender la demanda regulada y no regulada, así como </w:t>
      </w:r>
      <w:r w:rsidR="00CC5CBA">
        <w:rPr>
          <w:rFonts w:cs="Arial"/>
          <w:sz w:val="22"/>
          <w:szCs w:val="22"/>
        </w:rPr>
        <w:t xml:space="preserve">los precios </w:t>
      </w:r>
      <w:r w:rsidR="00D765CC">
        <w:rPr>
          <w:rFonts w:cs="Arial"/>
          <w:sz w:val="22"/>
          <w:szCs w:val="22"/>
        </w:rPr>
        <w:t>promedio de la bolsa de energía.</w:t>
      </w:r>
    </w:p>
    <w:p w14:paraId="731B6E13" w14:textId="77777777" w:rsidR="001F7F75" w:rsidRDefault="001F7F75" w:rsidP="00CA7786">
      <w:pPr>
        <w:rPr>
          <w:rFonts w:cs="Arial"/>
          <w:sz w:val="22"/>
        </w:rPr>
      </w:pPr>
    </w:p>
    <w:p w14:paraId="7E5ACDE7" w14:textId="518FDE8C" w:rsidR="001F7F75" w:rsidRPr="003B2674" w:rsidRDefault="003B2674" w:rsidP="00CA7786">
      <w:pPr>
        <w:ind w:left="567" w:right="618"/>
        <w:jc w:val="center"/>
        <w:rPr>
          <w:rFonts w:cs="Arial"/>
          <w:b/>
          <w:sz w:val="28"/>
          <w:szCs w:val="24"/>
        </w:rPr>
      </w:pPr>
      <w:bookmarkStart w:id="12" w:name="_Ref144899828"/>
      <w:bookmarkStart w:id="13" w:name="_Toc144900334"/>
      <w:r w:rsidRPr="003B2674">
        <w:rPr>
          <w:b/>
          <w:bCs/>
          <w:sz w:val="22"/>
          <w:szCs w:val="22"/>
        </w:rPr>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noProof/>
          <w:sz w:val="22"/>
          <w:szCs w:val="22"/>
        </w:rPr>
        <w:t>7</w:t>
      </w:r>
      <w:r w:rsidRPr="003B2674">
        <w:rPr>
          <w:b/>
          <w:bCs/>
          <w:sz w:val="22"/>
          <w:szCs w:val="22"/>
        </w:rPr>
        <w:fldChar w:fldCharType="end"/>
      </w:r>
      <w:r w:rsidRPr="003B2674">
        <w:rPr>
          <w:b/>
          <w:bCs/>
          <w:sz w:val="22"/>
          <w:szCs w:val="22"/>
        </w:rPr>
        <w:t>.</w:t>
      </w:r>
      <w:r w:rsidRPr="003B2674">
        <w:rPr>
          <w:sz w:val="22"/>
          <w:szCs w:val="22"/>
        </w:rPr>
        <w:t xml:space="preserve"> </w:t>
      </w:r>
      <w:r w:rsidR="00EA6A5C" w:rsidRPr="003B2674">
        <w:rPr>
          <w:rFonts w:cs="Arial"/>
          <w:b/>
          <w:sz w:val="22"/>
          <w:szCs w:val="22"/>
        </w:rPr>
        <w:t xml:space="preserve">Precios promedio de </w:t>
      </w:r>
      <w:r w:rsidR="007B1FC3" w:rsidRPr="003B2674">
        <w:rPr>
          <w:rFonts w:cs="Arial"/>
          <w:b/>
          <w:sz w:val="22"/>
          <w:szCs w:val="22"/>
        </w:rPr>
        <w:t>energía transada en contratos y en bolsa de energía</w:t>
      </w:r>
      <w:r w:rsidR="00BF6D44" w:rsidRPr="003B2674">
        <w:rPr>
          <w:rFonts w:cs="Arial"/>
          <w:b/>
          <w:sz w:val="22"/>
          <w:szCs w:val="22"/>
        </w:rPr>
        <w:t xml:space="preserve"> y valores de</w:t>
      </w:r>
      <w:r w:rsidR="005C07BC" w:rsidRPr="003B2674">
        <w:rPr>
          <w:rFonts w:cs="Arial"/>
          <w:b/>
          <w:sz w:val="22"/>
          <w:szCs w:val="22"/>
        </w:rPr>
        <w:t>l componente de referencia MC</w:t>
      </w:r>
      <w:bookmarkEnd w:id="12"/>
      <w:bookmarkEnd w:id="13"/>
    </w:p>
    <w:p w14:paraId="7C9A129F" w14:textId="77777777" w:rsidR="001F7F75" w:rsidRPr="005063CF" w:rsidRDefault="001F7F75" w:rsidP="00CA7786">
      <w:pPr>
        <w:jc w:val="center"/>
        <w:rPr>
          <w:rFonts w:cs="Arial"/>
          <w:sz w:val="22"/>
        </w:rPr>
      </w:pPr>
      <w:r>
        <w:rPr>
          <w:noProof/>
        </w:rPr>
        <w:drawing>
          <wp:inline distT="0" distB="0" distL="0" distR="0" wp14:anchorId="18AEE81D" wp14:editId="18C43F62">
            <wp:extent cx="5400000" cy="2232000"/>
            <wp:effectExtent l="0" t="0" r="10795" b="16510"/>
            <wp:docPr id="1749910314" name="Gráfico 1">
              <a:extLst xmlns:a="http://schemas.openxmlformats.org/drawingml/2006/main">
                <a:ext uri="{FF2B5EF4-FFF2-40B4-BE49-F238E27FC236}">
                  <a16:creationId xmlns:a16="http://schemas.microsoft.com/office/drawing/2014/main" id="{6A77F90D-0604-B1EB-A7A3-9CACA6E93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C959C5" w14:textId="77777777" w:rsidR="001F7F75" w:rsidRPr="003B2674" w:rsidRDefault="001F7F75" w:rsidP="00CA7786">
      <w:pPr>
        <w:jc w:val="center"/>
        <w:rPr>
          <w:rFonts w:cs="Arial"/>
          <w:bCs/>
          <w:sz w:val="20"/>
        </w:rPr>
      </w:pPr>
      <w:r w:rsidRPr="003B2674">
        <w:rPr>
          <w:rFonts w:cs="Arial"/>
          <w:bCs/>
          <w:sz w:val="20"/>
        </w:rPr>
        <w:t>Fuente: XM - SINERGOX</w:t>
      </w:r>
    </w:p>
    <w:p w14:paraId="7085A5B8" w14:textId="77777777" w:rsidR="001F7F75" w:rsidRDefault="001F7F75" w:rsidP="00CA7786">
      <w:pPr>
        <w:rPr>
          <w:rFonts w:cs="Arial"/>
          <w:sz w:val="22"/>
        </w:rPr>
      </w:pPr>
    </w:p>
    <w:p w14:paraId="6D8D4610" w14:textId="77777777" w:rsidR="00FF4914" w:rsidRDefault="00D765CC" w:rsidP="00CA7786">
      <w:pPr>
        <w:rPr>
          <w:rFonts w:cs="Arial"/>
          <w:sz w:val="22"/>
        </w:rPr>
      </w:pPr>
      <w:r>
        <w:rPr>
          <w:rFonts w:cs="Arial"/>
          <w:sz w:val="22"/>
        </w:rPr>
        <w:t>Este análisis</w:t>
      </w:r>
      <w:r w:rsidR="00102EC7">
        <w:rPr>
          <w:rFonts w:cs="Arial"/>
          <w:sz w:val="22"/>
        </w:rPr>
        <w:t xml:space="preserve"> </w:t>
      </w:r>
      <w:r w:rsidR="00994508">
        <w:rPr>
          <w:rFonts w:cs="Arial"/>
          <w:sz w:val="22"/>
        </w:rPr>
        <w:t xml:space="preserve">muestra que </w:t>
      </w:r>
      <w:r w:rsidR="00E27CE5">
        <w:rPr>
          <w:rFonts w:cs="Arial"/>
          <w:sz w:val="22"/>
        </w:rPr>
        <w:t xml:space="preserve">en escenarios de incertidumbre y de </w:t>
      </w:r>
      <w:r w:rsidR="008F00F6">
        <w:rPr>
          <w:rFonts w:cs="Arial"/>
          <w:sz w:val="22"/>
        </w:rPr>
        <w:t xml:space="preserve">criticidad asociados a </w:t>
      </w:r>
      <w:r w:rsidR="009721A2">
        <w:rPr>
          <w:rFonts w:cs="Arial"/>
          <w:sz w:val="22"/>
        </w:rPr>
        <w:t xml:space="preserve">baja hidrología, </w:t>
      </w:r>
      <w:r w:rsidR="00994508">
        <w:rPr>
          <w:rFonts w:cs="Arial"/>
          <w:sz w:val="22"/>
        </w:rPr>
        <w:t xml:space="preserve">típicos de </w:t>
      </w:r>
      <w:r w:rsidR="009721A2">
        <w:rPr>
          <w:rFonts w:cs="Arial"/>
          <w:sz w:val="22"/>
        </w:rPr>
        <w:t xml:space="preserve">periodos de Fenómeno del Niño, </w:t>
      </w:r>
      <w:r w:rsidR="006C430B">
        <w:rPr>
          <w:rFonts w:cs="Arial"/>
          <w:sz w:val="22"/>
        </w:rPr>
        <w:t xml:space="preserve">se caracterizan por niveles promedio de precios de bolsa </w:t>
      </w:r>
      <w:r w:rsidR="008C3CCC">
        <w:rPr>
          <w:rFonts w:cs="Arial"/>
          <w:sz w:val="22"/>
        </w:rPr>
        <w:t>mucho mayores que los observados en los precios promedio de contratos</w:t>
      </w:r>
      <w:r w:rsidR="00FF4914">
        <w:rPr>
          <w:rFonts w:cs="Arial"/>
          <w:sz w:val="22"/>
        </w:rPr>
        <w:t xml:space="preserve"> para esos periodos</w:t>
      </w:r>
      <w:r w:rsidR="008C3CCC">
        <w:rPr>
          <w:rFonts w:cs="Arial"/>
          <w:sz w:val="22"/>
        </w:rPr>
        <w:t>.</w:t>
      </w:r>
    </w:p>
    <w:p w14:paraId="3F054195" w14:textId="77777777" w:rsidR="00FF4914" w:rsidRDefault="00FF4914" w:rsidP="00CA7786">
      <w:pPr>
        <w:rPr>
          <w:rFonts w:cs="Arial"/>
          <w:sz w:val="22"/>
        </w:rPr>
      </w:pPr>
    </w:p>
    <w:p w14:paraId="1CA0798D" w14:textId="103156AC" w:rsidR="00F66C03" w:rsidRDefault="00FF4914" w:rsidP="00CA7786">
      <w:pPr>
        <w:rPr>
          <w:rFonts w:cs="Arial"/>
          <w:sz w:val="22"/>
        </w:rPr>
      </w:pPr>
      <w:r>
        <w:rPr>
          <w:rFonts w:cs="Arial"/>
          <w:sz w:val="22"/>
        </w:rPr>
        <w:lastRenderedPageBreak/>
        <w:t xml:space="preserve">A su vez, </w:t>
      </w:r>
      <w:r w:rsidR="00145D35">
        <w:rPr>
          <w:rFonts w:cs="Arial"/>
          <w:sz w:val="22"/>
        </w:rPr>
        <w:t xml:space="preserve">los precios promedios de contratos </w:t>
      </w:r>
      <w:r w:rsidR="003B71BD">
        <w:rPr>
          <w:rFonts w:cs="Arial"/>
          <w:sz w:val="22"/>
        </w:rPr>
        <w:t xml:space="preserve">se caracterizan </w:t>
      </w:r>
      <w:r w:rsidR="008F4DE3">
        <w:rPr>
          <w:rFonts w:cs="Arial"/>
          <w:sz w:val="22"/>
        </w:rPr>
        <w:t>por</w:t>
      </w:r>
      <w:r w:rsidR="008F7EE3">
        <w:rPr>
          <w:rFonts w:cs="Arial"/>
          <w:sz w:val="22"/>
        </w:rPr>
        <w:t xml:space="preserve"> magnitudes menores y menor volatilidad que</w:t>
      </w:r>
      <w:r w:rsidR="008F4DE3">
        <w:rPr>
          <w:rFonts w:cs="Arial"/>
          <w:sz w:val="22"/>
        </w:rPr>
        <w:t xml:space="preserve"> </w:t>
      </w:r>
      <w:r w:rsidR="0026402D">
        <w:rPr>
          <w:rFonts w:cs="Arial"/>
          <w:sz w:val="22"/>
        </w:rPr>
        <w:t xml:space="preserve">lo observado </w:t>
      </w:r>
      <w:r w:rsidR="008F7EE3">
        <w:rPr>
          <w:rFonts w:cs="Arial"/>
          <w:sz w:val="22"/>
        </w:rPr>
        <w:t xml:space="preserve">para el promedio de precios </w:t>
      </w:r>
      <w:r w:rsidR="0026402D">
        <w:rPr>
          <w:rFonts w:cs="Arial"/>
          <w:sz w:val="22"/>
        </w:rPr>
        <w:t>en la bolsa de energía</w:t>
      </w:r>
      <w:r w:rsidR="00876B9D">
        <w:rPr>
          <w:rFonts w:cs="Arial"/>
          <w:sz w:val="22"/>
        </w:rPr>
        <w:t>.</w:t>
      </w:r>
      <w:r w:rsidR="00C1556E">
        <w:rPr>
          <w:rFonts w:cs="Arial"/>
          <w:sz w:val="22"/>
        </w:rPr>
        <w:t xml:space="preserve"> El gráfico anterior también presenta como referencia</w:t>
      </w:r>
      <w:r w:rsidR="00AA641E">
        <w:rPr>
          <w:rFonts w:cs="Arial"/>
          <w:sz w:val="22"/>
        </w:rPr>
        <w:t xml:space="preserve"> el comportamiento histórico del </w:t>
      </w:r>
      <w:r w:rsidR="00AA641E" w:rsidRPr="00AA641E">
        <w:rPr>
          <w:rFonts w:cs="Arial"/>
          <w:sz w:val="22"/>
        </w:rPr>
        <w:t>Costo promedio ponderado por energía, expresado en pesos por kilovatio hora (COP/kWh), de todos los contratos resultantes de las convocatorias públicas</w:t>
      </w:r>
      <w:r w:rsidR="00AA641E">
        <w:rPr>
          <w:rFonts w:cs="Arial"/>
          <w:sz w:val="22"/>
        </w:rPr>
        <w:t xml:space="preserve">, conocido como </w:t>
      </w:r>
      <w:r w:rsidR="00AA641E" w:rsidRPr="00AA641E">
        <w:rPr>
          <w:rFonts w:cs="Arial"/>
          <w:i/>
          <w:iCs/>
          <w:sz w:val="22"/>
        </w:rPr>
        <w:t>Mc</w:t>
      </w:r>
      <w:r w:rsidR="00AA641E" w:rsidRPr="00AA641E">
        <w:rPr>
          <w:rFonts w:cs="Arial"/>
          <w:sz w:val="22"/>
        </w:rPr>
        <w:t>.</w:t>
      </w:r>
    </w:p>
    <w:p w14:paraId="50D11C90" w14:textId="77777777" w:rsidR="00AA641E" w:rsidRPr="00471B50" w:rsidRDefault="00AA641E" w:rsidP="00CA7786">
      <w:pPr>
        <w:rPr>
          <w:rFonts w:cs="Arial"/>
          <w:sz w:val="22"/>
          <w:szCs w:val="22"/>
        </w:rPr>
      </w:pPr>
    </w:p>
    <w:p w14:paraId="64CC6B3A" w14:textId="75761BBA" w:rsidR="00530B68" w:rsidRPr="00471B50" w:rsidRDefault="00530B68" w:rsidP="00CA7786">
      <w:pPr>
        <w:pStyle w:val="Prrafodelista"/>
        <w:numPr>
          <w:ilvl w:val="2"/>
          <w:numId w:val="25"/>
        </w:numPr>
        <w:contextualSpacing w:val="0"/>
        <w:outlineLvl w:val="2"/>
        <w:rPr>
          <w:rFonts w:cs="Arial"/>
          <w:b/>
          <w:sz w:val="22"/>
          <w:szCs w:val="22"/>
        </w:rPr>
      </w:pPr>
      <w:r w:rsidRPr="00471B50">
        <w:rPr>
          <w:rFonts w:cs="Arial"/>
          <w:b/>
          <w:sz w:val="22"/>
          <w:szCs w:val="22"/>
        </w:rPr>
        <w:t>Causas operativas</w:t>
      </w:r>
    </w:p>
    <w:p w14:paraId="3AA4F15E" w14:textId="77777777" w:rsidR="00530B68" w:rsidRPr="00471B50" w:rsidRDefault="00530B68" w:rsidP="00CA7786">
      <w:pPr>
        <w:rPr>
          <w:rFonts w:cs="Arial"/>
          <w:sz w:val="22"/>
          <w:szCs w:val="22"/>
        </w:rPr>
      </w:pPr>
    </w:p>
    <w:p w14:paraId="28E7C4B2" w14:textId="7C8F4290" w:rsidR="002424ED" w:rsidRPr="009635E2" w:rsidRDefault="00CA544D" w:rsidP="00CA7786">
      <w:pPr>
        <w:pStyle w:val="Prrafodelista"/>
        <w:numPr>
          <w:ilvl w:val="0"/>
          <w:numId w:val="13"/>
        </w:numPr>
        <w:contextualSpacing w:val="0"/>
        <w:rPr>
          <w:rFonts w:cs="Arial"/>
          <w:b/>
          <w:sz w:val="22"/>
          <w:szCs w:val="22"/>
        </w:rPr>
      </w:pPr>
      <w:r w:rsidRPr="00471B50">
        <w:rPr>
          <w:rFonts w:cs="Arial"/>
          <w:b/>
          <w:sz w:val="22"/>
          <w:szCs w:val="22"/>
        </w:rPr>
        <w:t>Los t</w:t>
      </w:r>
      <w:r w:rsidR="002424ED" w:rsidRPr="009635E2">
        <w:rPr>
          <w:rFonts w:cs="Arial"/>
          <w:b/>
          <w:sz w:val="22"/>
          <w:szCs w:val="22"/>
        </w:rPr>
        <w:t xml:space="preserve">iempos regulatorios de </w:t>
      </w:r>
      <w:r w:rsidRPr="00471B50">
        <w:rPr>
          <w:rFonts w:cs="Arial"/>
          <w:b/>
          <w:sz w:val="22"/>
          <w:szCs w:val="22"/>
        </w:rPr>
        <w:t xml:space="preserve">las </w:t>
      </w:r>
      <w:r w:rsidR="002424ED" w:rsidRPr="009635E2">
        <w:rPr>
          <w:rFonts w:cs="Arial"/>
          <w:b/>
          <w:sz w:val="22"/>
          <w:szCs w:val="22"/>
        </w:rPr>
        <w:t>convocatorias públicas son extensos.</w:t>
      </w:r>
    </w:p>
    <w:p w14:paraId="03B9EAB1" w14:textId="77777777" w:rsidR="002424ED" w:rsidRPr="00471B50" w:rsidRDefault="002424ED" w:rsidP="00CA7786">
      <w:pPr>
        <w:rPr>
          <w:rFonts w:cs="Arial"/>
          <w:sz w:val="22"/>
          <w:szCs w:val="22"/>
        </w:rPr>
      </w:pPr>
    </w:p>
    <w:p w14:paraId="18F27FA0" w14:textId="30A9EF12" w:rsidR="00DC21B8" w:rsidRDefault="007F372A" w:rsidP="00CA7786">
      <w:pPr>
        <w:rPr>
          <w:rFonts w:cs="Arial"/>
          <w:sz w:val="22"/>
          <w:szCs w:val="22"/>
        </w:rPr>
      </w:pPr>
      <w:r w:rsidRPr="007F372A">
        <w:rPr>
          <w:rFonts w:cs="Arial"/>
          <w:sz w:val="22"/>
          <w:szCs w:val="22"/>
        </w:rPr>
        <w:t>La Resolución CREG 130 de 2019 unificó los tiempos de desarrollo de las convocatorias públicas de compra de energía con el fin de dar certeza a los agentes acerca del desarrollo del proceso.</w:t>
      </w:r>
    </w:p>
    <w:p w14:paraId="77B68735" w14:textId="77777777" w:rsidR="007F372A" w:rsidRDefault="007F372A" w:rsidP="00CA7786">
      <w:pPr>
        <w:rPr>
          <w:rFonts w:cs="Arial"/>
          <w:sz w:val="22"/>
          <w:szCs w:val="22"/>
        </w:rPr>
      </w:pPr>
    </w:p>
    <w:p w14:paraId="4A676D64" w14:textId="77777777" w:rsidR="00514CC0" w:rsidRDefault="007F372A" w:rsidP="00CA7786">
      <w:pPr>
        <w:rPr>
          <w:rFonts w:cs="Arial"/>
          <w:sz w:val="22"/>
          <w:szCs w:val="22"/>
        </w:rPr>
      </w:pPr>
      <w:r>
        <w:rPr>
          <w:rFonts w:cs="Arial"/>
          <w:sz w:val="22"/>
          <w:szCs w:val="22"/>
        </w:rPr>
        <w:t xml:space="preserve">No obstante, esta Comisión ha encontrado </w:t>
      </w:r>
      <w:r w:rsidR="00617156">
        <w:rPr>
          <w:rFonts w:cs="Arial"/>
          <w:sz w:val="22"/>
          <w:szCs w:val="22"/>
        </w:rPr>
        <w:t>que,</w:t>
      </w:r>
      <w:r>
        <w:rPr>
          <w:rFonts w:cs="Arial"/>
          <w:sz w:val="22"/>
          <w:szCs w:val="22"/>
        </w:rPr>
        <w:t xml:space="preserve"> </w:t>
      </w:r>
      <w:r w:rsidR="0082721A">
        <w:rPr>
          <w:rFonts w:cs="Arial"/>
          <w:sz w:val="22"/>
          <w:szCs w:val="22"/>
        </w:rPr>
        <w:t xml:space="preserve">en algunas etapas del proceso, los comercializadores podrían </w:t>
      </w:r>
      <w:r w:rsidR="002147BB">
        <w:rPr>
          <w:rFonts w:cs="Arial"/>
          <w:sz w:val="22"/>
          <w:szCs w:val="22"/>
        </w:rPr>
        <w:t xml:space="preserve">lograr una gestión </w:t>
      </w:r>
      <w:r w:rsidR="0082721A">
        <w:rPr>
          <w:rFonts w:cs="Arial"/>
          <w:sz w:val="22"/>
          <w:szCs w:val="22"/>
        </w:rPr>
        <w:t>en tiempos menores</w:t>
      </w:r>
      <w:r w:rsidR="002147BB">
        <w:rPr>
          <w:rFonts w:cs="Arial"/>
          <w:sz w:val="22"/>
          <w:szCs w:val="22"/>
        </w:rPr>
        <w:t xml:space="preserve"> con lo cual, se lograría </w:t>
      </w:r>
      <w:r w:rsidR="00835B14">
        <w:rPr>
          <w:rFonts w:cs="Arial"/>
          <w:sz w:val="22"/>
          <w:szCs w:val="22"/>
        </w:rPr>
        <w:t xml:space="preserve">materializar el cierre con adjudicación </w:t>
      </w:r>
      <w:r w:rsidR="003171AB">
        <w:rPr>
          <w:rFonts w:cs="Arial"/>
          <w:sz w:val="22"/>
          <w:szCs w:val="22"/>
        </w:rPr>
        <w:t xml:space="preserve">en </w:t>
      </w:r>
      <w:r w:rsidR="002147BB">
        <w:rPr>
          <w:rFonts w:cs="Arial"/>
          <w:sz w:val="22"/>
          <w:szCs w:val="22"/>
        </w:rPr>
        <w:t xml:space="preserve">una </w:t>
      </w:r>
      <w:r w:rsidR="00835B14">
        <w:rPr>
          <w:rFonts w:cs="Arial"/>
          <w:sz w:val="22"/>
          <w:szCs w:val="22"/>
        </w:rPr>
        <w:t>ventana de tiempo menor</w:t>
      </w:r>
      <w:r w:rsidR="003171AB">
        <w:rPr>
          <w:rFonts w:cs="Arial"/>
          <w:sz w:val="22"/>
          <w:szCs w:val="22"/>
        </w:rPr>
        <w:t xml:space="preserve">, mitigando de esta forma los costos de transacción asociados a la </w:t>
      </w:r>
      <w:r w:rsidR="00314016">
        <w:rPr>
          <w:rFonts w:cs="Arial"/>
          <w:sz w:val="22"/>
          <w:szCs w:val="22"/>
        </w:rPr>
        <w:t>incertidumbre de los oferentes de energía al participar en convocatorias.</w:t>
      </w:r>
      <w:r w:rsidR="00514CC0">
        <w:rPr>
          <w:rFonts w:cs="Arial"/>
          <w:sz w:val="22"/>
          <w:szCs w:val="22"/>
        </w:rPr>
        <w:t xml:space="preserve"> </w:t>
      </w:r>
      <w:r w:rsidR="00ED03DE">
        <w:rPr>
          <w:rFonts w:cs="Arial"/>
          <w:sz w:val="22"/>
          <w:szCs w:val="22"/>
        </w:rPr>
        <w:t>Así, tres momentos del proceso de convocatorias</w:t>
      </w:r>
      <w:r w:rsidR="00DF67E2">
        <w:rPr>
          <w:rFonts w:cs="Arial"/>
          <w:sz w:val="22"/>
          <w:szCs w:val="22"/>
        </w:rPr>
        <w:t>, cuyos tiempos han sido reglados por la Resolución CREG 130 de 2019, han llamado la atención de esta Comisión.</w:t>
      </w:r>
    </w:p>
    <w:p w14:paraId="31AF9EA1" w14:textId="77777777" w:rsidR="00514CC0" w:rsidRDefault="00514CC0" w:rsidP="00CA7786">
      <w:pPr>
        <w:rPr>
          <w:rFonts w:cs="Arial"/>
          <w:sz w:val="22"/>
          <w:szCs w:val="22"/>
        </w:rPr>
      </w:pPr>
    </w:p>
    <w:p w14:paraId="02FA6C20" w14:textId="34A2BC69" w:rsidR="005E77A1" w:rsidRPr="00471B50" w:rsidRDefault="00DF67E2" w:rsidP="00CA7786">
      <w:pPr>
        <w:rPr>
          <w:rFonts w:cs="Arial"/>
          <w:sz w:val="22"/>
          <w:szCs w:val="22"/>
        </w:rPr>
      </w:pPr>
      <w:r>
        <w:rPr>
          <w:rFonts w:cs="Arial"/>
          <w:sz w:val="22"/>
          <w:szCs w:val="22"/>
        </w:rPr>
        <w:t xml:space="preserve">El primero de ellos, asociado a </w:t>
      </w:r>
      <w:r w:rsidR="00AB6DD4">
        <w:rPr>
          <w:rFonts w:cs="Arial"/>
          <w:sz w:val="22"/>
          <w:szCs w:val="22"/>
        </w:rPr>
        <w:t xml:space="preserve">los días hábiles </w:t>
      </w:r>
      <w:r w:rsidR="00514CC0">
        <w:rPr>
          <w:rFonts w:cs="Arial"/>
          <w:sz w:val="22"/>
          <w:szCs w:val="22"/>
        </w:rPr>
        <w:t>transcurridos</w:t>
      </w:r>
      <w:r w:rsidR="00AB6DD4">
        <w:rPr>
          <w:rFonts w:cs="Arial"/>
          <w:sz w:val="22"/>
          <w:szCs w:val="22"/>
        </w:rPr>
        <w:t xml:space="preserve"> </w:t>
      </w:r>
      <w:r w:rsidR="00514CC0">
        <w:rPr>
          <w:rFonts w:cs="Arial"/>
          <w:sz w:val="22"/>
          <w:szCs w:val="22"/>
        </w:rPr>
        <w:t>entre la publicación de pliegos para consulta y la publicación de pliegos definitivos</w:t>
      </w:r>
      <w:r w:rsidR="00B629C6">
        <w:rPr>
          <w:rFonts w:cs="Arial"/>
          <w:sz w:val="22"/>
          <w:szCs w:val="22"/>
        </w:rPr>
        <w:t xml:space="preserve">. </w:t>
      </w:r>
      <w:r w:rsidR="00793240">
        <w:rPr>
          <w:rFonts w:cs="Arial"/>
          <w:sz w:val="22"/>
          <w:szCs w:val="22"/>
        </w:rPr>
        <w:t xml:space="preserve">La resolución establece que no deben superarse los 15 días hábiles, sin embargo, un análisis operativo del proceso y </w:t>
      </w:r>
      <w:r w:rsidR="00B009B2">
        <w:rPr>
          <w:rFonts w:cs="Arial"/>
          <w:sz w:val="22"/>
          <w:szCs w:val="22"/>
        </w:rPr>
        <w:t xml:space="preserve">la revisión de </w:t>
      </w:r>
      <w:r w:rsidR="00793240">
        <w:rPr>
          <w:rFonts w:cs="Arial"/>
          <w:sz w:val="22"/>
          <w:szCs w:val="22"/>
        </w:rPr>
        <w:t xml:space="preserve">la información histórica de los tiempos observados </w:t>
      </w:r>
      <w:r w:rsidR="00B009B2">
        <w:rPr>
          <w:rFonts w:cs="Arial"/>
          <w:sz w:val="22"/>
          <w:szCs w:val="22"/>
        </w:rPr>
        <w:t xml:space="preserve">para esta etapa revelan </w:t>
      </w:r>
      <w:r w:rsidR="00647374">
        <w:rPr>
          <w:rFonts w:cs="Arial"/>
          <w:sz w:val="22"/>
          <w:szCs w:val="22"/>
        </w:rPr>
        <w:t xml:space="preserve">la posibilidad de tiempos menores para surtir el proceso de consulta y publicación de pliegos definitivos de las convocatorias. </w:t>
      </w:r>
      <w:r w:rsidR="00D02BD5">
        <w:rPr>
          <w:rFonts w:cs="Arial"/>
          <w:sz w:val="22"/>
          <w:szCs w:val="22"/>
        </w:rPr>
        <w:t xml:space="preserve">Esta Comisión observa que estos menores tiempos son factibles en la medida que </w:t>
      </w:r>
      <w:r w:rsidR="004F7C40">
        <w:rPr>
          <w:rFonts w:cs="Arial"/>
          <w:sz w:val="22"/>
          <w:szCs w:val="22"/>
        </w:rPr>
        <w:t xml:space="preserve">la dinámica de contratación en SICEP y la estructuración de pliegos de condiciones para las convocatorias se constituye, tras cuatro años de operación, en un proceso </w:t>
      </w:r>
      <w:r w:rsidR="007B458C">
        <w:rPr>
          <w:rFonts w:cs="Arial"/>
          <w:sz w:val="22"/>
          <w:szCs w:val="22"/>
        </w:rPr>
        <w:t xml:space="preserve">reglado, con condiciones que en general son altamente previsibles para los agentes </w:t>
      </w:r>
      <w:r w:rsidR="0075360A">
        <w:rPr>
          <w:rFonts w:cs="Arial"/>
          <w:sz w:val="22"/>
          <w:szCs w:val="22"/>
        </w:rPr>
        <w:t>y que no revisten mayores ajustes a las condiciones que en general se observan para estos procesos.</w:t>
      </w:r>
    </w:p>
    <w:p w14:paraId="573E937F" w14:textId="77777777" w:rsidR="005E77A1" w:rsidRPr="00490DEE" w:rsidRDefault="005E77A1" w:rsidP="00CA7786">
      <w:pPr>
        <w:rPr>
          <w:rFonts w:cs="Arial"/>
          <w:szCs w:val="24"/>
        </w:rPr>
      </w:pPr>
    </w:p>
    <w:p w14:paraId="4206F26C" w14:textId="3AA72011" w:rsidR="004F55D6" w:rsidRPr="003B2674" w:rsidRDefault="003B2674" w:rsidP="00CA7786">
      <w:pPr>
        <w:ind w:left="567" w:right="618"/>
        <w:jc w:val="center"/>
        <w:rPr>
          <w:rFonts w:cs="Arial"/>
          <w:b/>
          <w:sz w:val="22"/>
          <w:szCs w:val="22"/>
          <w:lang w:val="es-CO"/>
        </w:rPr>
      </w:pPr>
      <w:bookmarkStart w:id="14" w:name="_Toc144900335"/>
      <w:r w:rsidRPr="003B2674">
        <w:rPr>
          <w:b/>
          <w:bCs/>
          <w:sz w:val="22"/>
          <w:szCs w:val="22"/>
        </w:rPr>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sz w:val="22"/>
          <w:szCs w:val="22"/>
        </w:rPr>
        <w:t>8</w:t>
      </w:r>
      <w:r w:rsidRPr="003B2674">
        <w:rPr>
          <w:b/>
          <w:bCs/>
          <w:sz w:val="22"/>
          <w:szCs w:val="22"/>
        </w:rPr>
        <w:fldChar w:fldCharType="end"/>
      </w:r>
      <w:r w:rsidRPr="003B2674">
        <w:rPr>
          <w:b/>
          <w:bCs/>
          <w:sz w:val="22"/>
          <w:szCs w:val="22"/>
        </w:rPr>
        <w:t xml:space="preserve">. </w:t>
      </w:r>
      <w:r w:rsidR="00FD4819" w:rsidRPr="003B2674">
        <w:rPr>
          <w:b/>
          <w:bCs/>
          <w:sz w:val="22"/>
          <w:szCs w:val="22"/>
        </w:rPr>
        <w:t xml:space="preserve">Días hábiles </w:t>
      </w:r>
      <w:r w:rsidR="00E73CCF" w:rsidRPr="003B2674">
        <w:rPr>
          <w:b/>
          <w:bCs/>
          <w:sz w:val="22"/>
          <w:szCs w:val="22"/>
        </w:rPr>
        <w:t>entre la consulta de pliegos y la publicación de pliegos</w:t>
      </w:r>
      <w:r w:rsidR="00E73CCF" w:rsidRPr="003B2674">
        <w:rPr>
          <w:rFonts w:cs="Arial"/>
          <w:b/>
          <w:sz w:val="22"/>
          <w:szCs w:val="22"/>
        </w:rPr>
        <w:t xml:space="preserve"> definitivos</w:t>
      </w:r>
      <w:bookmarkEnd w:id="14"/>
    </w:p>
    <w:p w14:paraId="53196608" w14:textId="1406140E" w:rsidR="00512928" w:rsidRPr="00490DEE" w:rsidRDefault="005E77A1" w:rsidP="00CA7786">
      <w:pPr>
        <w:jc w:val="center"/>
        <w:rPr>
          <w:rFonts w:cs="Arial"/>
          <w:szCs w:val="24"/>
        </w:rPr>
      </w:pPr>
      <w:r>
        <w:rPr>
          <w:noProof/>
        </w:rPr>
        <w:drawing>
          <wp:inline distT="0" distB="0" distL="0" distR="0" wp14:anchorId="483C283D" wp14:editId="6FB85C10">
            <wp:extent cx="5400000" cy="1800000"/>
            <wp:effectExtent l="0" t="0" r="10795" b="10160"/>
            <wp:docPr id="755009027" name="Gráfico 1">
              <a:extLst xmlns:a="http://schemas.openxmlformats.org/drawingml/2006/main">
                <a:ext uri="{FF2B5EF4-FFF2-40B4-BE49-F238E27FC236}">
                  <a16:creationId xmlns:a16="http://schemas.microsoft.com/office/drawing/2014/main" id="{DD843745-6C60-F265-3223-53F9138F3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B84416" w14:textId="2B81B22D" w:rsidR="004612C9" w:rsidRPr="003B2674" w:rsidRDefault="004612C9" w:rsidP="00CA7786">
      <w:pPr>
        <w:jc w:val="center"/>
        <w:rPr>
          <w:rFonts w:cs="Arial"/>
          <w:bCs/>
          <w:sz w:val="20"/>
          <w:lang w:val="es-CO"/>
        </w:rPr>
      </w:pPr>
      <w:r w:rsidRPr="003B2674">
        <w:rPr>
          <w:rFonts w:cs="Arial"/>
          <w:bCs/>
          <w:sz w:val="20"/>
        </w:rPr>
        <w:t>Fuente: Cálculos CREG con información XM - SICEP</w:t>
      </w:r>
    </w:p>
    <w:p w14:paraId="22419569" w14:textId="77777777" w:rsidR="00512928" w:rsidRPr="00490DEE" w:rsidRDefault="00512928" w:rsidP="00CA7786">
      <w:pPr>
        <w:rPr>
          <w:rFonts w:cs="Arial"/>
          <w:szCs w:val="24"/>
        </w:rPr>
      </w:pPr>
    </w:p>
    <w:p w14:paraId="28D690E9" w14:textId="4D3D0E3B" w:rsidR="00512928" w:rsidRPr="0075360A" w:rsidRDefault="0075360A" w:rsidP="00CA7786">
      <w:pPr>
        <w:rPr>
          <w:rFonts w:cs="Arial"/>
          <w:sz w:val="22"/>
          <w:szCs w:val="22"/>
        </w:rPr>
      </w:pPr>
      <w:r w:rsidRPr="0075360A">
        <w:rPr>
          <w:rFonts w:cs="Arial"/>
          <w:sz w:val="22"/>
          <w:szCs w:val="22"/>
        </w:rPr>
        <w:t xml:space="preserve">De forma similar, </w:t>
      </w:r>
      <w:r w:rsidR="00887946">
        <w:rPr>
          <w:rFonts w:cs="Arial"/>
          <w:sz w:val="22"/>
          <w:szCs w:val="22"/>
        </w:rPr>
        <w:t xml:space="preserve">la CREG analizó los días hábiles transcurridos </w:t>
      </w:r>
      <w:r w:rsidR="00887946" w:rsidRPr="00887946">
        <w:rPr>
          <w:rFonts w:cs="Arial"/>
          <w:sz w:val="22"/>
          <w:szCs w:val="22"/>
        </w:rPr>
        <w:t>entre la publicación de pliegos definitivos y la recepción de ofertas</w:t>
      </w:r>
      <w:r w:rsidR="00887946">
        <w:rPr>
          <w:rFonts w:cs="Arial"/>
          <w:sz w:val="22"/>
          <w:szCs w:val="22"/>
        </w:rPr>
        <w:t xml:space="preserve"> y encontró </w:t>
      </w:r>
      <w:r w:rsidR="00590352">
        <w:rPr>
          <w:rFonts w:cs="Arial"/>
          <w:sz w:val="22"/>
          <w:szCs w:val="22"/>
        </w:rPr>
        <w:t>que,</w:t>
      </w:r>
      <w:r w:rsidR="00887946">
        <w:rPr>
          <w:rFonts w:cs="Arial"/>
          <w:sz w:val="22"/>
          <w:szCs w:val="22"/>
        </w:rPr>
        <w:t xml:space="preserve"> </w:t>
      </w:r>
      <w:r w:rsidR="00590352">
        <w:rPr>
          <w:rFonts w:cs="Arial"/>
          <w:sz w:val="22"/>
          <w:szCs w:val="22"/>
        </w:rPr>
        <w:t xml:space="preserve">en este caso particular, la Resolución CREG 130 de 2019 establece un </w:t>
      </w:r>
      <w:r w:rsidR="00590352" w:rsidRPr="00590352">
        <w:rPr>
          <w:rFonts w:cs="Arial"/>
          <w:sz w:val="22"/>
          <w:szCs w:val="22"/>
          <w:u w:val="single"/>
        </w:rPr>
        <w:t>mínimo</w:t>
      </w:r>
      <w:r w:rsidR="00590352" w:rsidRPr="00590352">
        <w:rPr>
          <w:rFonts w:cs="Arial"/>
          <w:sz w:val="22"/>
          <w:szCs w:val="22"/>
        </w:rPr>
        <w:t xml:space="preserve"> de 20 días há</w:t>
      </w:r>
      <w:r w:rsidR="00590352">
        <w:rPr>
          <w:rFonts w:cs="Arial"/>
          <w:sz w:val="22"/>
          <w:szCs w:val="22"/>
        </w:rPr>
        <w:t>biles para ejecutar esta etapa del proceso de convocatoria</w:t>
      </w:r>
      <w:r w:rsidR="00D61694">
        <w:rPr>
          <w:rFonts w:cs="Arial"/>
          <w:sz w:val="22"/>
          <w:szCs w:val="22"/>
        </w:rPr>
        <w:t xml:space="preserve">. </w:t>
      </w:r>
      <w:r w:rsidR="003645C4">
        <w:rPr>
          <w:rFonts w:cs="Arial"/>
          <w:sz w:val="22"/>
          <w:szCs w:val="22"/>
        </w:rPr>
        <w:t xml:space="preserve">El análisis operativo reveló </w:t>
      </w:r>
      <w:r w:rsidR="002912F1">
        <w:rPr>
          <w:rFonts w:cs="Arial"/>
          <w:sz w:val="22"/>
          <w:szCs w:val="22"/>
        </w:rPr>
        <w:t>que,</w:t>
      </w:r>
      <w:r w:rsidR="003645C4">
        <w:rPr>
          <w:rFonts w:cs="Arial"/>
          <w:sz w:val="22"/>
          <w:szCs w:val="22"/>
        </w:rPr>
        <w:t xml:space="preserve"> si bien es posible que los comercializadores surtan esta etapa del proceso en un periodo</w:t>
      </w:r>
      <w:r w:rsidR="003645C4">
        <w:rPr>
          <w:rFonts w:cs="Arial"/>
          <w:sz w:val="22"/>
          <w:szCs w:val="22"/>
          <w:lang w:val="es-CO"/>
        </w:rPr>
        <w:t xml:space="preserve"> de días menor, la condición mínima de días que establece la resolución resulta ser un piso </w:t>
      </w:r>
      <w:r w:rsidR="00497993">
        <w:rPr>
          <w:rFonts w:cs="Arial"/>
          <w:sz w:val="22"/>
          <w:szCs w:val="22"/>
          <w:lang w:val="es-CO"/>
        </w:rPr>
        <w:t>que obliga a los agentes a observar tiempos mayores que los requeridos</w:t>
      </w:r>
      <w:r w:rsidR="00497993">
        <w:rPr>
          <w:rFonts w:cs="Arial"/>
          <w:sz w:val="22"/>
          <w:szCs w:val="22"/>
        </w:rPr>
        <w:t>.</w:t>
      </w:r>
    </w:p>
    <w:p w14:paraId="78F82824" w14:textId="77777777" w:rsidR="009635E2" w:rsidRDefault="009635E2" w:rsidP="00CA7786">
      <w:pPr>
        <w:rPr>
          <w:rFonts w:cs="Arial"/>
          <w:szCs w:val="24"/>
        </w:rPr>
      </w:pPr>
    </w:p>
    <w:p w14:paraId="7CBCCA4E" w14:textId="0512E62E" w:rsidR="005E77A1" w:rsidRPr="003B2674" w:rsidRDefault="003B2674" w:rsidP="00CA7786">
      <w:pPr>
        <w:ind w:left="567" w:right="618"/>
        <w:jc w:val="center"/>
        <w:rPr>
          <w:b/>
          <w:bCs/>
          <w:sz w:val="22"/>
          <w:szCs w:val="22"/>
        </w:rPr>
      </w:pPr>
      <w:bookmarkStart w:id="15" w:name="_Toc144900336"/>
      <w:r w:rsidRPr="003B2674">
        <w:rPr>
          <w:b/>
          <w:bCs/>
          <w:sz w:val="22"/>
          <w:szCs w:val="22"/>
        </w:rPr>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sz w:val="22"/>
          <w:szCs w:val="22"/>
        </w:rPr>
        <w:t>9</w:t>
      </w:r>
      <w:r w:rsidRPr="003B2674">
        <w:rPr>
          <w:b/>
          <w:bCs/>
          <w:sz w:val="22"/>
          <w:szCs w:val="22"/>
        </w:rPr>
        <w:fldChar w:fldCharType="end"/>
      </w:r>
      <w:r w:rsidRPr="003B2674">
        <w:rPr>
          <w:b/>
          <w:bCs/>
          <w:sz w:val="22"/>
          <w:szCs w:val="22"/>
        </w:rPr>
        <w:t xml:space="preserve">. </w:t>
      </w:r>
      <w:r w:rsidR="00810895" w:rsidRPr="003B2674">
        <w:rPr>
          <w:b/>
          <w:bCs/>
          <w:sz w:val="22"/>
          <w:szCs w:val="22"/>
        </w:rPr>
        <w:t xml:space="preserve">Días hábiles entre la </w:t>
      </w:r>
      <w:r w:rsidR="00F4164D" w:rsidRPr="003B2674">
        <w:rPr>
          <w:b/>
          <w:bCs/>
          <w:sz w:val="22"/>
          <w:szCs w:val="22"/>
        </w:rPr>
        <w:t xml:space="preserve">publicación de </w:t>
      </w:r>
      <w:r w:rsidR="00810895" w:rsidRPr="003B2674">
        <w:rPr>
          <w:b/>
          <w:bCs/>
          <w:sz w:val="22"/>
          <w:szCs w:val="22"/>
        </w:rPr>
        <w:t>pliegos definitivos</w:t>
      </w:r>
      <w:r w:rsidR="00F4164D" w:rsidRPr="003B2674">
        <w:rPr>
          <w:b/>
          <w:bCs/>
          <w:sz w:val="22"/>
          <w:szCs w:val="22"/>
        </w:rPr>
        <w:t xml:space="preserve"> y la recepción de of</w:t>
      </w:r>
      <w:r w:rsidR="00DB4635" w:rsidRPr="003B2674">
        <w:rPr>
          <w:b/>
          <w:bCs/>
          <w:sz w:val="22"/>
          <w:szCs w:val="22"/>
        </w:rPr>
        <w:t>e</w:t>
      </w:r>
      <w:r w:rsidR="00F4164D" w:rsidRPr="003B2674">
        <w:rPr>
          <w:b/>
          <w:bCs/>
          <w:sz w:val="22"/>
          <w:szCs w:val="22"/>
        </w:rPr>
        <w:t>rtas</w:t>
      </w:r>
      <w:bookmarkEnd w:id="15"/>
    </w:p>
    <w:p w14:paraId="23DE1229" w14:textId="2BD169FD" w:rsidR="005E77A1" w:rsidRDefault="00F4314C" w:rsidP="00CA7786">
      <w:pPr>
        <w:jc w:val="center"/>
        <w:rPr>
          <w:rFonts w:cs="Arial"/>
          <w:szCs w:val="24"/>
        </w:rPr>
      </w:pPr>
      <w:r>
        <w:rPr>
          <w:noProof/>
        </w:rPr>
        <w:drawing>
          <wp:inline distT="0" distB="0" distL="0" distR="0" wp14:anchorId="1BDBC862" wp14:editId="1986E5C3">
            <wp:extent cx="5400000" cy="1800000"/>
            <wp:effectExtent l="0" t="0" r="10795" b="10160"/>
            <wp:docPr id="1568728251" name="Gráfico 1">
              <a:extLst xmlns:a="http://schemas.openxmlformats.org/drawingml/2006/main">
                <a:ext uri="{FF2B5EF4-FFF2-40B4-BE49-F238E27FC236}">
                  <a16:creationId xmlns:a16="http://schemas.microsoft.com/office/drawing/2014/main" id="{F747C4AC-78C6-4900-BAE1-4356F9B39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90E228" w14:textId="77777777" w:rsidR="004612C9" w:rsidRPr="003B2674" w:rsidRDefault="004612C9" w:rsidP="00CA7786">
      <w:pPr>
        <w:jc w:val="center"/>
        <w:rPr>
          <w:rFonts w:cs="Arial"/>
          <w:bCs/>
          <w:sz w:val="20"/>
          <w:lang w:val="es-CO"/>
        </w:rPr>
      </w:pPr>
      <w:r w:rsidRPr="003B2674">
        <w:rPr>
          <w:rFonts w:cs="Arial"/>
          <w:bCs/>
          <w:sz w:val="20"/>
        </w:rPr>
        <w:t>Fuente: Cálculos CREG con información XM - SICEP</w:t>
      </w:r>
    </w:p>
    <w:p w14:paraId="47EEA514" w14:textId="77777777" w:rsidR="005E77A1" w:rsidRDefault="005E77A1" w:rsidP="00CA7786">
      <w:pPr>
        <w:rPr>
          <w:rFonts w:cs="Arial"/>
          <w:szCs w:val="24"/>
        </w:rPr>
      </w:pPr>
    </w:p>
    <w:p w14:paraId="4CCD7B63" w14:textId="255EF26D" w:rsidR="00425118" w:rsidRDefault="002912F1" w:rsidP="00CA7786">
      <w:pPr>
        <w:rPr>
          <w:rFonts w:cs="Arial"/>
          <w:szCs w:val="24"/>
        </w:rPr>
      </w:pPr>
      <w:r w:rsidRPr="002912F1">
        <w:rPr>
          <w:rFonts w:cs="Arial"/>
          <w:sz w:val="22"/>
          <w:szCs w:val="22"/>
        </w:rPr>
        <w:t>Por último</w:t>
      </w:r>
      <w:r>
        <w:rPr>
          <w:rFonts w:cs="Arial"/>
          <w:sz w:val="22"/>
          <w:szCs w:val="22"/>
        </w:rPr>
        <w:t xml:space="preserve">, </w:t>
      </w:r>
      <w:r w:rsidR="00C67E2E">
        <w:rPr>
          <w:rFonts w:cs="Arial"/>
          <w:sz w:val="22"/>
          <w:szCs w:val="22"/>
        </w:rPr>
        <w:t>un análisis de los d</w:t>
      </w:r>
      <w:r w:rsidR="00C67E2E" w:rsidRPr="00C67E2E">
        <w:rPr>
          <w:rFonts w:cs="Arial"/>
          <w:sz w:val="22"/>
          <w:szCs w:val="22"/>
        </w:rPr>
        <w:t xml:space="preserve">ías hábiles </w:t>
      </w:r>
      <w:r w:rsidR="00C67E2E">
        <w:rPr>
          <w:rFonts w:cs="Arial"/>
          <w:sz w:val="22"/>
          <w:szCs w:val="22"/>
        </w:rPr>
        <w:t xml:space="preserve">transcurridos </w:t>
      </w:r>
      <w:r w:rsidR="00C67E2E" w:rsidRPr="00C67E2E">
        <w:rPr>
          <w:rFonts w:cs="Arial"/>
          <w:sz w:val="22"/>
          <w:szCs w:val="22"/>
        </w:rPr>
        <w:t>entre la audiencia pública y la suscripción del contrato</w:t>
      </w:r>
      <w:r w:rsidR="00C67E2E">
        <w:rPr>
          <w:rFonts w:cs="Arial"/>
          <w:sz w:val="22"/>
          <w:szCs w:val="22"/>
        </w:rPr>
        <w:t xml:space="preserve"> </w:t>
      </w:r>
      <w:r w:rsidR="007F20E2">
        <w:rPr>
          <w:rFonts w:cs="Arial"/>
          <w:sz w:val="22"/>
          <w:szCs w:val="22"/>
        </w:rPr>
        <w:t xml:space="preserve">permite observar que en promedio, a lo largo del tiempo, los comercializadores </w:t>
      </w:r>
      <w:r w:rsidR="007A2F68">
        <w:rPr>
          <w:rFonts w:cs="Arial"/>
          <w:sz w:val="22"/>
          <w:szCs w:val="22"/>
        </w:rPr>
        <w:t xml:space="preserve">han asumido los 15 días hábiles reglados por la resolución, como el tiempo de ejecución para esta etapa, no obstante, como se ha observado </w:t>
      </w:r>
      <w:r w:rsidR="0053395C">
        <w:rPr>
          <w:rFonts w:cs="Arial"/>
          <w:sz w:val="22"/>
          <w:szCs w:val="22"/>
        </w:rPr>
        <w:t>en el pasado, es factible adelantar esta etapa en tiempos de ejecución menores</w:t>
      </w:r>
      <w:r w:rsidR="00E07359">
        <w:rPr>
          <w:rFonts w:cs="Arial"/>
          <w:sz w:val="22"/>
          <w:szCs w:val="22"/>
        </w:rPr>
        <w:t xml:space="preserve"> y así lo muestra la gestión adelantada en días hábiles </w:t>
      </w:r>
      <w:r w:rsidR="00095C70">
        <w:rPr>
          <w:rFonts w:cs="Arial"/>
          <w:sz w:val="22"/>
          <w:szCs w:val="22"/>
        </w:rPr>
        <w:t xml:space="preserve">que se ha observado </w:t>
      </w:r>
      <w:r w:rsidR="00E07359">
        <w:rPr>
          <w:rFonts w:cs="Arial"/>
          <w:sz w:val="22"/>
          <w:szCs w:val="22"/>
        </w:rPr>
        <w:t>en años anteriores.</w:t>
      </w:r>
    </w:p>
    <w:p w14:paraId="58D419ED" w14:textId="77777777" w:rsidR="00425118" w:rsidRDefault="00425118" w:rsidP="00CA7786">
      <w:pPr>
        <w:rPr>
          <w:rFonts w:cs="Arial"/>
          <w:szCs w:val="24"/>
        </w:rPr>
      </w:pPr>
    </w:p>
    <w:p w14:paraId="26FA5971" w14:textId="053C5545" w:rsidR="00425118" w:rsidRPr="003B2674" w:rsidRDefault="003B2674" w:rsidP="00CA7786">
      <w:pPr>
        <w:ind w:left="567" w:right="618"/>
        <w:jc w:val="center"/>
        <w:rPr>
          <w:b/>
          <w:bCs/>
          <w:sz w:val="22"/>
          <w:szCs w:val="22"/>
        </w:rPr>
      </w:pPr>
      <w:bookmarkStart w:id="16" w:name="_Toc144900337"/>
      <w:r w:rsidRPr="003B2674">
        <w:rPr>
          <w:b/>
          <w:bCs/>
          <w:sz w:val="22"/>
          <w:szCs w:val="22"/>
        </w:rPr>
        <w:t xml:space="preserve">Gráfica </w:t>
      </w:r>
      <w:r w:rsidRPr="003B2674">
        <w:rPr>
          <w:b/>
          <w:bCs/>
          <w:sz w:val="22"/>
          <w:szCs w:val="22"/>
        </w:rPr>
        <w:fldChar w:fldCharType="begin"/>
      </w:r>
      <w:r w:rsidRPr="003B2674">
        <w:rPr>
          <w:b/>
          <w:bCs/>
          <w:sz w:val="22"/>
          <w:szCs w:val="22"/>
        </w:rPr>
        <w:instrText xml:space="preserve"> SEQ Gráfica \* ARABIC </w:instrText>
      </w:r>
      <w:r w:rsidRPr="003B2674">
        <w:rPr>
          <w:b/>
          <w:bCs/>
          <w:sz w:val="22"/>
          <w:szCs w:val="22"/>
        </w:rPr>
        <w:fldChar w:fldCharType="separate"/>
      </w:r>
      <w:r>
        <w:rPr>
          <w:b/>
          <w:bCs/>
          <w:sz w:val="22"/>
          <w:szCs w:val="22"/>
        </w:rPr>
        <w:t>10</w:t>
      </w:r>
      <w:r w:rsidRPr="003B2674">
        <w:rPr>
          <w:b/>
          <w:bCs/>
          <w:sz w:val="22"/>
          <w:szCs w:val="22"/>
        </w:rPr>
        <w:fldChar w:fldCharType="end"/>
      </w:r>
      <w:r w:rsidRPr="003B2674">
        <w:rPr>
          <w:b/>
          <w:bCs/>
          <w:sz w:val="22"/>
          <w:szCs w:val="22"/>
        </w:rPr>
        <w:t xml:space="preserve">. </w:t>
      </w:r>
      <w:r w:rsidR="00425118" w:rsidRPr="003B2674">
        <w:rPr>
          <w:b/>
          <w:bCs/>
          <w:sz w:val="22"/>
          <w:szCs w:val="22"/>
        </w:rPr>
        <w:t xml:space="preserve">Días hábiles entre la </w:t>
      </w:r>
      <w:r w:rsidR="00385973" w:rsidRPr="003B2674">
        <w:rPr>
          <w:b/>
          <w:bCs/>
          <w:sz w:val="22"/>
          <w:szCs w:val="22"/>
        </w:rPr>
        <w:t xml:space="preserve">audiencia pública y la suscripción </w:t>
      </w:r>
      <w:r w:rsidR="00E62A9D" w:rsidRPr="003B2674">
        <w:rPr>
          <w:b/>
          <w:bCs/>
          <w:sz w:val="22"/>
          <w:szCs w:val="22"/>
        </w:rPr>
        <w:t>de</w:t>
      </w:r>
      <w:r w:rsidR="004C1911" w:rsidRPr="003B2674">
        <w:rPr>
          <w:b/>
          <w:bCs/>
          <w:sz w:val="22"/>
          <w:szCs w:val="22"/>
        </w:rPr>
        <w:t>l contrato</w:t>
      </w:r>
      <w:bookmarkEnd w:id="16"/>
    </w:p>
    <w:p w14:paraId="0312C65B" w14:textId="49E864D8" w:rsidR="005E77A1" w:rsidRDefault="000B4058" w:rsidP="00CA7786">
      <w:pPr>
        <w:jc w:val="center"/>
        <w:rPr>
          <w:rFonts w:cs="Arial"/>
          <w:szCs w:val="24"/>
        </w:rPr>
      </w:pPr>
      <w:r>
        <w:rPr>
          <w:noProof/>
        </w:rPr>
        <w:drawing>
          <wp:inline distT="0" distB="0" distL="0" distR="0" wp14:anchorId="73718BB5" wp14:editId="3FDC0CFC">
            <wp:extent cx="5400000" cy="1800000"/>
            <wp:effectExtent l="0" t="0" r="10795" b="10160"/>
            <wp:docPr id="521166269" name="Gráfico 1">
              <a:extLst xmlns:a="http://schemas.openxmlformats.org/drawingml/2006/main">
                <a:ext uri="{FF2B5EF4-FFF2-40B4-BE49-F238E27FC236}">
                  <a16:creationId xmlns:a16="http://schemas.microsoft.com/office/drawing/2014/main" id="{6E559F88-7CE5-41FC-97D2-367AAF01CC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D67F88" w14:textId="77777777" w:rsidR="004612C9" w:rsidRPr="003B2674" w:rsidRDefault="004612C9" w:rsidP="00CA7786">
      <w:pPr>
        <w:jc w:val="center"/>
        <w:rPr>
          <w:rFonts w:cs="Arial"/>
          <w:bCs/>
          <w:sz w:val="20"/>
          <w:lang w:val="es-CO"/>
        </w:rPr>
      </w:pPr>
      <w:r w:rsidRPr="003B2674">
        <w:rPr>
          <w:rFonts w:cs="Arial"/>
          <w:bCs/>
          <w:sz w:val="20"/>
        </w:rPr>
        <w:t>Fuente: Cálculos CREG con información XM - SICEP</w:t>
      </w:r>
    </w:p>
    <w:p w14:paraId="233AC443" w14:textId="77777777" w:rsidR="005E77A1" w:rsidRDefault="005E77A1" w:rsidP="00CA7786">
      <w:pPr>
        <w:rPr>
          <w:rFonts w:cs="Arial"/>
          <w:szCs w:val="24"/>
        </w:rPr>
      </w:pPr>
    </w:p>
    <w:p w14:paraId="2BAEE6C0" w14:textId="60713DA8" w:rsidR="00AC1B3F" w:rsidRPr="00ED760B" w:rsidRDefault="00AC1B3F" w:rsidP="00CA7786">
      <w:pPr>
        <w:rPr>
          <w:rFonts w:cs="Arial"/>
          <w:sz w:val="22"/>
          <w:szCs w:val="22"/>
        </w:rPr>
      </w:pPr>
      <w:r w:rsidRPr="00AC1B3F">
        <w:rPr>
          <w:rFonts w:cs="Arial"/>
          <w:sz w:val="22"/>
          <w:szCs w:val="22"/>
        </w:rPr>
        <w:t xml:space="preserve">Con lo anterior </w:t>
      </w:r>
      <w:r w:rsidR="0093580A">
        <w:rPr>
          <w:rFonts w:cs="Arial"/>
          <w:sz w:val="22"/>
          <w:szCs w:val="22"/>
        </w:rPr>
        <w:t xml:space="preserve">se observa que, </w:t>
      </w:r>
      <w:r w:rsidR="00AA14E1">
        <w:rPr>
          <w:rFonts w:cs="Arial"/>
          <w:sz w:val="22"/>
          <w:szCs w:val="22"/>
        </w:rPr>
        <w:t xml:space="preserve">tal como ha sido mencionado por distintos agentes en las mesas de trabajo desarrolladas por esta Comisión, unos tiempos menores en la ejecución </w:t>
      </w:r>
      <w:r w:rsidR="00AA14E1" w:rsidRPr="00ED760B">
        <w:rPr>
          <w:rFonts w:cs="Arial"/>
          <w:sz w:val="22"/>
          <w:szCs w:val="22"/>
        </w:rPr>
        <w:lastRenderedPageBreak/>
        <w:t xml:space="preserve">de </w:t>
      </w:r>
      <w:r w:rsidR="00414BB9" w:rsidRPr="00ED760B">
        <w:rPr>
          <w:rFonts w:cs="Arial"/>
          <w:sz w:val="22"/>
          <w:szCs w:val="22"/>
        </w:rPr>
        <w:t xml:space="preserve">las etapas de las convocatorias resulta ser decisiva para reducir la incertidumbre de los oferentes </w:t>
      </w:r>
      <w:r w:rsidR="00605B01" w:rsidRPr="00ED760B">
        <w:rPr>
          <w:rFonts w:cs="Arial"/>
          <w:sz w:val="22"/>
          <w:szCs w:val="22"/>
        </w:rPr>
        <w:t xml:space="preserve">toda vez que les permite obtener certeza de la energía </w:t>
      </w:r>
      <w:r w:rsidR="00423A42" w:rsidRPr="00ED760B">
        <w:rPr>
          <w:rFonts w:cs="Arial"/>
          <w:sz w:val="22"/>
          <w:szCs w:val="22"/>
        </w:rPr>
        <w:t xml:space="preserve">que resulte adjudicada y </w:t>
      </w:r>
      <w:r w:rsidR="00605B01" w:rsidRPr="00ED760B">
        <w:rPr>
          <w:rFonts w:cs="Arial"/>
          <w:sz w:val="22"/>
          <w:szCs w:val="22"/>
        </w:rPr>
        <w:t xml:space="preserve">comprometida en contratos </w:t>
      </w:r>
      <w:r w:rsidR="004921F6" w:rsidRPr="00ED760B">
        <w:rPr>
          <w:rFonts w:cs="Arial"/>
          <w:sz w:val="22"/>
          <w:szCs w:val="22"/>
        </w:rPr>
        <w:t>en una ventana de tiempo</w:t>
      </w:r>
      <w:r w:rsidR="00423A42" w:rsidRPr="00ED760B">
        <w:rPr>
          <w:rFonts w:cs="Arial"/>
          <w:sz w:val="22"/>
          <w:szCs w:val="22"/>
        </w:rPr>
        <w:t xml:space="preserve"> menor</w:t>
      </w:r>
      <w:r w:rsidR="004921F6" w:rsidRPr="00ED760B">
        <w:rPr>
          <w:rFonts w:cs="Arial"/>
          <w:sz w:val="22"/>
          <w:szCs w:val="22"/>
        </w:rPr>
        <w:t>.</w:t>
      </w:r>
    </w:p>
    <w:p w14:paraId="2155F79B" w14:textId="77777777" w:rsidR="00AC1B3F" w:rsidRPr="00ED760B" w:rsidRDefault="00AC1B3F" w:rsidP="00CA7786">
      <w:pPr>
        <w:rPr>
          <w:rFonts w:cs="Arial"/>
          <w:sz w:val="22"/>
          <w:szCs w:val="22"/>
        </w:rPr>
      </w:pPr>
    </w:p>
    <w:p w14:paraId="5E71AA78" w14:textId="1C3F0FE5" w:rsidR="002424ED" w:rsidRPr="00ED760B" w:rsidRDefault="002424ED" w:rsidP="00CA7786">
      <w:pPr>
        <w:pStyle w:val="Prrafodelista"/>
        <w:numPr>
          <w:ilvl w:val="0"/>
          <w:numId w:val="13"/>
        </w:numPr>
        <w:contextualSpacing w:val="0"/>
        <w:rPr>
          <w:rFonts w:cs="Arial"/>
          <w:sz w:val="22"/>
          <w:szCs w:val="22"/>
        </w:rPr>
      </w:pPr>
      <w:r w:rsidRPr="00ED760B">
        <w:rPr>
          <w:rFonts w:cs="Arial"/>
          <w:b/>
          <w:sz w:val="22"/>
          <w:szCs w:val="22"/>
        </w:rPr>
        <w:t>Inflexibilidad en el tipo de contrato (pague lo contratado), definido en convocatorias.</w:t>
      </w:r>
    </w:p>
    <w:p w14:paraId="0F5BD5D0" w14:textId="77777777" w:rsidR="002424ED" w:rsidRPr="00ED760B" w:rsidRDefault="002424ED" w:rsidP="00CA7786">
      <w:pPr>
        <w:rPr>
          <w:rFonts w:cs="Arial"/>
          <w:sz w:val="22"/>
          <w:szCs w:val="22"/>
        </w:rPr>
      </w:pPr>
    </w:p>
    <w:p w14:paraId="49CF9D9D" w14:textId="0E2D637F" w:rsidR="00D751C3" w:rsidRPr="00ED760B" w:rsidRDefault="002110A3" w:rsidP="00CA7786">
      <w:pPr>
        <w:rPr>
          <w:rFonts w:cs="Arial"/>
          <w:sz w:val="22"/>
          <w:szCs w:val="22"/>
        </w:rPr>
      </w:pPr>
      <w:r w:rsidRPr="00ED760B">
        <w:rPr>
          <w:rFonts w:cs="Arial"/>
          <w:sz w:val="22"/>
          <w:szCs w:val="22"/>
        </w:rPr>
        <w:t xml:space="preserve">Las mesas de trabajo </w:t>
      </w:r>
      <w:r w:rsidR="00DA7CBC" w:rsidRPr="00ED760B">
        <w:rPr>
          <w:rFonts w:cs="Arial"/>
          <w:sz w:val="22"/>
          <w:szCs w:val="22"/>
        </w:rPr>
        <w:t xml:space="preserve">sobre esta temática que fueron </w:t>
      </w:r>
      <w:r w:rsidRPr="00ED760B">
        <w:rPr>
          <w:rFonts w:cs="Arial"/>
          <w:sz w:val="22"/>
          <w:szCs w:val="22"/>
        </w:rPr>
        <w:t xml:space="preserve">adelantadas por la </w:t>
      </w:r>
      <w:r w:rsidR="00CB79A5" w:rsidRPr="00ED760B">
        <w:rPr>
          <w:rFonts w:cs="Arial"/>
          <w:sz w:val="22"/>
          <w:szCs w:val="22"/>
        </w:rPr>
        <w:t>CREG</w:t>
      </w:r>
      <w:r w:rsidRPr="00ED760B">
        <w:rPr>
          <w:rFonts w:cs="Arial"/>
          <w:sz w:val="22"/>
          <w:szCs w:val="22"/>
        </w:rPr>
        <w:t xml:space="preserve"> </w:t>
      </w:r>
      <w:r w:rsidR="00DA7CBC" w:rsidRPr="00ED760B">
        <w:rPr>
          <w:rFonts w:cs="Arial"/>
          <w:sz w:val="22"/>
          <w:szCs w:val="22"/>
        </w:rPr>
        <w:t xml:space="preserve">le han permitido </w:t>
      </w:r>
      <w:r w:rsidR="00D44264" w:rsidRPr="00ED760B">
        <w:rPr>
          <w:rFonts w:cs="Arial"/>
          <w:sz w:val="22"/>
          <w:szCs w:val="22"/>
        </w:rPr>
        <w:t xml:space="preserve">tener una </w:t>
      </w:r>
      <w:r w:rsidR="00DA7CBC" w:rsidRPr="00ED760B">
        <w:rPr>
          <w:rFonts w:cs="Arial"/>
          <w:sz w:val="22"/>
          <w:szCs w:val="22"/>
        </w:rPr>
        <w:t>aproxima</w:t>
      </w:r>
      <w:r w:rsidR="00D44264" w:rsidRPr="00ED760B">
        <w:rPr>
          <w:rFonts w:cs="Arial"/>
          <w:sz w:val="22"/>
          <w:szCs w:val="22"/>
        </w:rPr>
        <w:t>ción</w:t>
      </w:r>
      <w:r w:rsidR="00F12E53" w:rsidRPr="00ED760B">
        <w:rPr>
          <w:rFonts w:cs="Arial"/>
          <w:sz w:val="22"/>
          <w:szCs w:val="22"/>
        </w:rPr>
        <w:t xml:space="preserve"> </w:t>
      </w:r>
      <w:r w:rsidR="00DA7CBC" w:rsidRPr="00ED760B">
        <w:rPr>
          <w:rFonts w:cs="Arial"/>
          <w:sz w:val="22"/>
          <w:szCs w:val="22"/>
        </w:rPr>
        <w:t xml:space="preserve">sobre </w:t>
      </w:r>
      <w:r w:rsidR="00CB79A5" w:rsidRPr="00ED760B">
        <w:rPr>
          <w:rFonts w:cs="Arial"/>
          <w:sz w:val="22"/>
          <w:szCs w:val="22"/>
        </w:rPr>
        <w:t xml:space="preserve">las posibles barreras a la </w:t>
      </w:r>
      <w:r w:rsidR="00CC504B" w:rsidRPr="00ED760B">
        <w:rPr>
          <w:rFonts w:cs="Arial"/>
          <w:sz w:val="22"/>
          <w:szCs w:val="22"/>
        </w:rPr>
        <w:t xml:space="preserve">apertura de convocatorias, la </w:t>
      </w:r>
      <w:r w:rsidR="00CB79A5" w:rsidRPr="00ED760B">
        <w:rPr>
          <w:rFonts w:cs="Arial"/>
          <w:sz w:val="22"/>
          <w:szCs w:val="22"/>
        </w:rPr>
        <w:t xml:space="preserve">concurrencia </w:t>
      </w:r>
      <w:r w:rsidR="00D751C3" w:rsidRPr="00ED760B">
        <w:rPr>
          <w:rFonts w:cs="Arial"/>
          <w:sz w:val="22"/>
          <w:szCs w:val="22"/>
        </w:rPr>
        <w:t xml:space="preserve">de </w:t>
      </w:r>
      <w:r w:rsidR="00CC504B" w:rsidRPr="00ED760B">
        <w:rPr>
          <w:rFonts w:cs="Arial"/>
          <w:sz w:val="22"/>
          <w:szCs w:val="22"/>
        </w:rPr>
        <w:t>oferentes y la adjudicación de energía en convo</w:t>
      </w:r>
      <w:r w:rsidR="00D751C3" w:rsidRPr="00ED760B">
        <w:rPr>
          <w:rFonts w:cs="Arial"/>
          <w:sz w:val="22"/>
          <w:szCs w:val="22"/>
        </w:rPr>
        <w:t>catorias para la contratación de energía de largo plazo.</w:t>
      </w:r>
    </w:p>
    <w:p w14:paraId="3F70DEF8" w14:textId="77777777" w:rsidR="00C06EC8" w:rsidRPr="00ED760B" w:rsidRDefault="00C06EC8" w:rsidP="00CA7786">
      <w:pPr>
        <w:rPr>
          <w:rFonts w:cs="Arial"/>
          <w:sz w:val="22"/>
          <w:szCs w:val="22"/>
        </w:rPr>
      </w:pPr>
    </w:p>
    <w:p w14:paraId="2BA8C626" w14:textId="7F0BCF24" w:rsidR="00C06EC8" w:rsidRPr="00ED760B" w:rsidRDefault="008144F5" w:rsidP="00CA7786">
      <w:pPr>
        <w:rPr>
          <w:rFonts w:cs="Arial"/>
          <w:sz w:val="22"/>
          <w:szCs w:val="22"/>
        </w:rPr>
      </w:pPr>
      <w:r w:rsidRPr="00ED760B">
        <w:rPr>
          <w:rFonts w:cs="Arial"/>
          <w:sz w:val="22"/>
          <w:szCs w:val="22"/>
        </w:rPr>
        <w:t>Si bien</w:t>
      </w:r>
      <w:r w:rsidR="008F01B2" w:rsidRPr="00ED760B">
        <w:rPr>
          <w:rFonts w:cs="Arial"/>
          <w:sz w:val="22"/>
          <w:szCs w:val="22"/>
        </w:rPr>
        <w:t xml:space="preserve">, </w:t>
      </w:r>
      <w:r w:rsidR="009D54BB" w:rsidRPr="00ED760B">
        <w:rPr>
          <w:rFonts w:cs="Arial"/>
          <w:sz w:val="22"/>
          <w:szCs w:val="22"/>
        </w:rPr>
        <w:t xml:space="preserve">la energía ofrecida en convocatorias </w:t>
      </w:r>
      <w:r w:rsidR="00285D44" w:rsidRPr="00ED760B">
        <w:rPr>
          <w:rFonts w:cs="Arial"/>
          <w:sz w:val="22"/>
          <w:szCs w:val="22"/>
        </w:rPr>
        <w:t xml:space="preserve">públicas </w:t>
      </w:r>
      <w:r w:rsidR="00972F2B" w:rsidRPr="00ED760B">
        <w:rPr>
          <w:rFonts w:cs="Arial"/>
          <w:sz w:val="22"/>
          <w:szCs w:val="22"/>
        </w:rPr>
        <w:t xml:space="preserve">ha seguido la modalidad </w:t>
      </w:r>
      <w:r w:rsidR="009D54BB" w:rsidRPr="00ED760B">
        <w:rPr>
          <w:rFonts w:cs="Arial"/>
          <w:sz w:val="22"/>
          <w:szCs w:val="22"/>
        </w:rPr>
        <w:t>“pague lo contratado”</w:t>
      </w:r>
      <w:r w:rsidR="00972F2B" w:rsidRPr="00ED760B">
        <w:rPr>
          <w:rFonts w:cs="Arial"/>
          <w:sz w:val="22"/>
          <w:szCs w:val="22"/>
        </w:rPr>
        <w:t>, en comentarios recibidos por los agentes</w:t>
      </w:r>
      <w:r w:rsidR="009D54BB" w:rsidRPr="00ED760B">
        <w:rPr>
          <w:rFonts w:cs="Arial"/>
          <w:sz w:val="22"/>
          <w:szCs w:val="22"/>
        </w:rPr>
        <w:t xml:space="preserve"> </w:t>
      </w:r>
      <w:r w:rsidR="00972F2B" w:rsidRPr="00ED760B">
        <w:rPr>
          <w:rFonts w:cs="Arial"/>
          <w:sz w:val="22"/>
          <w:szCs w:val="22"/>
        </w:rPr>
        <w:t>se evidenció que</w:t>
      </w:r>
      <w:r w:rsidR="00461443" w:rsidRPr="00ED760B">
        <w:rPr>
          <w:rFonts w:cs="Arial"/>
          <w:sz w:val="22"/>
          <w:szCs w:val="22"/>
        </w:rPr>
        <w:t xml:space="preserve"> en contextos de hidrología critica</w:t>
      </w:r>
      <w:r w:rsidR="0002287E" w:rsidRPr="00ED760B">
        <w:rPr>
          <w:rFonts w:cs="Arial"/>
          <w:sz w:val="22"/>
          <w:szCs w:val="22"/>
        </w:rPr>
        <w:t xml:space="preserve"> como resultado de </w:t>
      </w:r>
      <w:r w:rsidR="008F34F5" w:rsidRPr="00ED760B">
        <w:rPr>
          <w:rFonts w:cs="Arial"/>
          <w:sz w:val="22"/>
          <w:szCs w:val="22"/>
        </w:rPr>
        <w:t xml:space="preserve">escenarios de Fenómeno del Niño, </w:t>
      </w:r>
      <w:r w:rsidR="009B20CE" w:rsidRPr="00ED760B">
        <w:rPr>
          <w:rFonts w:cs="Arial"/>
          <w:sz w:val="22"/>
          <w:szCs w:val="22"/>
        </w:rPr>
        <w:t xml:space="preserve">esta única modalidad de contratación podría </w:t>
      </w:r>
      <w:r w:rsidR="00063D61" w:rsidRPr="00ED760B">
        <w:rPr>
          <w:rFonts w:cs="Arial"/>
          <w:sz w:val="22"/>
          <w:szCs w:val="22"/>
        </w:rPr>
        <w:t xml:space="preserve">resultar </w:t>
      </w:r>
      <w:r w:rsidR="00511D4F" w:rsidRPr="00ED760B">
        <w:rPr>
          <w:rFonts w:cs="Arial"/>
          <w:sz w:val="22"/>
          <w:szCs w:val="22"/>
        </w:rPr>
        <w:t xml:space="preserve">en </w:t>
      </w:r>
      <w:r w:rsidR="00BB4585" w:rsidRPr="00ED760B">
        <w:rPr>
          <w:rFonts w:cs="Arial"/>
          <w:sz w:val="22"/>
          <w:szCs w:val="22"/>
        </w:rPr>
        <w:t xml:space="preserve">un </w:t>
      </w:r>
      <w:r w:rsidR="00511D4F" w:rsidRPr="00ED760B">
        <w:rPr>
          <w:rFonts w:cs="Arial"/>
          <w:sz w:val="22"/>
          <w:szCs w:val="22"/>
        </w:rPr>
        <w:t xml:space="preserve">desincentivo a </w:t>
      </w:r>
      <w:r w:rsidR="00BB4585" w:rsidRPr="00ED760B">
        <w:rPr>
          <w:rFonts w:cs="Arial"/>
          <w:sz w:val="22"/>
          <w:szCs w:val="22"/>
        </w:rPr>
        <w:t xml:space="preserve">que la </w:t>
      </w:r>
      <w:r w:rsidR="00511D4F" w:rsidRPr="00ED760B">
        <w:rPr>
          <w:rFonts w:cs="Arial"/>
          <w:sz w:val="22"/>
          <w:szCs w:val="22"/>
        </w:rPr>
        <w:t>oferta</w:t>
      </w:r>
      <w:r w:rsidR="00BB4585" w:rsidRPr="00ED760B">
        <w:rPr>
          <w:rFonts w:cs="Arial"/>
          <w:sz w:val="22"/>
          <w:szCs w:val="22"/>
        </w:rPr>
        <w:t xml:space="preserve"> concurra a las convocatorias públicas</w:t>
      </w:r>
      <w:r w:rsidR="00511D4F" w:rsidRPr="00ED760B">
        <w:rPr>
          <w:rFonts w:cs="Arial"/>
          <w:sz w:val="22"/>
          <w:szCs w:val="22"/>
        </w:rPr>
        <w:t>.</w:t>
      </w:r>
    </w:p>
    <w:p w14:paraId="56CF64EA" w14:textId="77777777" w:rsidR="009635E2" w:rsidRPr="00ED760B" w:rsidRDefault="009635E2" w:rsidP="00CA7786">
      <w:pPr>
        <w:rPr>
          <w:rFonts w:cs="Arial"/>
          <w:sz w:val="22"/>
          <w:szCs w:val="22"/>
        </w:rPr>
      </w:pPr>
    </w:p>
    <w:p w14:paraId="2032FCA7" w14:textId="330B0156" w:rsidR="004032DA" w:rsidRPr="00ED760B" w:rsidRDefault="002424ED" w:rsidP="00CA7786">
      <w:pPr>
        <w:pStyle w:val="Prrafodelista"/>
        <w:numPr>
          <w:ilvl w:val="0"/>
          <w:numId w:val="13"/>
        </w:numPr>
        <w:contextualSpacing w:val="0"/>
        <w:rPr>
          <w:rFonts w:cs="Arial"/>
          <w:b/>
          <w:sz w:val="22"/>
          <w:szCs w:val="22"/>
        </w:rPr>
      </w:pPr>
      <w:r w:rsidRPr="00ED760B">
        <w:rPr>
          <w:rFonts w:cs="Arial"/>
          <w:b/>
          <w:sz w:val="22"/>
          <w:szCs w:val="22"/>
        </w:rPr>
        <w:t>Los comercializadores han agotado en su mayoría el límite de 20% para compras propias, previsto en la Res. CREG 130 de 2019.</w:t>
      </w:r>
    </w:p>
    <w:p w14:paraId="19602E05" w14:textId="77777777" w:rsidR="00530CD6" w:rsidRPr="00ED760B" w:rsidRDefault="00530CD6" w:rsidP="00CA7786">
      <w:pPr>
        <w:rPr>
          <w:rFonts w:cs="Arial"/>
          <w:sz w:val="22"/>
          <w:szCs w:val="22"/>
        </w:rPr>
      </w:pPr>
    </w:p>
    <w:p w14:paraId="7909DFC2" w14:textId="5800050C" w:rsidR="00C72EEC" w:rsidRPr="00ED760B" w:rsidRDefault="006546EA" w:rsidP="00CA7786">
      <w:pPr>
        <w:rPr>
          <w:rFonts w:cs="Arial"/>
          <w:sz w:val="22"/>
          <w:szCs w:val="22"/>
        </w:rPr>
      </w:pPr>
      <w:r w:rsidRPr="00ED760B">
        <w:rPr>
          <w:rFonts w:cs="Arial"/>
          <w:sz w:val="22"/>
          <w:szCs w:val="22"/>
        </w:rPr>
        <w:t>La Resolución CREG 130 de 2019 definió un</w:t>
      </w:r>
      <w:r w:rsidR="003D240C" w:rsidRPr="00ED760B">
        <w:rPr>
          <w:rFonts w:cs="Arial"/>
          <w:sz w:val="22"/>
          <w:szCs w:val="22"/>
        </w:rPr>
        <w:t xml:space="preserve"> límite de compras propias </w:t>
      </w:r>
      <w:r w:rsidR="00EA16C6" w:rsidRPr="00ED760B">
        <w:rPr>
          <w:rFonts w:cs="Arial"/>
          <w:sz w:val="22"/>
          <w:szCs w:val="22"/>
        </w:rPr>
        <w:t xml:space="preserve">mediante una </w:t>
      </w:r>
      <w:r w:rsidRPr="00ED760B">
        <w:rPr>
          <w:rFonts w:cs="Arial"/>
          <w:sz w:val="22"/>
          <w:szCs w:val="22"/>
        </w:rPr>
        <w:t xml:space="preserve">senda </w:t>
      </w:r>
      <w:r w:rsidR="009A010E" w:rsidRPr="00ED760B">
        <w:rPr>
          <w:rFonts w:cs="Arial"/>
          <w:sz w:val="22"/>
          <w:szCs w:val="22"/>
        </w:rPr>
        <w:t xml:space="preserve">de transición </w:t>
      </w:r>
      <w:r w:rsidR="00201BC8" w:rsidRPr="00ED760B">
        <w:rPr>
          <w:rFonts w:cs="Arial"/>
          <w:sz w:val="22"/>
          <w:szCs w:val="22"/>
        </w:rPr>
        <w:t>que culmina en 2017.</w:t>
      </w:r>
      <w:r w:rsidR="00B271A9" w:rsidRPr="00ED760B">
        <w:rPr>
          <w:rFonts w:cs="Arial"/>
          <w:sz w:val="22"/>
          <w:szCs w:val="22"/>
        </w:rPr>
        <w:t xml:space="preserve"> La senda mencionada se presenta en el gráfico siguiente:</w:t>
      </w:r>
    </w:p>
    <w:p w14:paraId="678AB37A" w14:textId="77777777" w:rsidR="00C72EEC" w:rsidRDefault="00C72EEC" w:rsidP="00CA7786">
      <w:pPr>
        <w:rPr>
          <w:rFonts w:cs="Arial"/>
          <w:szCs w:val="24"/>
        </w:rPr>
      </w:pPr>
    </w:p>
    <w:p w14:paraId="176D2DA0" w14:textId="14DE1011" w:rsidR="00FF1A9D" w:rsidRPr="003B2674" w:rsidRDefault="00FF1A9D" w:rsidP="00CA7786">
      <w:pPr>
        <w:ind w:left="567" w:right="618"/>
        <w:jc w:val="center"/>
        <w:rPr>
          <w:b/>
          <w:bCs/>
          <w:sz w:val="22"/>
          <w:szCs w:val="22"/>
        </w:rPr>
      </w:pPr>
      <w:r w:rsidRPr="003B2674">
        <w:rPr>
          <w:b/>
          <w:bCs/>
          <w:sz w:val="22"/>
          <w:szCs w:val="22"/>
        </w:rPr>
        <w:t xml:space="preserve">Gráfico </w:t>
      </w:r>
      <w:r w:rsidR="006A536C" w:rsidRPr="003B2674">
        <w:rPr>
          <w:b/>
          <w:bCs/>
          <w:sz w:val="22"/>
          <w:szCs w:val="22"/>
        </w:rPr>
        <w:t>9</w:t>
      </w:r>
      <w:r w:rsidRPr="003B2674">
        <w:rPr>
          <w:b/>
          <w:bCs/>
          <w:sz w:val="22"/>
          <w:szCs w:val="22"/>
        </w:rPr>
        <w:t xml:space="preserve">. Contratación </w:t>
      </w:r>
      <w:r w:rsidR="00C10F60" w:rsidRPr="003B2674">
        <w:rPr>
          <w:b/>
          <w:bCs/>
          <w:sz w:val="22"/>
          <w:szCs w:val="22"/>
        </w:rPr>
        <w:t xml:space="preserve">propia para </w:t>
      </w:r>
      <w:r w:rsidR="00C72EEC" w:rsidRPr="003B2674">
        <w:rPr>
          <w:b/>
          <w:bCs/>
          <w:sz w:val="22"/>
          <w:szCs w:val="22"/>
        </w:rPr>
        <w:t xml:space="preserve">atender el </w:t>
      </w:r>
      <w:r w:rsidR="00C10F60" w:rsidRPr="003B2674">
        <w:rPr>
          <w:b/>
          <w:bCs/>
          <w:sz w:val="22"/>
          <w:szCs w:val="22"/>
        </w:rPr>
        <w:t xml:space="preserve">mercado </w:t>
      </w:r>
      <w:r w:rsidR="00C72EEC" w:rsidRPr="003B2674">
        <w:rPr>
          <w:b/>
          <w:bCs/>
          <w:sz w:val="22"/>
          <w:szCs w:val="22"/>
        </w:rPr>
        <w:t>regulado</w:t>
      </w:r>
    </w:p>
    <w:p w14:paraId="7A107F62" w14:textId="70FC3A45" w:rsidR="00FF1A9D" w:rsidRDefault="00FF1A9D" w:rsidP="00CA7786">
      <w:pPr>
        <w:rPr>
          <w:rFonts w:cs="Arial"/>
          <w:szCs w:val="24"/>
        </w:rPr>
      </w:pPr>
      <w:r>
        <w:rPr>
          <w:noProof/>
        </w:rPr>
        <w:drawing>
          <wp:inline distT="0" distB="0" distL="0" distR="0" wp14:anchorId="17545D82" wp14:editId="41D422C4">
            <wp:extent cx="5400000" cy="1800000"/>
            <wp:effectExtent l="0" t="0" r="10795" b="10160"/>
            <wp:docPr id="1477640169" name="Gráfico 1">
              <a:extLst xmlns:a="http://schemas.openxmlformats.org/drawingml/2006/main">
                <a:ext uri="{FF2B5EF4-FFF2-40B4-BE49-F238E27FC236}">
                  <a16:creationId xmlns:a16="http://schemas.microsoft.com/office/drawing/2014/main" id="{DD13CAB9-0BC2-D833-28C3-140CE9C99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E52285" w14:textId="7032AC6F" w:rsidR="005D11B6" w:rsidRPr="003B2674" w:rsidRDefault="005D11B6" w:rsidP="00CA7786">
      <w:pPr>
        <w:jc w:val="center"/>
        <w:rPr>
          <w:rFonts w:cs="Arial"/>
          <w:bCs/>
          <w:sz w:val="20"/>
          <w:lang w:val="es-CO"/>
        </w:rPr>
      </w:pPr>
      <w:r w:rsidRPr="003B2674">
        <w:rPr>
          <w:rFonts w:cs="Arial"/>
          <w:bCs/>
          <w:sz w:val="20"/>
        </w:rPr>
        <w:t>Fuente: Documento soporte de la Resolución CREG 130 de 2019</w:t>
      </w:r>
    </w:p>
    <w:p w14:paraId="548F2A4E" w14:textId="77777777" w:rsidR="00FF1A9D" w:rsidRDefault="00FF1A9D" w:rsidP="00CA7786">
      <w:pPr>
        <w:rPr>
          <w:rFonts w:cs="Arial"/>
          <w:szCs w:val="24"/>
        </w:rPr>
      </w:pPr>
    </w:p>
    <w:p w14:paraId="60FFF9BA" w14:textId="2051C23B" w:rsidR="004E4556" w:rsidRPr="00D95831" w:rsidRDefault="00B271A9" w:rsidP="00CA7786">
      <w:pPr>
        <w:rPr>
          <w:rFonts w:cs="Arial"/>
          <w:sz w:val="22"/>
          <w:szCs w:val="22"/>
          <w:lang w:val="es-CO"/>
        </w:rPr>
      </w:pPr>
      <w:r w:rsidRPr="00D95831">
        <w:rPr>
          <w:rFonts w:cs="Arial"/>
          <w:sz w:val="22"/>
          <w:szCs w:val="22"/>
        </w:rPr>
        <w:t xml:space="preserve">Bajo la senda prevista, </w:t>
      </w:r>
      <w:r w:rsidR="00372B28" w:rsidRPr="00D95831">
        <w:rPr>
          <w:rFonts w:cs="Arial"/>
          <w:sz w:val="22"/>
          <w:szCs w:val="22"/>
        </w:rPr>
        <w:t xml:space="preserve">en 2023 se tiene que las compras propias que adelante un comercializador de energía no deben superar en ningún caso </w:t>
      </w:r>
      <w:r w:rsidR="00A93174" w:rsidRPr="00D95831">
        <w:rPr>
          <w:rFonts w:cs="Arial"/>
          <w:sz w:val="22"/>
          <w:szCs w:val="22"/>
        </w:rPr>
        <w:t xml:space="preserve">el 20% </w:t>
      </w:r>
      <w:r w:rsidR="009C46DD" w:rsidRPr="00D95831">
        <w:rPr>
          <w:rFonts w:cs="Arial"/>
          <w:sz w:val="22"/>
          <w:szCs w:val="22"/>
        </w:rPr>
        <w:t>de su demanda regulada.</w:t>
      </w:r>
    </w:p>
    <w:p w14:paraId="7BAB27CC" w14:textId="77777777" w:rsidR="00212657" w:rsidRPr="00D95831" w:rsidRDefault="00212657" w:rsidP="00CA7786">
      <w:pPr>
        <w:rPr>
          <w:rFonts w:cs="Arial"/>
          <w:sz w:val="22"/>
          <w:szCs w:val="22"/>
        </w:rPr>
      </w:pPr>
    </w:p>
    <w:p w14:paraId="2E4123D3" w14:textId="1CEA9A5F" w:rsidR="00794C11" w:rsidRDefault="000B31CB" w:rsidP="00CA7786">
      <w:pPr>
        <w:rPr>
          <w:rFonts w:cs="Arial"/>
          <w:sz w:val="22"/>
          <w:szCs w:val="22"/>
        </w:rPr>
      </w:pPr>
      <w:r w:rsidRPr="00D95831">
        <w:rPr>
          <w:rFonts w:cs="Arial"/>
          <w:sz w:val="22"/>
          <w:szCs w:val="22"/>
        </w:rPr>
        <w:t xml:space="preserve">No obstante, los comentarios </w:t>
      </w:r>
      <w:r w:rsidR="00237A1C" w:rsidRPr="00D95831">
        <w:rPr>
          <w:rFonts w:cs="Arial"/>
          <w:sz w:val="22"/>
          <w:szCs w:val="22"/>
        </w:rPr>
        <w:t xml:space="preserve">de los agentes en las mesas de trabajo han permitido evidenciar </w:t>
      </w:r>
      <w:r w:rsidR="00794C11" w:rsidRPr="00D95831">
        <w:rPr>
          <w:rFonts w:cs="Arial"/>
          <w:sz w:val="22"/>
          <w:szCs w:val="22"/>
        </w:rPr>
        <w:t>que,</w:t>
      </w:r>
      <w:r w:rsidR="00237A1C" w:rsidRPr="00D95831">
        <w:rPr>
          <w:rFonts w:cs="Arial"/>
          <w:sz w:val="22"/>
          <w:szCs w:val="22"/>
        </w:rPr>
        <w:t xml:space="preserve"> </w:t>
      </w:r>
      <w:r w:rsidR="00AB31E4" w:rsidRPr="00D95831">
        <w:rPr>
          <w:rFonts w:cs="Arial"/>
          <w:sz w:val="22"/>
          <w:szCs w:val="22"/>
        </w:rPr>
        <w:t xml:space="preserve">en </w:t>
      </w:r>
      <w:r w:rsidR="0068619E">
        <w:rPr>
          <w:rFonts w:cs="Arial"/>
          <w:sz w:val="22"/>
          <w:szCs w:val="22"/>
        </w:rPr>
        <w:t xml:space="preserve">periodos </w:t>
      </w:r>
      <w:r w:rsidR="00DD6935">
        <w:rPr>
          <w:rFonts w:cs="Arial"/>
          <w:sz w:val="22"/>
          <w:szCs w:val="22"/>
        </w:rPr>
        <w:t xml:space="preserve">de baja hidrología </w:t>
      </w:r>
      <w:r w:rsidR="0014751A">
        <w:rPr>
          <w:rFonts w:cs="Arial"/>
          <w:sz w:val="22"/>
          <w:szCs w:val="22"/>
        </w:rPr>
        <w:t xml:space="preserve">por el </w:t>
      </w:r>
      <w:r w:rsidR="0068619E">
        <w:rPr>
          <w:rFonts w:cs="Arial"/>
          <w:sz w:val="22"/>
          <w:szCs w:val="22"/>
        </w:rPr>
        <w:t xml:space="preserve">Fenómeno del Niño, </w:t>
      </w:r>
      <w:r w:rsidR="00794C11">
        <w:rPr>
          <w:rFonts w:cs="Arial"/>
          <w:sz w:val="22"/>
          <w:szCs w:val="22"/>
        </w:rPr>
        <w:t xml:space="preserve">podría ser </w:t>
      </w:r>
      <w:r w:rsidR="00017CC5">
        <w:rPr>
          <w:rFonts w:cs="Arial"/>
          <w:sz w:val="22"/>
          <w:szCs w:val="22"/>
        </w:rPr>
        <w:t xml:space="preserve">conveniente </w:t>
      </w:r>
      <w:r w:rsidR="00F76EEE">
        <w:rPr>
          <w:rFonts w:cs="Arial"/>
          <w:sz w:val="22"/>
          <w:szCs w:val="22"/>
        </w:rPr>
        <w:t xml:space="preserve">que </w:t>
      </w:r>
      <w:r w:rsidR="00FE65C3">
        <w:rPr>
          <w:rFonts w:cs="Arial"/>
          <w:sz w:val="22"/>
          <w:szCs w:val="22"/>
        </w:rPr>
        <w:t>un mayor aprovechamiento d</w:t>
      </w:r>
      <w:r w:rsidR="002C1583">
        <w:rPr>
          <w:rFonts w:cs="Arial"/>
          <w:sz w:val="22"/>
          <w:szCs w:val="22"/>
        </w:rPr>
        <w:t xml:space="preserve">el </w:t>
      </w:r>
      <w:r w:rsidR="006B24AE">
        <w:rPr>
          <w:rFonts w:cs="Arial"/>
          <w:sz w:val="22"/>
          <w:szCs w:val="22"/>
        </w:rPr>
        <w:t xml:space="preserve">potencial de energía </w:t>
      </w:r>
      <w:r w:rsidR="002A03A4">
        <w:rPr>
          <w:rFonts w:cs="Arial"/>
          <w:sz w:val="22"/>
          <w:szCs w:val="22"/>
        </w:rPr>
        <w:t xml:space="preserve">disponible </w:t>
      </w:r>
      <w:r w:rsidR="006B24AE">
        <w:rPr>
          <w:rFonts w:cs="Arial"/>
          <w:sz w:val="22"/>
          <w:szCs w:val="22"/>
        </w:rPr>
        <w:t>en compra</w:t>
      </w:r>
      <w:r w:rsidR="00DD6935">
        <w:rPr>
          <w:rFonts w:cs="Arial"/>
          <w:sz w:val="22"/>
          <w:szCs w:val="22"/>
        </w:rPr>
        <w:t>s</w:t>
      </w:r>
      <w:r w:rsidR="006B24AE">
        <w:rPr>
          <w:rFonts w:cs="Arial"/>
          <w:sz w:val="22"/>
          <w:szCs w:val="22"/>
        </w:rPr>
        <w:t xml:space="preserve"> propias </w:t>
      </w:r>
      <w:r w:rsidR="00AB7C4B">
        <w:rPr>
          <w:rFonts w:cs="Arial"/>
          <w:sz w:val="22"/>
          <w:szCs w:val="22"/>
        </w:rPr>
        <w:t xml:space="preserve">materialice un alivio ante </w:t>
      </w:r>
      <w:r w:rsidR="00794C11">
        <w:rPr>
          <w:rFonts w:cs="Arial"/>
          <w:sz w:val="22"/>
          <w:szCs w:val="22"/>
        </w:rPr>
        <w:t>faltantes de energía</w:t>
      </w:r>
      <w:r w:rsidR="00AB7C4B">
        <w:rPr>
          <w:rFonts w:cs="Arial"/>
          <w:sz w:val="22"/>
          <w:szCs w:val="22"/>
        </w:rPr>
        <w:t xml:space="preserve"> derivados de la situación crítica</w:t>
      </w:r>
      <w:r w:rsidR="00794C11">
        <w:rPr>
          <w:rFonts w:cs="Arial"/>
          <w:sz w:val="22"/>
          <w:szCs w:val="22"/>
        </w:rPr>
        <w:t>.</w:t>
      </w:r>
    </w:p>
    <w:p w14:paraId="6D758182" w14:textId="77777777" w:rsidR="00212657" w:rsidRDefault="00212657" w:rsidP="00CA7786">
      <w:pPr>
        <w:rPr>
          <w:rFonts w:cs="Arial"/>
          <w:sz w:val="22"/>
          <w:szCs w:val="22"/>
        </w:rPr>
      </w:pPr>
    </w:p>
    <w:p w14:paraId="061F72D7" w14:textId="4AFEB8D9" w:rsidR="002D50D9" w:rsidRPr="00B26390" w:rsidRDefault="002D50D9" w:rsidP="00CA7786">
      <w:pPr>
        <w:pStyle w:val="Ttulo2"/>
        <w:numPr>
          <w:ilvl w:val="1"/>
          <w:numId w:val="25"/>
        </w:numPr>
        <w:spacing w:after="0"/>
        <w:rPr>
          <w:rFonts w:cs="Arial"/>
          <w:sz w:val="22"/>
          <w:szCs w:val="22"/>
        </w:rPr>
      </w:pPr>
      <w:r>
        <w:rPr>
          <w:rFonts w:cs="Arial"/>
          <w:sz w:val="22"/>
          <w:szCs w:val="22"/>
        </w:rPr>
        <w:t>Principal consecuencia</w:t>
      </w:r>
      <w:r w:rsidRPr="00B26390">
        <w:rPr>
          <w:rFonts w:cs="Arial"/>
          <w:sz w:val="22"/>
          <w:szCs w:val="22"/>
        </w:rPr>
        <w:t xml:space="preserve"> del problema</w:t>
      </w:r>
    </w:p>
    <w:p w14:paraId="7F8548D7" w14:textId="77777777" w:rsidR="002D50D9" w:rsidRDefault="002D50D9" w:rsidP="00CA7786">
      <w:pPr>
        <w:rPr>
          <w:rFonts w:cs="Arial"/>
          <w:sz w:val="22"/>
          <w:szCs w:val="22"/>
        </w:rPr>
      </w:pPr>
    </w:p>
    <w:p w14:paraId="483A7AF7" w14:textId="5B90842E" w:rsidR="002D50D9" w:rsidRDefault="002D50D9" w:rsidP="00CA7786">
      <w:pPr>
        <w:rPr>
          <w:rFonts w:cs="Arial"/>
          <w:sz w:val="22"/>
          <w:szCs w:val="22"/>
        </w:rPr>
      </w:pPr>
      <w:r>
        <w:rPr>
          <w:rFonts w:cs="Arial"/>
          <w:sz w:val="22"/>
          <w:szCs w:val="22"/>
        </w:rPr>
        <w:t>Con base en lo desarrollado en el presente capítulo, se encuentra que</w:t>
      </w:r>
      <w:r w:rsidR="00576E16">
        <w:rPr>
          <w:rFonts w:cs="Arial"/>
          <w:sz w:val="22"/>
          <w:szCs w:val="22"/>
        </w:rPr>
        <w:t xml:space="preserve"> </w:t>
      </w:r>
      <w:r w:rsidR="007A5129">
        <w:rPr>
          <w:rFonts w:cs="Arial"/>
          <w:sz w:val="22"/>
          <w:szCs w:val="22"/>
        </w:rPr>
        <w:t>la falta de</w:t>
      </w:r>
      <w:r w:rsidR="000C3862" w:rsidRPr="000C3862">
        <w:rPr>
          <w:rFonts w:cs="Arial"/>
          <w:sz w:val="22"/>
          <w:szCs w:val="22"/>
        </w:rPr>
        <w:t xml:space="preserve"> cobertura</w:t>
      </w:r>
      <w:r w:rsidR="007A5129">
        <w:rPr>
          <w:rFonts w:cs="Arial"/>
          <w:sz w:val="22"/>
          <w:szCs w:val="22"/>
        </w:rPr>
        <w:t xml:space="preserve"> suficiente</w:t>
      </w:r>
      <w:r w:rsidR="000C3862" w:rsidRPr="000C3862">
        <w:rPr>
          <w:rFonts w:cs="Arial"/>
          <w:sz w:val="22"/>
          <w:szCs w:val="22"/>
        </w:rPr>
        <w:t xml:space="preserve"> de la demanda regulada frente a compras en bolsa, en un contexto de incrementos en precios derivados de la </w:t>
      </w:r>
      <w:r w:rsidR="009B1B79">
        <w:rPr>
          <w:rFonts w:cs="Arial"/>
          <w:sz w:val="22"/>
          <w:szCs w:val="22"/>
        </w:rPr>
        <w:t>expectativa de ocurrencia del</w:t>
      </w:r>
      <w:r w:rsidR="000C3862" w:rsidRPr="000C3862">
        <w:rPr>
          <w:rFonts w:cs="Arial"/>
          <w:sz w:val="22"/>
          <w:szCs w:val="22"/>
        </w:rPr>
        <w:t xml:space="preserve"> Fenómeno del Niño</w:t>
      </w:r>
      <w:r w:rsidR="009B1B79">
        <w:rPr>
          <w:rFonts w:cs="Arial"/>
          <w:sz w:val="22"/>
          <w:szCs w:val="22"/>
        </w:rPr>
        <w:t>, trae</w:t>
      </w:r>
      <w:r w:rsidR="00E5324C">
        <w:rPr>
          <w:rFonts w:cs="Arial"/>
          <w:sz w:val="22"/>
          <w:szCs w:val="22"/>
        </w:rPr>
        <w:t>ría</w:t>
      </w:r>
      <w:r w:rsidR="009B1B79">
        <w:rPr>
          <w:rFonts w:cs="Arial"/>
          <w:sz w:val="22"/>
          <w:szCs w:val="22"/>
        </w:rPr>
        <w:t xml:space="preserve"> como consecuencia </w:t>
      </w:r>
      <w:r w:rsidR="00E5324C">
        <w:rPr>
          <w:rFonts w:cs="Arial"/>
          <w:sz w:val="22"/>
          <w:szCs w:val="22"/>
        </w:rPr>
        <w:t>el</w:t>
      </w:r>
      <w:r w:rsidR="000C3862" w:rsidRPr="000C3862">
        <w:rPr>
          <w:rFonts w:cs="Arial"/>
          <w:sz w:val="22"/>
          <w:szCs w:val="22"/>
        </w:rPr>
        <w:t xml:space="preserve"> </w:t>
      </w:r>
      <w:r w:rsidR="00E5324C">
        <w:rPr>
          <w:rFonts w:cs="Arial"/>
          <w:sz w:val="22"/>
          <w:szCs w:val="22"/>
        </w:rPr>
        <w:t>t</w:t>
      </w:r>
      <w:r w:rsidR="00E5324C" w:rsidRPr="00E5324C">
        <w:rPr>
          <w:rFonts w:cs="Arial"/>
          <w:sz w:val="22"/>
          <w:szCs w:val="22"/>
        </w:rPr>
        <w:t>raslado de precios altos</w:t>
      </w:r>
      <w:r w:rsidR="008E1C07">
        <w:rPr>
          <w:rFonts w:cs="Arial"/>
          <w:sz w:val="22"/>
          <w:szCs w:val="22"/>
        </w:rPr>
        <w:t xml:space="preserve"> y con alta volatilidad,</w:t>
      </w:r>
      <w:r w:rsidR="00E5324C" w:rsidRPr="00E5324C">
        <w:rPr>
          <w:rFonts w:cs="Arial"/>
          <w:sz w:val="22"/>
          <w:szCs w:val="22"/>
        </w:rPr>
        <w:t xml:space="preserve"> en la tarifa final al usuario, que se ven acentuados por los efectos esperados del Fenómeno del Niño sobre los precios en la bolsa de energía</w:t>
      </w:r>
      <w:r w:rsidR="003E77F2">
        <w:rPr>
          <w:rFonts w:cs="Arial"/>
          <w:sz w:val="22"/>
          <w:szCs w:val="22"/>
        </w:rPr>
        <w:t>.</w:t>
      </w:r>
    </w:p>
    <w:p w14:paraId="71D5183C" w14:textId="77777777" w:rsidR="003E77F2" w:rsidRDefault="003E77F2" w:rsidP="00CA7786">
      <w:pPr>
        <w:rPr>
          <w:rFonts w:cs="Arial"/>
          <w:sz w:val="22"/>
          <w:szCs w:val="22"/>
        </w:rPr>
      </w:pPr>
    </w:p>
    <w:p w14:paraId="29F661AB" w14:textId="0AEAC195" w:rsidR="00DA4C70" w:rsidRDefault="00DA4C70" w:rsidP="00CA7786">
      <w:pPr>
        <w:rPr>
          <w:rFonts w:cs="Arial"/>
          <w:sz w:val="22"/>
          <w:szCs w:val="22"/>
        </w:rPr>
      </w:pPr>
      <w:r>
        <w:rPr>
          <w:rFonts w:cs="Arial"/>
          <w:sz w:val="22"/>
          <w:szCs w:val="22"/>
        </w:rPr>
        <w:t>Entre más fuerte resulte ser el efecto climático sobre la hidrología del país, más al</w:t>
      </w:r>
      <w:r w:rsidR="0064485C">
        <w:rPr>
          <w:rFonts w:cs="Arial"/>
          <w:sz w:val="22"/>
          <w:szCs w:val="22"/>
        </w:rPr>
        <w:t xml:space="preserve">tos serán los precios que se presenten en la bolsa de energía, como fue ilustrado en la </w:t>
      </w:r>
      <w:r w:rsidR="0064485C">
        <w:rPr>
          <w:rFonts w:cs="Arial"/>
          <w:sz w:val="22"/>
          <w:szCs w:val="22"/>
        </w:rPr>
        <w:fldChar w:fldCharType="begin"/>
      </w:r>
      <w:r w:rsidR="0064485C">
        <w:rPr>
          <w:rFonts w:cs="Arial"/>
          <w:sz w:val="22"/>
          <w:szCs w:val="22"/>
        </w:rPr>
        <w:instrText xml:space="preserve"> REF _Ref144899828 \h  \* MERGEFORMAT </w:instrText>
      </w:r>
      <w:r w:rsidR="0064485C">
        <w:rPr>
          <w:rFonts w:cs="Arial"/>
          <w:sz w:val="22"/>
          <w:szCs w:val="22"/>
        </w:rPr>
      </w:r>
      <w:r w:rsidR="0064485C">
        <w:rPr>
          <w:rFonts w:cs="Arial"/>
          <w:sz w:val="22"/>
          <w:szCs w:val="22"/>
        </w:rPr>
        <w:fldChar w:fldCharType="separate"/>
      </w:r>
      <w:r w:rsidR="0064485C" w:rsidRPr="0064485C">
        <w:rPr>
          <w:sz w:val="22"/>
          <w:szCs w:val="22"/>
        </w:rPr>
        <w:t xml:space="preserve">Gráfica </w:t>
      </w:r>
      <w:r w:rsidR="0064485C" w:rsidRPr="0064485C">
        <w:rPr>
          <w:noProof/>
          <w:sz w:val="22"/>
          <w:szCs w:val="22"/>
        </w:rPr>
        <w:t>7</w:t>
      </w:r>
      <w:r w:rsidR="0064485C" w:rsidRPr="0064485C">
        <w:rPr>
          <w:sz w:val="22"/>
          <w:szCs w:val="22"/>
        </w:rPr>
        <w:t xml:space="preserve"> </w:t>
      </w:r>
      <w:r w:rsidR="0064485C">
        <w:rPr>
          <w:rFonts w:cs="Arial"/>
          <w:bCs/>
          <w:sz w:val="22"/>
          <w:szCs w:val="22"/>
        </w:rPr>
        <w:t>del</w:t>
      </w:r>
      <w:r w:rsidR="0064485C">
        <w:rPr>
          <w:rFonts w:cs="Arial"/>
          <w:sz w:val="22"/>
          <w:szCs w:val="22"/>
        </w:rPr>
        <w:fldChar w:fldCharType="end"/>
      </w:r>
      <w:r w:rsidR="0064485C">
        <w:rPr>
          <w:rFonts w:cs="Arial"/>
          <w:sz w:val="22"/>
          <w:szCs w:val="22"/>
        </w:rPr>
        <w:t xml:space="preserve"> presente documento.</w:t>
      </w:r>
    </w:p>
    <w:p w14:paraId="6E72CB6D" w14:textId="77777777" w:rsidR="005B357E" w:rsidRPr="00632FA6" w:rsidRDefault="005B357E" w:rsidP="00CA7786">
      <w:pPr>
        <w:rPr>
          <w:rFonts w:cs="Arial"/>
          <w:sz w:val="22"/>
          <w:szCs w:val="22"/>
        </w:rPr>
      </w:pPr>
    </w:p>
    <w:p w14:paraId="5F1F35A1" w14:textId="318669D1" w:rsidR="00EC62F9" w:rsidRPr="00DA6A99" w:rsidRDefault="00725B1F" w:rsidP="00CA7786">
      <w:pPr>
        <w:pStyle w:val="Ttulo1"/>
        <w:spacing w:after="0"/>
        <w:ind w:left="431" w:hanging="431"/>
        <w:rPr>
          <w:rFonts w:cs="Arial"/>
          <w:sz w:val="22"/>
          <w:szCs w:val="22"/>
        </w:rPr>
      </w:pPr>
      <w:bookmarkStart w:id="17" w:name="_Toc144899066"/>
      <w:r w:rsidRPr="00DA6A99">
        <w:rPr>
          <w:rFonts w:cs="Arial"/>
          <w:sz w:val="22"/>
          <w:szCs w:val="22"/>
        </w:rPr>
        <w:t>FORMULACIÓN DE PROPUESTAS REGULATORIAS</w:t>
      </w:r>
      <w:bookmarkEnd w:id="17"/>
    </w:p>
    <w:p w14:paraId="7C5FB8DB" w14:textId="77777777" w:rsidR="00A479F7" w:rsidRPr="00DA6A99" w:rsidRDefault="00A479F7" w:rsidP="00CA7786">
      <w:pPr>
        <w:rPr>
          <w:rFonts w:cs="Arial"/>
          <w:sz w:val="22"/>
          <w:szCs w:val="22"/>
        </w:rPr>
      </w:pPr>
    </w:p>
    <w:p w14:paraId="38A8F720" w14:textId="259B6719" w:rsidR="001176E6" w:rsidRPr="00DA6A99" w:rsidRDefault="00142DD2" w:rsidP="00CA7786">
      <w:pPr>
        <w:rPr>
          <w:rFonts w:cs="Arial"/>
          <w:sz w:val="22"/>
          <w:szCs w:val="22"/>
        </w:rPr>
      </w:pPr>
      <w:r w:rsidRPr="00DA6A99">
        <w:rPr>
          <w:rFonts w:cs="Arial"/>
          <w:sz w:val="22"/>
          <w:szCs w:val="22"/>
        </w:rPr>
        <w:t xml:space="preserve">En respuesta a </w:t>
      </w:r>
      <w:r w:rsidR="008876E5" w:rsidRPr="00DA6A99">
        <w:rPr>
          <w:rFonts w:cs="Arial"/>
          <w:sz w:val="22"/>
          <w:szCs w:val="22"/>
        </w:rPr>
        <w:t>los distintos comentarios</w:t>
      </w:r>
      <w:r w:rsidRPr="00DA6A99">
        <w:rPr>
          <w:rFonts w:cs="Arial"/>
          <w:sz w:val="22"/>
          <w:szCs w:val="22"/>
        </w:rPr>
        <w:t xml:space="preserve"> presentad</w:t>
      </w:r>
      <w:r w:rsidR="008876E5" w:rsidRPr="00DA6A99">
        <w:rPr>
          <w:rFonts w:cs="Arial"/>
          <w:sz w:val="22"/>
          <w:szCs w:val="22"/>
        </w:rPr>
        <w:t>o</w:t>
      </w:r>
      <w:r w:rsidRPr="00DA6A99">
        <w:rPr>
          <w:rFonts w:cs="Arial"/>
          <w:sz w:val="22"/>
          <w:szCs w:val="22"/>
        </w:rPr>
        <w:t xml:space="preserve">s por </w:t>
      </w:r>
      <w:r w:rsidR="00E61A50" w:rsidRPr="00DA6A99">
        <w:rPr>
          <w:rFonts w:cs="Arial"/>
          <w:sz w:val="22"/>
          <w:szCs w:val="22"/>
        </w:rPr>
        <w:t>prestadores del servicio de energía eléctrica (</w:t>
      </w:r>
      <w:r w:rsidR="00717D01" w:rsidRPr="00DA6A99">
        <w:rPr>
          <w:rFonts w:cs="Arial"/>
          <w:sz w:val="22"/>
          <w:szCs w:val="22"/>
        </w:rPr>
        <w:t>referidos</w:t>
      </w:r>
      <w:r w:rsidR="00E61A50" w:rsidRPr="00DA6A99">
        <w:rPr>
          <w:rFonts w:cs="Arial"/>
          <w:sz w:val="22"/>
          <w:szCs w:val="22"/>
        </w:rPr>
        <w:t xml:space="preserve"> en </w:t>
      </w:r>
      <w:r w:rsidR="002715F7" w:rsidRPr="00DA6A99">
        <w:rPr>
          <w:rFonts w:cs="Arial"/>
          <w:sz w:val="22"/>
          <w:szCs w:val="22"/>
        </w:rPr>
        <w:t>el capítulo de</w:t>
      </w:r>
      <w:r w:rsidR="00E61A50" w:rsidRPr="00DA6A99">
        <w:rPr>
          <w:rFonts w:cs="Arial"/>
          <w:sz w:val="22"/>
          <w:szCs w:val="22"/>
        </w:rPr>
        <w:t xml:space="preserve"> antecedentes</w:t>
      </w:r>
      <w:r w:rsidR="002715F7" w:rsidRPr="00DA6A99">
        <w:rPr>
          <w:rFonts w:cs="Arial"/>
          <w:sz w:val="22"/>
          <w:szCs w:val="22"/>
        </w:rPr>
        <w:t xml:space="preserve"> del presente documento</w:t>
      </w:r>
      <w:r w:rsidR="00E61A50" w:rsidRPr="00DA6A99">
        <w:rPr>
          <w:rFonts w:cs="Arial"/>
          <w:sz w:val="22"/>
          <w:szCs w:val="22"/>
        </w:rPr>
        <w:t>)</w:t>
      </w:r>
      <w:r w:rsidR="002715F7" w:rsidRPr="00DA6A99">
        <w:rPr>
          <w:rFonts w:cs="Arial"/>
          <w:sz w:val="22"/>
          <w:szCs w:val="22"/>
        </w:rPr>
        <w:t xml:space="preserve"> </w:t>
      </w:r>
      <w:r w:rsidR="00C10FCE" w:rsidRPr="00DA6A99">
        <w:rPr>
          <w:rFonts w:cs="Arial"/>
          <w:sz w:val="22"/>
          <w:szCs w:val="22"/>
        </w:rPr>
        <w:t>y d</w:t>
      </w:r>
      <w:r w:rsidR="004E079C" w:rsidRPr="00DA6A99">
        <w:rPr>
          <w:rFonts w:cs="Arial"/>
          <w:sz w:val="22"/>
          <w:szCs w:val="22"/>
        </w:rPr>
        <w:t xml:space="preserve">e acuerdo con la necesidad de intervención regulatoria identificada, esta Comisión </w:t>
      </w:r>
      <w:r w:rsidR="00FC4B88" w:rsidRPr="00DA6A99">
        <w:rPr>
          <w:rFonts w:cs="Arial"/>
          <w:sz w:val="22"/>
          <w:szCs w:val="22"/>
        </w:rPr>
        <w:t xml:space="preserve">propone la adopción de </w:t>
      </w:r>
      <w:r w:rsidR="000C6036" w:rsidRPr="00DA6A99">
        <w:rPr>
          <w:rFonts w:cs="Arial"/>
          <w:sz w:val="22"/>
          <w:szCs w:val="22"/>
        </w:rPr>
        <w:t>una serie de</w:t>
      </w:r>
      <w:r w:rsidR="00FC4B88" w:rsidRPr="00DA6A99">
        <w:rPr>
          <w:rFonts w:cs="Arial"/>
          <w:sz w:val="22"/>
          <w:szCs w:val="22"/>
        </w:rPr>
        <w:t xml:space="preserve"> medidas regulatorias</w:t>
      </w:r>
      <w:r w:rsidR="000C6036" w:rsidRPr="00DA6A99">
        <w:rPr>
          <w:rFonts w:cs="Arial"/>
          <w:sz w:val="22"/>
          <w:szCs w:val="22"/>
        </w:rPr>
        <w:t xml:space="preserve"> que propenden por facilitar la co</w:t>
      </w:r>
      <w:r w:rsidR="00F0122A" w:rsidRPr="00DA6A99">
        <w:rPr>
          <w:rFonts w:cs="Arial"/>
          <w:sz w:val="22"/>
          <w:szCs w:val="22"/>
        </w:rPr>
        <w:t>mpra de energía por parte de comercializadores que atienden demanda regulada</w:t>
      </w:r>
      <w:r w:rsidR="00E21BE2" w:rsidRPr="00DA6A99">
        <w:rPr>
          <w:rFonts w:cs="Arial"/>
          <w:sz w:val="22"/>
          <w:szCs w:val="22"/>
        </w:rPr>
        <w:t>, a través de convocatorias públicas</w:t>
      </w:r>
      <w:r w:rsidR="000C6036" w:rsidRPr="00DA6A99">
        <w:rPr>
          <w:rFonts w:cs="Arial"/>
          <w:sz w:val="22"/>
          <w:szCs w:val="22"/>
        </w:rPr>
        <w:t>.</w:t>
      </w:r>
      <w:r w:rsidR="00E8511D" w:rsidRPr="00DA6A99">
        <w:rPr>
          <w:rFonts w:cs="Arial"/>
          <w:sz w:val="22"/>
          <w:szCs w:val="22"/>
        </w:rPr>
        <w:t xml:space="preserve"> </w:t>
      </w:r>
    </w:p>
    <w:p w14:paraId="12E52896" w14:textId="77777777" w:rsidR="001176E6" w:rsidRPr="00DA6A99" w:rsidRDefault="001176E6" w:rsidP="00CA7786">
      <w:pPr>
        <w:rPr>
          <w:rFonts w:cs="Arial"/>
          <w:sz w:val="22"/>
          <w:szCs w:val="22"/>
        </w:rPr>
      </w:pPr>
    </w:p>
    <w:p w14:paraId="10D4DA42" w14:textId="14E0A743" w:rsidR="004A2871" w:rsidRPr="00DA6A99" w:rsidRDefault="001176E6" w:rsidP="00CA7786">
      <w:pPr>
        <w:rPr>
          <w:rFonts w:cs="Arial"/>
          <w:sz w:val="22"/>
          <w:szCs w:val="22"/>
        </w:rPr>
      </w:pPr>
      <w:r w:rsidRPr="00DA6A99">
        <w:rPr>
          <w:rFonts w:cs="Arial"/>
          <w:sz w:val="22"/>
          <w:szCs w:val="22"/>
        </w:rPr>
        <w:t>Lo anterior,</w:t>
      </w:r>
      <w:r w:rsidR="00A72B55" w:rsidRPr="00DA6A99">
        <w:rPr>
          <w:rFonts w:cs="Arial"/>
          <w:sz w:val="22"/>
          <w:szCs w:val="22"/>
        </w:rPr>
        <w:t xml:space="preserve"> con el </w:t>
      </w:r>
      <w:r w:rsidR="00170D39" w:rsidRPr="00DA6A99">
        <w:rPr>
          <w:rFonts w:cs="Arial"/>
          <w:sz w:val="22"/>
          <w:szCs w:val="22"/>
        </w:rPr>
        <w:t>propósito</w:t>
      </w:r>
      <w:r w:rsidR="00A72B55" w:rsidRPr="00DA6A99">
        <w:rPr>
          <w:rFonts w:cs="Arial"/>
          <w:sz w:val="22"/>
          <w:szCs w:val="22"/>
        </w:rPr>
        <w:t xml:space="preserve"> de reducir en los </w:t>
      </w:r>
      <w:r w:rsidRPr="00DA6A99">
        <w:rPr>
          <w:rFonts w:cs="Arial"/>
          <w:sz w:val="22"/>
          <w:szCs w:val="22"/>
        </w:rPr>
        <w:t>próximos</w:t>
      </w:r>
      <w:r w:rsidR="00A72B55" w:rsidRPr="00DA6A99">
        <w:rPr>
          <w:rFonts w:cs="Arial"/>
          <w:sz w:val="22"/>
          <w:szCs w:val="22"/>
        </w:rPr>
        <w:t xml:space="preserve"> meses la exposición </w:t>
      </w:r>
      <w:r w:rsidR="002842C3" w:rsidRPr="00DA6A99">
        <w:rPr>
          <w:rFonts w:cs="Arial"/>
          <w:sz w:val="22"/>
          <w:szCs w:val="22"/>
        </w:rPr>
        <w:t xml:space="preserve">que enfrenta actualmente </w:t>
      </w:r>
      <w:r w:rsidR="00E64B63" w:rsidRPr="00DA6A99">
        <w:rPr>
          <w:rFonts w:cs="Arial"/>
          <w:sz w:val="22"/>
          <w:szCs w:val="22"/>
        </w:rPr>
        <w:t>la</w:t>
      </w:r>
      <w:r w:rsidR="002842C3" w:rsidRPr="00DA6A99">
        <w:rPr>
          <w:rFonts w:cs="Arial"/>
          <w:sz w:val="22"/>
          <w:szCs w:val="22"/>
        </w:rPr>
        <w:t xml:space="preserve"> </w:t>
      </w:r>
      <w:r w:rsidR="00E64B63" w:rsidRPr="00DA6A99">
        <w:rPr>
          <w:rFonts w:cs="Arial"/>
          <w:sz w:val="22"/>
          <w:szCs w:val="22"/>
        </w:rPr>
        <w:t xml:space="preserve">demanda regulada </w:t>
      </w:r>
      <w:r w:rsidR="005106DF" w:rsidRPr="00DA6A99">
        <w:rPr>
          <w:rFonts w:cs="Arial"/>
          <w:sz w:val="22"/>
          <w:szCs w:val="22"/>
        </w:rPr>
        <w:t>al</w:t>
      </w:r>
      <w:r w:rsidR="003C4CE0" w:rsidRPr="00DA6A99">
        <w:rPr>
          <w:rFonts w:cs="Arial"/>
          <w:sz w:val="22"/>
          <w:szCs w:val="22"/>
        </w:rPr>
        <w:t xml:space="preserve"> traslado de</w:t>
      </w:r>
      <w:r w:rsidR="005106DF" w:rsidRPr="00DA6A99">
        <w:rPr>
          <w:rFonts w:cs="Arial"/>
          <w:sz w:val="22"/>
          <w:szCs w:val="22"/>
        </w:rPr>
        <w:t xml:space="preserve"> compras </w:t>
      </w:r>
      <w:r w:rsidR="001F79AE" w:rsidRPr="00DA6A99">
        <w:rPr>
          <w:rFonts w:cs="Arial"/>
          <w:sz w:val="22"/>
          <w:szCs w:val="22"/>
        </w:rPr>
        <w:t xml:space="preserve">a través de </w:t>
      </w:r>
      <w:r w:rsidR="00E64B63" w:rsidRPr="00DA6A99">
        <w:rPr>
          <w:rFonts w:cs="Arial"/>
          <w:sz w:val="22"/>
          <w:szCs w:val="22"/>
        </w:rPr>
        <w:t xml:space="preserve">la </w:t>
      </w:r>
      <w:r w:rsidR="001F79AE" w:rsidRPr="00DA6A99">
        <w:rPr>
          <w:rFonts w:cs="Arial"/>
          <w:sz w:val="22"/>
          <w:szCs w:val="22"/>
        </w:rPr>
        <w:t>bolsa de energía</w:t>
      </w:r>
      <w:r w:rsidR="001A1266" w:rsidRPr="00DA6A99">
        <w:rPr>
          <w:rFonts w:cs="Arial"/>
          <w:sz w:val="22"/>
          <w:szCs w:val="22"/>
        </w:rPr>
        <w:t>, cuyos</w:t>
      </w:r>
      <w:r w:rsidR="002842C3" w:rsidRPr="00DA6A99">
        <w:rPr>
          <w:rFonts w:cs="Arial"/>
          <w:sz w:val="22"/>
          <w:szCs w:val="22"/>
        </w:rPr>
        <w:t xml:space="preserve"> </w:t>
      </w:r>
      <w:r w:rsidR="003C4CE0" w:rsidRPr="00DA6A99">
        <w:rPr>
          <w:rFonts w:cs="Arial"/>
          <w:sz w:val="22"/>
          <w:szCs w:val="22"/>
        </w:rPr>
        <w:t>precios</w:t>
      </w:r>
      <w:r w:rsidR="002842C3" w:rsidRPr="00DA6A99">
        <w:rPr>
          <w:rFonts w:cs="Arial"/>
          <w:sz w:val="22"/>
          <w:szCs w:val="22"/>
        </w:rPr>
        <w:t xml:space="preserve"> </w:t>
      </w:r>
      <w:r w:rsidR="001F0C50" w:rsidRPr="00DA6A99">
        <w:rPr>
          <w:rFonts w:cs="Arial"/>
          <w:sz w:val="22"/>
          <w:szCs w:val="22"/>
        </w:rPr>
        <w:t xml:space="preserve">podrían </w:t>
      </w:r>
      <w:r w:rsidR="001A1266" w:rsidRPr="00DA6A99">
        <w:rPr>
          <w:rFonts w:cs="Arial"/>
          <w:sz w:val="22"/>
          <w:szCs w:val="22"/>
        </w:rPr>
        <w:t>presentar incrementos</w:t>
      </w:r>
      <w:r w:rsidR="001F0C50" w:rsidRPr="00DA6A99">
        <w:rPr>
          <w:rFonts w:cs="Arial"/>
          <w:sz w:val="22"/>
          <w:szCs w:val="22"/>
        </w:rPr>
        <w:t xml:space="preserve"> sustancial</w:t>
      </w:r>
      <w:r w:rsidR="001A1266" w:rsidRPr="00DA6A99">
        <w:rPr>
          <w:rFonts w:cs="Arial"/>
          <w:sz w:val="22"/>
          <w:szCs w:val="22"/>
        </w:rPr>
        <w:t>es</w:t>
      </w:r>
      <w:r w:rsidR="001F0C50" w:rsidRPr="00DA6A99">
        <w:rPr>
          <w:rFonts w:cs="Arial"/>
          <w:sz w:val="22"/>
          <w:szCs w:val="22"/>
        </w:rPr>
        <w:t xml:space="preserve"> </w:t>
      </w:r>
      <w:r w:rsidR="00CE4924" w:rsidRPr="00DA6A99">
        <w:rPr>
          <w:rFonts w:cs="Arial"/>
          <w:sz w:val="22"/>
          <w:szCs w:val="22"/>
        </w:rPr>
        <w:t xml:space="preserve">en caso de </w:t>
      </w:r>
      <w:r w:rsidR="00BA6E12" w:rsidRPr="00DA6A99">
        <w:rPr>
          <w:rFonts w:cs="Arial"/>
          <w:sz w:val="22"/>
          <w:szCs w:val="22"/>
        </w:rPr>
        <w:t>presentarse una temporada de</w:t>
      </w:r>
      <w:r w:rsidR="002842C3" w:rsidRPr="00DA6A99">
        <w:rPr>
          <w:rFonts w:cs="Arial"/>
          <w:sz w:val="22"/>
          <w:szCs w:val="22"/>
        </w:rPr>
        <w:t xml:space="preserve"> </w:t>
      </w:r>
      <w:r w:rsidR="00B35B50" w:rsidRPr="00DA6A99">
        <w:rPr>
          <w:rFonts w:cs="Arial"/>
          <w:sz w:val="22"/>
          <w:szCs w:val="22"/>
        </w:rPr>
        <w:t xml:space="preserve">baja hidrología que afecte la </w:t>
      </w:r>
      <w:r w:rsidR="00CB31AA" w:rsidRPr="00DA6A99">
        <w:rPr>
          <w:rFonts w:cs="Arial"/>
          <w:sz w:val="22"/>
          <w:szCs w:val="22"/>
        </w:rPr>
        <w:t>oferta energética del país</w:t>
      </w:r>
      <w:r w:rsidR="00B35B50" w:rsidRPr="00DA6A99">
        <w:rPr>
          <w:rFonts w:cs="Arial"/>
          <w:sz w:val="22"/>
          <w:szCs w:val="22"/>
        </w:rPr>
        <w:t>.</w:t>
      </w:r>
    </w:p>
    <w:p w14:paraId="2F35BD0B" w14:textId="77777777" w:rsidR="00E074BF" w:rsidRPr="00DA6A99" w:rsidRDefault="00E074BF" w:rsidP="00CA7786">
      <w:pPr>
        <w:rPr>
          <w:rFonts w:cs="Arial"/>
          <w:sz w:val="22"/>
          <w:szCs w:val="22"/>
        </w:rPr>
      </w:pPr>
    </w:p>
    <w:p w14:paraId="531758AD" w14:textId="020E22BE" w:rsidR="00E074BF" w:rsidRPr="00DA6A99" w:rsidRDefault="00E074BF" w:rsidP="00CA7786">
      <w:pPr>
        <w:rPr>
          <w:rFonts w:cs="Arial"/>
          <w:sz w:val="22"/>
          <w:szCs w:val="22"/>
        </w:rPr>
      </w:pPr>
      <w:r w:rsidRPr="00DA6A99">
        <w:rPr>
          <w:rFonts w:cs="Arial"/>
          <w:sz w:val="22"/>
          <w:szCs w:val="22"/>
        </w:rPr>
        <w:t xml:space="preserve">Una mayor </w:t>
      </w:r>
      <w:r w:rsidR="005D7584" w:rsidRPr="00DA6A99">
        <w:rPr>
          <w:rFonts w:cs="Arial"/>
          <w:sz w:val="22"/>
          <w:szCs w:val="22"/>
        </w:rPr>
        <w:t>co</w:t>
      </w:r>
      <w:r w:rsidR="005D5F0D" w:rsidRPr="00DA6A99">
        <w:rPr>
          <w:rFonts w:cs="Arial"/>
          <w:sz w:val="22"/>
          <w:szCs w:val="22"/>
        </w:rPr>
        <w:t>ntratación</w:t>
      </w:r>
      <w:r w:rsidR="002E312B" w:rsidRPr="00DA6A99">
        <w:rPr>
          <w:rFonts w:cs="Arial"/>
          <w:sz w:val="22"/>
          <w:szCs w:val="22"/>
        </w:rPr>
        <w:t xml:space="preserve"> a través de convocatorias públicas</w:t>
      </w:r>
      <w:r w:rsidR="00B9477C" w:rsidRPr="00DA6A99">
        <w:rPr>
          <w:rFonts w:cs="Arial"/>
          <w:sz w:val="22"/>
          <w:szCs w:val="22"/>
        </w:rPr>
        <w:t xml:space="preserve"> para los próximos meses </w:t>
      </w:r>
      <w:r w:rsidR="00473E1F" w:rsidRPr="00DA6A99">
        <w:rPr>
          <w:rFonts w:cs="Arial"/>
          <w:sz w:val="22"/>
          <w:szCs w:val="22"/>
        </w:rPr>
        <w:t xml:space="preserve">permitiría que los usuarios regulados contaran con </w:t>
      </w:r>
      <w:r w:rsidR="00013A0C" w:rsidRPr="00DA6A99">
        <w:rPr>
          <w:rFonts w:cs="Arial"/>
          <w:sz w:val="22"/>
          <w:szCs w:val="22"/>
        </w:rPr>
        <w:t>mejor</w:t>
      </w:r>
      <w:r w:rsidR="00473E1F" w:rsidRPr="00DA6A99">
        <w:rPr>
          <w:rFonts w:cs="Arial"/>
          <w:sz w:val="22"/>
          <w:szCs w:val="22"/>
        </w:rPr>
        <w:t xml:space="preserve"> cobertura </w:t>
      </w:r>
      <w:r w:rsidR="00013A0C" w:rsidRPr="00DA6A99">
        <w:rPr>
          <w:rFonts w:cs="Arial"/>
          <w:sz w:val="22"/>
          <w:szCs w:val="22"/>
        </w:rPr>
        <w:t xml:space="preserve">frente a una alta volatilidad en el precio </w:t>
      </w:r>
      <w:r w:rsidR="00473E1F" w:rsidRPr="00DA6A99">
        <w:rPr>
          <w:rFonts w:cs="Arial"/>
          <w:sz w:val="22"/>
          <w:szCs w:val="22"/>
        </w:rPr>
        <w:t xml:space="preserve">de </w:t>
      </w:r>
      <w:r w:rsidR="00013A0C" w:rsidRPr="00DA6A99">
        <w:rPr>
          <w:rFonts w:cs="Arial"/>
          <w:sz w:val="22"/>
          <w:szCs w:val="22"/>
        </w:rPr>
        <w:t>la bolsa de energía. Comportamiento</w:t>
      </w:r>
      <w:r w:rsidR="003569DA" w:rsidRPr="00DA6A99">
        <w:rPr>
          <w:rFonts w:cs="Arial"/>
          <w:sz w:val="22"/>
          <w:szCs w:val="22"/>
        </w:rPr>
        <w:t xml:space="preserve"> que resulta</w:t>
      </w:r>
      <w:r w:rsidR="00013A0C" w:rsidRPr="00DA6A99">
        <w:rPr>
          <w:rFonts w:cs="Arial"/>
          <w:sz w:val="22"/>
          <w:szCs w:val="22"/>
        </w:rPr>
        <w:t xml:space="preserve"> previsible en </w:t>
      </w:r>
      <w:r w:rsidR="00876DF1" w:rsidRPr="00DA6A99">
        <w:rPr>
          <w:rFonts w:cs="Arial"/>
          <w:sz w:val="22"/>
          <w:szCs w:val="22"/>
        </w:rPr>
        <w:t xml:space="preserve">periodos </w:t>
      </w:r>
      <w:r w:rsidR="00FC2880" w:rsidRPr="00DA6A99">
        <w:rPr>
          <w:rFonts w:cs="Arial"/>
          <w:sz w:val="22"/>
          <w:szCs w:val="22"/>
        </w:rPr>
        <w:t>de Fenómeno del Niño</w:t>
      </w:r>
      <w:r w:rsidR="004D73AA" w:rsidRPr="00DA6A99">
        <w:rPr>
          <w:rFonts w:cs="Arial"/>
          <w:sz w:val="22"/>
          <w:szCs w:val="22"/>
        </w:rPr>
        <w:t xml:space="preserve">, como se </w:t>
      </w:r>
      <w:r w:rsidR="00D20AE0" w:rsidRPr="00DA6A99">
        <w:rPr>
          <w:rFonts w:cs="Arial"/>
          <w:sz w:val="22"/>
          <w:szCs w:val="22"/>
        </w:rPr>
        <w:t>observa en las gráficas presentadas</w:t>
      </w:r>
      <w:r w:rsidR="003E4B1D" w:rsidRPr="00DA6A99">
        <w:rPr>
          <w:rFonts w:cs="Arial"/>
          <w:sz w:val="22"/>
          <w:szCs w:val="22"/>
        </w:rPr>
        <w:t xml:space="preserve"> en el capítulo anterior</w:t>
      </w:r>
      <w:r w:rsidR="00FC2880" w:rsidRPr="00DA6A99">
        <w:rPr>
          <w:rFonts w:cs="Arial"/>
          <w:sz w:val="22"/>
          <w:szCs w:val="22"/>
        </w:rPr>
        <w:t>.</w:t>
      </w:r>
    </w:p>
    <w:p w14:paraId="4EBFD975" w14:textId="77777777" w:rsidR="004A2871" w:rsidRPr="00DA6A99" w:rsidRDefault="004A2871" w:rsidP="00CA7786">
      <w:pPr>
        <w:rPr>
          <w:rFonts w:cs="Arial"/>
          <w:sz w:val="22"/>
          <w:szCs w:val="22"/>
        </w:rPr>
      </w:pPr>
    </w:p>
    <w:p w14:paraId="44940947" w14:textId="07514958" w:rsidR="00C73F6B" w:rsidRPr="00DA6A99" w:rsidRDefault="00125CA5" w:rsidP="00CA7786">
      <w:pPr>
        <w:pStyle w:val="Ttulo2"/>
        <w:numPr>
          <w:ilvl w:val="1"/>
          <w:numId w:val="19"/>
        </w:numPr>
        <w:spacing w:after="0"/>
        <w:rPr>
          <w:rFonts w:cs="Arial"/>
          <w:sz w:val="22"/>
          <w:szCs w:val="22"/>
        </w:rPr>
      </w:pPr>
      <w:bookmarkStart w:id="18" w:name="_Toc144899067"/>
      <w:r w:rsidRPr="00DA6A99">
        <w:rPr>
          <w:rFonts w:cs="Arial"/>
          <w:sz w:val="22"/>
          <w:szCs w:val="22"/>
        </w:rPr>
        <w:t>Reducción</w:t>
      </w:r>
      <w:r w:rsidR="003F2DA9" w:rsidRPr="00DA6A99">
        <w:rPr>
          <w:rFonts w:cs="Arial"/>
          <w:sz w:val="22"/>
          <w:szCs w:val="22"/>
        </w:rPr>
        <w:t xml:space="preserve"> de los tiempos de ejecución de las convocatorias </w:t>
      </w:r>
      <w:r w:rsidR="005215FC" w:rsidRPr="00DA6A99">
        <w:rPr>
          <w:rFonts w:cs="Arial"/>
          <w:sz w:val="22"/>
          <w:szCs w:val="22"/>
        </w:rPr>
        <w:t>públicas reglamentadas mediante</w:t>
      </w:r>
      <w:r w:rsidR="003F2DA9" w:rsidRPr="00DA6A99">
        <w:rPr>
          <w:rFonts w:cs="Arial"/>
          <w:sz w:val="22"/>
          <w:szCs w:val="22"/>
        </w:rPr>
        <w:t xml:space="preserve"> Res</w:t>
      </w:r>
      <w:r w:rsidR="005215FC" w:rsidRPr="00DA6A99">
        <w:rPr>
          <w:rFonts w:cs="Arial"/>
          <w:sz w:val="22"/>
          <w:szCs w:val="22"/>
        </w:rPr>
        <w:t>olución</w:t>
      </w:r>
      <w:r w:rsidR="003F2DA9" w:rsidRPr="00DA6A99">
        <w:rPr>
          <w:rFonts w:cs="Arial"/>
          <w:sz w:val="22"/>
          <w:szCs w:val="22"/>
        </w:rPr>
        <w:t xml:space="preserve"> CREG 130</w:t>
      </w:r>
      <w:r w:rsidR="005215FC" w:rsidRPr="00DA6A99">
        <w:rPr>
          <w:rFonts w:cs="Arial"/>
          <w:sz w:val="22"/>
          <w:szCs w:val="22"/>
        </w:rPr>
        <w:t xml:space="preserve"> de 20</w:t>
      </w:r>
      <w:r w:rsidR="003F2DA9" w:rsidRPr="00DA6A99">
        <w:rPr>
          <w:rFonts w:cs="Arial"/>
          <w:sz w:val="22"/>
          <w:szCs w:val="22"/>
        </w:rPr>
        <w:t>19</w:t>
      </w:r>
      <w:bookmarkEnd w:id="18"/>
    </w:p>
    <w:p w14:paraId="1D6F0A27" w14:textId="77777777" w:rsidR="00972989" w:rsidRPr="00DA6A99" w:rsidRDefault="00972989" w:rsidP="00CA7786">
      <w:pPr>
        <w:rPr>
          <w:rFonts w:cs="Arial"/>
          <w:sz w:val="22"/>
          <w:szCs w:val="22"/>
        </w:rPr>
      </w:pPr>
    </w:p>
    <w:p w14:paraId="3DF54609" w14:textId="14835254" w:rsidR="00972989" w:rsidRPr="00DA6A99" w:rsidRDefault="00972989" w:rsidP="00CA7786">
      <w:pPr>
        <w:rPr>
          <w:rFonts w:cs="Arial"/>
          <w:sz w:val="22"/>
          <w:szCs w:val="22"/>
        </w:rPr>
      </w:pPr>
      <w:r w:rsidRPr="00DA6A99">
        <w:rPr>
          <w:rFonts w:cs="Arial"/>
          <w:sz w:val="22"/>
          <w:szCs w:val="22"/>
        </w:rPr>
        <w:t>De acuerdo con el análisis adelantado por esta Comisión y con base en l</w:t>
      </w:r>
      <w:r w:rsidR="00320D6D" w:rsidRPr="00DA6A99">
        <w:rPr>
          <w:rFonts w:cs="Arial"/>
          <w:sz w:val="22"/>
          <w:szCs w:val="22"/>
        </w:rPr>
        <w:t xml:space="preserve">o señalado por distintos </w:t>
      </w:r>
      <w:r w:rsidR="004A75E3" w:rsidRPr="00DA6A99">
        <w:rPr>
          <w:rFonts w:cs="Arial"/>
          <w:sz w:val="22"/>
          <w:szCs w:val="22"/>
        </w:rPr>
        <w:t>comercializadores entrevistados</w:t>
      </w:r>
      <w:r w:rsidR="00805DEA" w:rsidRPr="00DA6A99">
        <w:rPr>
          <w:rFonts w:cs="Arial"/>
          <w:sz w:val="22"/>
          <w:szCs w:val="22"/>
        </w:rPr>
        <w:t xml:space="preserve">, </w:t>
      </w:r>
      <w:r w:rsidR="005215FC" w:rsidRPr="00DA6A99">
        <w:rPr>
          <w:rFonts w:cs="Arial"/>
          <w:sz w:val="22"/>
          <w:szCs w:val="22"/>
        </w:rPr>
        <w:t>una reducción sustancial en los tiempos de ejecución de las convocatorias públicas</w:t>
      </w:r>
      <w:r w:rsidR="00EC27B8" w:rsidRPr="00DA6A99">
        <w:rPr>
          <w:rFonts w:cs="Arial"/>
          <w:sz w:val="22"/>
          <w:szCs w:val="22"/>
        </w:rPr>
        <w:t xml:space="preserve"> </w:t>
      </w:r>
      <w:r w:rsidR="00EA18AC" w:rsidRPr="00DA6A99">
        <w:rPr>
          <w:rFonts w:cs="Arial"/>
          <w:sz w:val="22"/>
          <w:szCs w:val="22"/>
        </w:rPr>
        <w:t>les</w:t>
      </w:r>
      <w:r w:rsidR="00EC27B8" w:rsidRPr="00DA6A99">
        <w:rPr>
          <w:rFonts w:cs="Arial"/>
          <w:sz w:val="22"/>
          <w:szCs w:val="22"/>
        </w:rPr>
        <w:t xml:space="preserve"> permitiría</w:t>
      </w:r>
      <w:r w:rsidR="00C460AD" w:rsidRPr="00DA6A99">
        <w:rPr>
          <w:rFonts w:cs="Arial"/>
          <w:sz w:val="22"/>
          <w:szCs w:val="22"/>
        </w:rPr>
        <w:t xml:space="preserve"> realizar compras de energía e</w:t>
      </w:r>
      <w:r w:rsidR="00F72FD7" w:rsidRPr="00DA6A99">
        <w:rPr>
          <w:rFonts w:cs="Arial"/>
          <w:sz w:val="22"/>
          <w:szCs w:val="22"/>
        </w:rPr>
        <w:t xml:space="preserve">n </w:t>
      </w:r>
      <w:r w:rsidR="00D86121" w:rsidRPr="00DA6A99">
        <w:rPr>
          <w:rFonts w:cs="Arial"/>
          <w:sz w:val="22"/>
          <w:szCs w:val="22"/>
        </w:rPr>
        <w:t>menores</w:t>
      </w:r>
      <w:r w:rsidR="00F72FD7" w:rsidRPr="00DA6A99">
        <w:rPr>
          <w:rFonts w:cs="Arial"/>
          <w:sz w:val="22"/>
          <w:szCs w:val="22"/>
        </w:rPr>
        <w:t xml:space="preserve"> tiempo</w:t>
      </w:r>
      <w:r w:rsidR="00D86121" w:rsidRPr="00DA6A99">
        <w:rPr>
          <w:rFonts w:cs="Arial"/>
          <w:sz w:val="22"/>
          <w:szCs w:val="22"/>
        </w:rPr>
        <w:t>s</w:t>
      </w:r>
      <w:r w:rsidR="009F22B4" w:rsidRPr="00DA6A99">
        <w:rPr>
          <w:rFonts w:cs="Arial"/>
          <w:sz w:val="22"/>
          <w:szCs w:val="22"/>
        </w:rPr>
        <w:t xml:space="preserve">. </w:t>
      </w:r>
      <w:r w:rsidR="00BC7FBC" w:rsidRPr="00DA6A99">
        <w:rPr>
          <w:rFonts w:cs="Arial"/>
          <w:sz w:val="22"/>
          <w:szCs w:val="22"/>
        </w:rPr>
        <w:t>Con esas compras</w:t>
      </w:r>
      <w:r w:rsidR="00AE7314" w:rsidRPr="00DA6A99">
        <w:rPr>
          <w:rFonts w:cs="Arial"/>
          <w:sz w:val="22"/>
          <w:szCs w:val="22"/>
        </w:rPr>
        <w:t xml:space="preserve"> </w:t>
      </w:r>
      <w:r w:rsidR="00667762" w:rsidRPr="00DA6A99">
        <w:rPr>
          <w:rFonts w:cs="Arial"/>
          <w:sz w:val="22"/>
          <w:szCs w:val="22"/>
        </w:rPr>
        <w:t>la</w:t>
      </w:r>
      <w:r w:rsidR="00DF2D76" w:rsidRPr="00DA6A99">
        <w:rPr>
          <w:rFonts w:cs="Arial"/>
          <w:sz w:val="22"/>
          <w:szCs w:val="22"/>
        </w:rPr>
        <w:t xml:space="preserve"> demanda regulada</w:t>
      </w:r>
      <w:r w:rsidR="00F7264F" w:rsidRPr="00DA6A99">
        <w:rPr>
          <w:rFonts w:cs="Arial"/>
          <w:sz w:val="22"/>
          <w:szCs w:val="22"/>
        </w:rPr>
        <w:t xml:space="preserve"> </w:t>
      </w:r>
      <w:r w:rsidR="00667762" w:rsidRPr="00DA6A99">
        <w:rPr>
          <w:rFonts w:cs="Arial"/>
          <w:sz w:val="22"/>
          <w:szCs w:val="22"/>
        </w:rPr>
        <w:t>tendría una mayor cobertura</w:t>
      </w:r>
      <w:r w:rsidR="00F7264F" w:rsidRPr="00DA6A99">
        <w:rPr>
          <w:rFonts w:cs="Arial"/>
          <w:sz w:val="22"/>
          <w:szCs w:val="22"/>
        </w:rPr>
        <w:t xml:space="preserve"> de manera oportuna</w:t>
      </w:r>
      <w:r w:rsidR="00DF2D76" w:rsidRPr="00DA6A99">
        <w:rPr>
          <w:rFonts w:cs="Arial"/>
          <w:sz w:val="22"/>
          <w:szCs w:val="22"/>
        </w:rPr>
        <w:t>, frente a incrementos</w:t>
      </w:r>
      <w:r w:rsidR="00F7264F" w:rsidRPr="00DA6A99">
        <w:rPr>
          <w:rFonts w:cs="Arial"/>
          <w:sz w:val="22"/>
          <w:szCs w:val="22"/>
        </w:rPr>
        <w:t xml:space="preserve"> </w:t>
      </w:r>
      <w:r w:rsidR="00775417" w:rsidRPr="00DA6A99">
        <w:rPr>
          <w:rFonts w:cs="Arial"/>
          <w:sz w:val="22"/>
          <w:szCs w:val="22"/>
        </w:rPr>
        <w:t>sustanciales en los precios de la bolsa de energía</w:t>
      </w:r>
      <w:r w:rsidR="00622D95" w:rsidRPr="00DA6A99">
        <w:rPr>
          <w:rFonts w:cs="Arial"/>
          <w:sz w:val="22"/>
          <w:szCs w:val="22"/>
        </w:rPr>
        <w:t xml:space="preserve"> como consecuencia de </w:t>
      </w:r>
      <w:r w:rsidR="006F31B6" w:rsidRPr="00DA6A99">
        <w:rPr>
          <w:rFonts w:cs="Arial"/>
          <w:sz w:val="22"/>
          <w:szCs w:val="22"/>
        </w:rPr>
        <w:t xml:space="preserve">la </w:t>
      </w:r>
      <w:r w:rsidR="00F75AE4" w:rsidRPr="00DA6A99">
        <w:rPr>
          <w:rFonts w:cs="Arial"/>
          <w:sz w:val="22"/>
          <w:szCs w:val="22"/>
        </w:rPr>
        <w:t xml:space="preserve">eventual </w:t>
      </w:r>
      <w:r w:rsidR="006F31B6" w:rsidRPr="00DA6A99">
        <w:rPr>
          <w:rFonts w:cs="Arial"/>
          <w:sz w:val="22"/>
          <w:szCs w:val="22"/>
        </w:rPr>
        <w:t>llegada del Fenómeno del Niño</w:t>
      </w:r>
      <w:r w:rsidR="00995A47" w:rsidRPr="00DA6A99">
        <w:rPr>
          <w:rFonts w:cs="Arial"/>
          <w:sz w:val="22"/>
          <w:szCs w:val="22"/>
        </w:rPr>
        <w:t xml:space="preserve"> para los últimos meses del año</w:t>
      </w:r>
      <w:r w:rsidR="006F31B6" w:rsidRPr="00DA6A99">
        <w:rPr>
          <w:rFonts w:cs="Arial"/>
          <w:sz w:val="22"/>
          <w:szCs w:val="22"/>
        </w:rPr>
        <w:t>.</w:t>
      </w:r>
    </w:p>
    <w:p w14:paraId="668DCFF6" w14:textId="77777777" w:rsidR="00051891" w:rsidRPr="00DA6A99" w:rsidRDefault="00051891" w:rsidP="00CA7786">
      <w:pPr>
        <w:rPr>
          <w:rFonts w:cs="Arial"/>
          <w:sz w:val="22"/>
          <w:szCs w:val="22"/>
        </w:rPr>
      </w:pPr>
    </w:p>
    <w:p w14:paraId="0852E415" w14:textId="3F453E88" w:rsidR="00051891" w:rsidRPr="00DA6A99" w:rsidRDefault="00690C77" w:rsidP="00CA7786">
      <w:pPr>
        <w:rPr>
          <w:rFonts w:cs="Arial"/>
          <w:sz w:val="22"/>
          <w:szCs w:val="22"/>
        </w:rPr>
      </w:pPr>
      <w:r w:rsidRPr="00DA6A99">
        <w:rPr>
          <w:rFonts w:cs="Arial"/>
          <w:sz w:val="22"/>
          <w:szCs w:val="22"/>
        </w:rPr>
        <w:t>El tiempo transcurrido desde la expedición de la Resolución CREG 130 de 2019 (</w:t>
      </w:r>
      <w:r w:rsidR="00FB17D1" w:rsidRPr="00DA6A99">
        <w:rPr>
          <w:rFonts w:cs="Arial"/>
          <w:sz w:val="22"/>
          <w:szCs w:val="22"/>
        </w:rPr>
        <w:t xml:space="preserve">casi </w:t>
      </w:r>
      <w:r w:rsidR="00170C77" w:rsidRPr="00DA6A99">
        <w:rPr>
          <w:rFonts w:cs="Arial"/>
          <w:sz w:val="22"/>
          <w:szCs w:val="22"/>
        </w:rPr>
        <w:t>4 años)</w:t>
      </w:r>
      <w:r w:rsidR="00B54847" w:rsidRPr="00DA6A99">
        <w:rPr>
          <w:rFonts w:cs="Arial"/>
          <w:sz w:val="22"/>
          <w:szCs w:val="22"/>
        </w:rPr>
        <w:t xml:space="preserve"> ha permitido que tanto compradores como vendedores hayan adquirido </w:t>
      </w:r>
      <w:r w:rsidR="00326DC2" w:rsidRPr="00DA6A99">
        <w:rPr>
          <w:rFonts w:cs="Arial"/>
          <w:sz w:val="22"/>
          <w:szCs w:val="22"/>
        </w:rPr>
        <w:t>l</w:t>
      </w:r>
      <w:r w:rsidR="00B54847" w:rsidRPr="00DA6A99">
        <w:rPr>
          <w:rFonts w:cs="Arial"/>
          <w:sz w:val="22"/>
          <w:szCs w:val="22"/>
        </w:rPr>
        <w:t xml:space="preserve">a experiencia </w:t>
      </w:r>
      <w:r w:rsidR="00326DC2" w:rsidRPr="00DA6A99">
        <w:rPr>
          <w:rFonts w:cs="Arial"/>
          <w:sz w:val="22"/>
          <w:szCs w:val="22"/>
        </w:rPr>
        <w:t xml:space="preserve">requerida para </w:t>
      </w:r>
      <w:r w:rsidR="00712C1C" w:rsidRPr="00DA6A99">
        <w:rPr>
          <w:rFonts w:cs="Arial"/>
          <w:sz w:val="22"/>
          <w:szCs w:val="22"/>
        </w:rPr>
        <w:t>poder adelantar estos procesos de contratación en tiempos más cortos a los establecidos inicialmente</w:t>
      </w:r>
      <w:r w:rsidR="000D56E5" w:rsidRPr="00DA6A99">
        <w:rPr>
          <w:rFonts w:cs="Arial"/>
          <w:sz w:val="22"/>
          <w:szCs w:val="22"/>
        </w:rPr>
        <w:t xml:space="preserve">. </w:t>
      </w:r>
      <w:r w:rsidR="00C264EA" w:rsidRPr="00DA6A99">
        <w:rPr>
          <w:rFonts w:cs="Arial"/>
          <w:sz w:val="22"/>
          <w:szCs w:val="22"/>
        </w:rPr>
        <w:t>Esto gracias a</w:t>
      </w:r>
      <w:r w:rsidR="00AA18D3" w:rsidRPr="00DA6A99">
        <w:rPr>
          <w:rFonts w:cs="Arial"/>
          <w:sz w:val="22"/>
          <w:szCs w:val="22"/>
        </w:rPr>
        <w:t xml:space="preserve"> que el procedimiento está estandarizado</w:t>
      </w:r>
      <w:r w:rsidR="000D56E5" w:rsidRPr="00DA6A99">
        <w:rPr>
          <w:rFonts w:cs="Arial"/>
          <w:sz w:val="22"/>
          <w:szCs w:val="22"/>
        </w:rPr>
        <w:t xml:space="preserve"> en </w:t>
      </w:r>
      <w:r w:rsidR="007E61AB" w:rsidRPr="00DA6A99">
        <w:rPr>
          <w:rFonts w:cs="Arial"/>
          <w:sz w:val="22"/>
          <w:szCs w:val="22"/>
        </w:rPr>
        <w:lastRenderedPageBreak/>
        <w:t>cuanto a</w:t>
      </w:r>
      <w:r w:rsidR="00C264EA" w:rsidRPr="00DA6A99">
        <w:rPr>
          <w:rFonts w:cs="Arial"/>
          <w:sz w:val="22"/>
          <w:szCs w:val="22"/>
        </w:rPr>
        <w:t xml:space="preserve"> </w:t>
      </w:r>
      <w:r w:rsidR="00056C9E" w:rsidRPr="00DA6A99">
        <w:rPr>
          <w:rFonts w:cs="Arial"/>
          <w:sz w:val="22"/>
          <w:szCs w:val="22"/>
        </w:rPr>
        <w:t>plazos</w:t>
      </w:r>
      <w:r w:rsidR="000D56E5" w:rsidRPr="00DA6A99">
        <w:rPr>
          <w:rFonts w:cs="Arial"/>
          <w:sz w:val="22"/>
          <w:szCs w:val="22"/>
        </w:rPr>
        <w:t xml:space="preserve"> y trámites que se </w:t>
      </w:r>
      <w:r w:rsidR="00C264EA" w:rsidRPr="00DA6A99">
        <w:rPr>
          <w:rFonts w:cs="Arial"/>
          <w:sz w:val="22"/>
          <w:szCs w:val="22"/>
        </w:rPr>
        <w:t xml:space="preserve">deben </w:t>
      </w:r>
      <w:r w:rsidR="000D56E5" w:rsidRPr="00DA6A99">
        <w:rPr>
          <w:rFonts w:cs="Arial"/>
          <w:sz w:val="22"/>
          <w:szCs w:val="22"/>
        </w:rPr>
        <w:t>adelanta</w:t>
      </w:r>
      <w:r w:rsidR="00C264EA" w:rsidRPr="00DA6A99">
        <w:rPr>
          <w:rFonts w:cs="Arial"/>
          <w:sz w:val="22"/>
          <w:szCs w:val="22"/>
        </w:rPr>
        <w:t>r</w:t>
      </w:r>
      <w:r w:rsidR="000D56E5" w:rsidRPr="00DA6A99">
        <w:rPr>
          <w:rFonts w:cs="Arial"/>
          <w:sz w:val="22"/>
          <w:szCs w:val="22"/>
        </w:rPr>
        <w:t xml:space="preserve"> en </w:t>
      </w:r>
      <w:r w:rsidR="00056C9E" w:rsidRPr="00DA6A99">
        <w:rPr>
          <w:rFonts w:cs="Arial"/>
          <w:sz w:val="22"/>
          <w:szCs w:val="22"/>
        </w:rPr>
        <w:t xml:space="preserve">el marco de </w:t>
      </w:r>
      <w:r w:rsidR="00F9266B" w:rsidRPr="00DA6A99">
        <w:rPr>
          <w:rFonts w:cs="Arial"/>
          <w:sz w:val="22"/>
          <w:szCs w:val="22"/>
        </w:rPr>
        <w:t>las</w:t>
      </w:r>
      <w:r w:rsidR="00056C9E" w:rsidRPr="00DA6A99">
        <w:rPr>
          <w:rFonts w:cs="Arial"/>
          <w:sz w:val="22"/>
          <w:szCs w:val="22"/>
        </w:rPr>
        <w:t xml:space="preserve"> </w:t>
      </w:r>
      <w:r w:rsidR="00D20D06" w:rsidRPr="00DA6A99">
        <w:rPr>
          <w:rFonts w:cs="Arial"/>
          <w:sz w:val="22"/>
          <w:szCs w:val="22"/>
        </w:rPr>
        <w:t>convocatorias públicas</w:t>
      </w:r>
      <w:r w:rsidR="00F9266B" w:rsidRPr="00DA6A99">
        <w:rPr>
          <w:rFonts w:cs="Arial"/>
          <w:sz w:val="22"/>
          <w:szCs w:val="22"/>
        </w:rPr>
        <w:t xml:space="preserve"> adelantadas por comercializadores que atienden demanda regulada</w:t>
      </w:r>
      <w:r w:rsidR="00C264EA" w:rsidRPr="00DA6A99">
        <w:rPr>
          <w:rFonts w:cs="Arial"/>
          <w:sz w:val="22"/>
          <w:szCs w:val="22"/>
        </w:rPr>
        <w:t>.</w:t>
      </w:r>
    </w:p>
    <w:p w14:paraId="42336E3B" w14:textId="77777777" w:rsidR="006F31B6" w:rsidRPr="00DA6A99" w:rsidRDefault="006F31B6" w:rsidP="00CA7786">
      <w:pPr>
        <w:rPr>
          <w:rFonts w:cs="Arial"/>
          <w:sz w:val="22"/>
          <w:szCs w:val="22"/>
        </w:rPr>
      </w:pPr>
    </w:p>
    <w:p w14:paraId="75027939" w14:textId="7F20004A" w:rsidR="00995A47" w:rsidRPr="00DA6A99" w:rsidRDefault="00C264EA" w:rsidP="00CA7786">
      <w:pPr>
        <w:rPr>
          <w:rFonts w:cs="Arial"/>
          <w:sz w:val="22"/>
          <w:szCs w:val="22"/>
        </w:rPr>
      </w:pPr>
      <w:r w:rsidRPr="00DA6A99">
        <w:rPr>
          <w:rFonts w:cs="Arial"/>
          <w:sz w:val="22"/>
          <w:szCs w:val="22"/>
        </w:rPr>
        <w:t>Por lo anterior</w:t>
      </w:r>
      <w:r w:rsidR="00C131ED" w:rsidRPr="00DA6A99">
        <w:rPr>
          <w:rFonts w:cs="Arial"/>
          <w:sz w:val="22"/>
          <w:szCs w:val="22"/>
        </w:rPr>
        <w:t xml:space="preserve">, </w:t>
      </w:r>
      <w:r w:rsidRPr="00DA6A99">
        <w:rPr>
          <w:rFonts w:cs="Arial"/>
          <w:sz w:val="22"/>
          <w:szCs w:val="22"/>
        </w:rPr>
        <w:t>esta Comisión</w:t>
      </w:r>
      <w:r w:rsidR="00C131ED" w:rsidRPr="00DA6A99">
        <w:rPr>
          <w:rFonts w:cs="Arial"/>
          <w:sz w:val="22"/>
          <w:szCs w:val="22"/>
        </w:rPr>
        <w:t xml:space="preserve"> propone</w:t>
      </w:r>
      <w:r w:rsidR="00051891" w:rsidRPr="00DA6A99">
        <w:rPr>
          <w:rFonts w:cs="Arial"/>
          <w:sz w:val="22"/>
          <w:szCs w:val="22"/>
        </w:rPr>
        <w:t xml:space="preserve"> reducir los tiempos esta</w:t>
      </w:r>
      <w:r w:rsidRPr="00DA6A99">
        <w:rPr>
          <w:rFonts w:cs="Arial"/>
          <w:sz w:val="22"/>
          <w:szCs w:val="22"/>
        </w:rPr>
        <w:t xml:space="preserve">blecidos para </w:t>
      </w:r>
      <w:r w:rsidR="00F9266B" w:rsidRPr="00DA6A99">
        <w:rPr>
          <w:rFonts w:cs="Arial"/>
          <w:sz w:val="22"/>
          <w:szCs w:val="22"/>
        </w:rPr>
        <w:t>los</w:t>
      </w:r>
      <w:r w:rsidRPr="00DA6A99">
        <w:rPr>
          <w:rFonts w:cs="Arial"/>
          <w:sz w:val="22"/>
          <w:szCs w:val="22"/>
        </w:rPr>
        <w:t xml:space="preserve"> siguientes </w:t>
      </w:r>
      <w:r w:rsidR="00F9266B" w:rsidRPr="00DA6A99">
        <w:rPr>
          <w:rFonts w:cs="Arial"/>
          <w:sz w:val="22"/>
          <w:szCs w:val="22"/>
        </w:rPr>
        <w:t>hitos</w:t>
      </w:r>
      <w:r w:rsidR="004E0223" w:rsidRPr="00DA6A99">
        <w:rPr>
          <w:rFonts w:cs="Arial"/>
          <w:sz w:val="22"/>
          <w:szCs w:val="22"/>
        </w:rPr>
        <w:t xml:space="preserve"> de una convocatoria pública:</w:t>
      </w:r>
    </w:p>
    <w:p w14:paraId="09B94CD4" w14:textId="77777777" w:rsidR="004E0223" w:rsidRPr="00DA6A99" w:rsidRDefault="004E0223" w:rsidP="00CA7786">
      <w:pPr>
        <w:rPr>
          <w:rFonts w:cs="Arial"/>
          <w:sz w:val="22"/>
          <w:szCs w:val="22"/>
        </w:rPr>
      </w:pPr>
    </w:p>
    <w:p w14:paraId="3AD7B31B" w14:textId="06A66421" w:rsidR="004E0223" w:rsidRPr="00DA6A99" w:rsidRDefault="00FE08A1" w:rsidP="00CA7786">
      <w:pPr>
        <w:pStyle w:val="Prrafodelista"/>
        <w:numPr>
          <w:ilvl w:val="0"/>
          <w:numId w:val="14"/>
        </w:numPr>
        <w:ind w:left="709" w:hanging="425"/>
        <w:contextualSpacing w:val="0"/>
        <w:rPr>
          <w:rFonts w:cs="Arial"/>
          <w:sz w:val="22"/>
          <w:szCs w:val="22"/>
        </w:rPr>
      </w:pPr>
      <w:r w:rsidRPr="00DA6A99">
        <w:rPr>
          <w:rFonts w:cs="Arial"/>
          <w:i/>
          <w:sz w:val="22"/>
          <w:szCs w:val="22"/>
        </w:rPr>
        <w:t>Tiempo</w:t>
      </w:r>
      <w:r w:rsidR="008671F9" w:rsidRPr="00DA6A99">
        <w:rPr>
          <w:rFonts w:cs="Arial"/>
          <w:i/>
          <w:sz w:val="22"/>
          <w:szCs w:val="22"/>
        </w:rPr>
        <w:t xml:space="preserve"> máximo</w:t>
      </w:r>
      <w:r w:rsidRPr="00DA6A99">
        <w:rPr>
          <w:rFonts w:cs="Arial"/>
          <w:i/>
          <w:sz w:val="22"/>
          <w:szCs w:val="22"/>
        </w:rPr>
        <w:t xml:space="preserve"> entre la fecha de publicación de pliegos de condiciones para consulta y la publicación de pliegos definitivos</w:t>
      </w:r>
      <w:r w:rsidRPr="00DA6A99">
        <w:rPr>
          <w:rFonts w:cs="Arial"/>
          <w:sz w:val="22"/>
          <w:szCs w:val="22"/>
        </w:rPr>
        <w:t xml:space="preserve">: </w:t>
      </w:r>
      <w:r w:rsidR="005F45DB" w:rsidRPr="00DA6A99">
        <w:rPr>
          <w:rFonts w:cs="Arial"/>
          <w:sz w:val="22"/>
          <w:szCs w:val="22"/>
        </w:rPr>
        <w:t>pasa de 15 a 5 días hábiles.</w:t>
      </w:r>
    </w:p>
    <w:p w14:paraId="7B8267A6" w14:textId="77777777" w:rsidR="005F45DB" w:rsidRPr="00DA6A99" w:rsidRDefault="005F45DB" w:rsidP="00CA7786">
      <w:pPr>
        <w:pStyle w:val="Prrafodelista"/>
        <w:ind w:left="709" w:hanging="425"/>
        <w:contextualSpacing w:val="0"/>
        <w:rPr>
          <w:rFonts w:cs="Arial"/>
          <w:sz w:val="22"/>
          <w:szCs w:val="22"/>
        </w:rPr>
      </w:pPr>
    </w:p>
    <w:p w14:paraId="60ED4C0E" w14:textId="32FEB905" w:rsidR="005F45DB" w:rsidRPr="00DA6A99" w:rsidRDefault="008655ED" w:rsidP="00CA7786">
      <w:pPr>
        <w:pStyle w:val="Prrafodelista"/>
        <w:numPr>
          <w:ilvl w:val="0"/>
          <w:numId w:val="14"/>
        </w:numPr>
        <w:ind w:left="709" w:hanging="425"/>
        <w:contextualSpacing w:val="0"/>
        <w:rPr>
          <w:rFonts w:cs="Arial"/>
          <w:sz w:val="22"/>
          <w:szCs w:val="22"/>
        </w:rPr>
      </w:pPr>
      <w:r w:rsidRPr="00DA6A99">
        <w:rPr>
          <w:rFonts w:cs="Arial"/>
          <w:i/>
          <w:sz w:val="22"/>
          <w:szCs w:val="22"/>
        </w:rPr>
        <w:t>Plazo para la preparación de los requisitos habilitantes y de las ofertas</w:t>
      </w:r>
      <w:r w:rsidR="00C1796C" w:rsidRPr="00DA6A99">
        <w:rPr>
          <w:rFonts w:cs="Arial"/>
          <w:sz w:val="22"/>
          <w:szCs w:val="22"/>
        </w:rPr>
        <w:t>: pasa de un mínimo de 20 días</w:t>
      </w:r>
      <w:r w:rsidR="00187613" w:rsidRPr="00DA6A99">
        <w:rPr>
          <w:rFonts w:cs="Arial"/>
          <w:sz w:val="22"/>
          <w:szCs w:val="22"/>
        </w:rPr>
        <w:t xml:space="preserve"> hábiles a un máximo de </w:t>
      </w:r>
      <w:r w:rsidR="00C95DB4" w:rsidRPr="00DA6A99">
        <w:rPr>
          <w:rFonts w:cs="Arial"/>
          <w:sz w:val="22"/>
          <w:szCs w:val="22"/>
        </w:rPr>
        <w:t>5 días hábiles.</w:t>
      </w:r>
    </w:p>
    <w:p w14:paraId="7F5664CC" w14:textId="77777777" w:rsidR="00C95DB4" w:rsidRPr="00DA6A99" w:rsidRDefault="00C95DB4" w:rsidP="00CA7786">
      <w:pPr>
        <w:pStyle w:val="Prrafodelista"/>
        <w:ind w:left="709" w:hanging="425"/>
        <w:contextualSpacing w:val="0"/>
        <w:rPr>
          <w:rFonts w:cs="Arial"/>
          <w:sz w:val="22"/>
          <w:szCs w:val="22"/>
        </w:rPr>
      </w:pPr>
    </w:p>
    <w:p w14:paraId="10B4B37C" w14:textId="2DD7E68F" w:rsidR="00C95DB4" w:rsidRPr="00DA6A99" w:rsidRDefault="000079D8" w:rsidP="00CA7786">
      <w:pPr>
        <w:pStyle w:val="Prrafodelista"/>
        <w:numPr>
          <w:ilvl w:val="0"/>
          <w:numId w:val="14"/>
        </w:numPr>
        <w:ind w:left="709" w:hanging="425"/>
        <w:contextualSpacing w:val="0"/>
        <w:rPr>
          <w:rFonts w:cs="Arial"/>
          <w:sz w:val="22"/>
          <w:szCs w:val="22"/>
        </w:rPr>
      </w:pPr>
      <w:r w:rsidRPr="00DA6A99">
        <w:rPr>
          <w:rFonts w:cs="Arial"/>
          <w:i/>
          <w:sz w:val="22"/>
          <w:szCs w:val="22"/>
        </w:rPr>
        <w:t>Plazo máximo para la v</w:t>
      </w:r>
      <w:r w:rsidR="00387D3C" w:rsidRPr="00DA6A99">
        <w:rPr>
          <w:rFonts w:cs="Arial"/>
          <w:i/>
          <w:sz w:val="22"/>
          <w:szCs w:val="22"/>
        </w:rPr>
        <w:t>erificación</w:t>
      </w:r>
      <w:r w:rsidR="00776CA7" w:rsidRPr="00DA6A99">
        <w:rPr>
          <w:rFonts w:cs="Arial"/>
          <w:i/>
          <w:sz w:val="22"/>
          <w:szCs w:val="22"/>
        </w:rPr>
        <w:t xml:space="preserve"> </w:t>
      </w:r>
      <w:r w:rsidR="00387D3C" w:rsidRPr="00DA6A99">
        <w:rPr>
          <w:rFonts w:cs="Arial"/>
          <w:i/>
          <w:sz w:val="22"/>
          <w:szCs w:val="22"/>
        </w:rPr>
        <w:t>d</w:t>
      </w:r>
      <w:r w:rsidR="00776CA7" w:rsidRPr="00DA6A99">
        <w:rPr>
          <w:rFonts w:cs="Arial"/>
          <w:i/>
          <w:sz w:val="22"/>
          <w:szCs w:val="22"/>
        </w:rPr>
        <w:t>el cumplimiento de requisitos habilitantes</w:t>
      </w:r>
      <w:r w:rsidR="00387D3C" w:rsidRPr="00DA6A99">
        <w:rPr>
          <w:rFonts w:cs="Arial"/>
          <w:sz w:val="22"/>
          <w:szCs w:val="22"/>
        </w:rPr>
        <w:t xml:space="preserve">: </w:t>
      </w:r>
      <w:r w:rsidRPr="00DA6A99">
        <w:rPr>
          <w:rFonts w:cs="Arial"/>
          <w:sz w:val="22"/>
          <w:szCs w:val="22"/>
        </w:rPr>
        <w:t>pasa de 5 a 3 días hábiles</w:t>
      </w:r>
      <w:r w:rsidR="00321ED3" w:rsidRPr="00DA6A99">
        <w:rPr>
          <w:rFonts w:cs="Arial"/>
          <w:sz w:val="22"/>
          <w:szCs w:val="22"/>
        </w:rPr>
        <w:t>.</w:t>
      </w:r>
    </w:p>
    <w:p w14:paraId="2B7CBC60" w14:textId="77777777" w:rsidR="00E22EFB" w:rsidRPr="00DA6A99" w:rsidRDefault="00E22EFB" w:rsidP="00CA7786">
      <w:pPr>
        <w:pStyle w:val="Prrafodelista"/>
        <w:contextualSpacing w:val="0"/>
        <w:rPr>
          <w:rFonts w:cs="Arial"/>
          <w:sz w:val="22"/>
          <w:szCs w:val="22"/>
        </w:rPr>
      </w:pPr>
    </w:p>
    <w:p w14:paraId="7DEC22CC" w14:textId="6289431C" w:rsidR="00E22EFB" w:rsidRPr="00DA6A99" w:rsidRDefault="00E22EFB" w:rsidP="00CA7786">
      <w:pPr>
        <w:rPr>
          <w:rFonts w:cs="Arial"/>
          <w:sz w:val="22"/>
          <w:szCs w:val="22"/>
        </w:rPr>
      </w:pPr>
      <w:r w:rsidRPr="00DA6A99">
        <w:rPr>
          <w:rFonts w:cs="Arial"/>
          <w:sz w:val="22"/>
          <w:szCs w:val="22"/>
        </w:rPr>
        <w:t>Con est</w:t>
      </w:r>
      <w:r w:rsidR="00562E2B" w:rsidRPr="00DA6A99">
        <w:rPr>
          <w:rFonts w:cs="Arial"/>
          <w:sz w:val="22"/>
          <w:szCs w:val="22"/>
        </w:rPr>
        <w:t>os nuevos plazos</w:t>
      </w:r>
      <w:r w:rsidR="00F004AC" w:rsidRPr="00DA6A99">
        <w:rPr>
          <w:rFonts w:cs="Arial"/>
          <w:sz w:val="22"/>
          <w:szCs w:val="22"/>
        </w:rPr>
        <w:t xml:space="preserve">, </w:t>
      </w:r>
      <w:r w:rsidR="00B93850" w:rsidRPr="00DA6A99">
        <w:rPr>
          <w:rFonts w:cs="Arial"/>
          <w:sz w:val="22"/>
          <w:szCs w:val="22"/>
        </w:rPr>
        <w:t xml:space="preserve">el tiempo transcurrido desde la apertura de una convocatoria pública hasta la entrega de resultados (oferentes </w:t>
      </w:r>
      <w:r w:rsidR="001A2497" w:rsidRPr="00DA6A99">
        <w:rPr>
          <w:rFonts w:cs="Arial"/>
          <w:sz w:val="22"/>
          <w:szCs w:val="22"/>
        </w:rPr>
        <w:t>adjudicados)</w:t>
      </w:r>
      <w:r w:rsidR="00CF6863" w:rsidRPr="00DA6A99">
        <w:rPr>
          <w:rFonts w:cs="Arial"/>
          <w:sz w:val="22"/>
          <w:szCs w:val="22"/>
        </w:rPr>
        <w:t>, pasa</w:t>
      </w:r>
      <w:r w:rsidR="005120FF" w:rsidRPr="00DA6A99">
        <w:rPr>
          <w:rFonts w:cs="Arial"/>
          <w:sz w:val="22"/>
          <w:szCs w:val="22"/>
        </w:rPr>
        <w:t xml:space="preserve"> </w:t>
      </w:r>
      <w:r w:rsidR="006D7BC3" w:rsidRPr="00DA6A99">
        <w:rPr>
          <w:rFonts w:cs="Arial"/>
          <w:sz w:val="22"/>
          <w:szCs w:val="22"/>
        </w:rPr>
        <w:t xml:space="preserve">de 44 días hábiles a 17 días </w:t>
      </w:r>
      <w:r w:rsidR="0036716F" w:rsidRPr="00DA6A99">
        <w:rPr>
          <w:rFonts w:cs="Arial"/>
          <w:sz w:val="22"/>
          <w:szCs w:val="22"/>
        </w:rPr>
        <w:t>hábiles.</w:t>
      </w:r>
    </w:p>
    <w:p w14:paraId="2BD0BCE4" w14:textId="77777777" w:rsidR="006F31B6" w:rsidRPr="00DA6A99" w:rsidRDefault="006F31B6" w:rsidP="00CA7786">
      <w:pPr>
        <w:rPr>
          <w:rFonts w:cs="Arial"/>
          <w:sz w:val="22"/>
          <w:szCs w:val="22"/>
        </w:rPr>
      </w:pPr>
    </w:p>
    <w:p w14:paraId="27019A24" w14:textId="77777777" w:rsidR="00A25ED3" w:rsidRPr="00DA6A99" w:rsidRDefault="00AB424F" w:rsidP="00CA7786">
      <w:pPr>
        <w:rPr>
          <w:rFonts w:cs="Arial"/>
          <w:sz w:val="22"/>
          <w:szCs w:val="22"/>
        </w:rPr>
      </w:pPr>
      <w:r w:rsidRPr="00DA6A99">
        <w:rPr>
          <w:rFonts w:cs="Arial"/>
          <w:sz w:val="22"/>
          <w:szCs w:val="22"/>
        </w:rPr>
        <w:t xml:space="preserve">De otra parte, para la fase de formalización de </w:t>
      </w:r>
      <w:r w:rsidR="00CF4A7F" w:rsidRPr="00DA6A99">
        <w:rPr>
          <w:rFonts w:cs="Arial"/>
          <w:sz w:val="22"/>
          <w:szCs w:val="22"/>
        </w:rPr>
        <w:t>resultados</w:t>
      </w:r>
      <w:r w:rsidR="00F361E6" w:rsidRPr="00DA6A99">
        <w:rPr>
          <w:rFonts w:cs="Arial"/>
          <w:sz w:val="22"/>
          <w:szCs w:val="22"/>
        </w:rPr>
        <w:t xml:space="preserve"> de una convocatoria</w:t>
      </w:r>
      <w:r w:rsidR="00736597" w:rsidRPr="00DA6A99">
        <w:rPr>
          <w:rFonts w:cs="Arial"/>
          <w:sz w:val="22"/>
          <w:szCs w:val="22"/>
        </w:rPr>
        <w:t xml:space="preserve">, </w:t>
      </w:r>
      <w:r w:rsidR="00952C4F" w:rsidRPr="00DA6A99">
        <w:rPr>
          <w:rFonts w:cs="Arial"/>
          <w:sz w:val="22"/>
          <w:szCs w:val="22"/>
        </w:rPr>
        <w:t xml:space="preserve">se propone </w:t>
      </w:r>
      <w:r w:rsidR="009D7368" w:rsidRPr="00DA6A99">
        <w:rPr>
          <w:rFonts w:cs="Arial"/>
          <w:sz w:val="22"/>
          <w:szCs w:val="22"/>
        </w:rPr>
        <w:t>la siguiente</w:t>
      </w:r>
      <w:r w:rsidR="005D4718" w:rsidRPr="00DA6A99">
        <w:rPr>
          <w:rFonts w:cs="Arial"/>
          <w:sz w:val="22"/>
          <w:szCs w:val="22"/>
        </w:rPr>
        <w:t xml:space="preserve"> </w:t>
      </w:r>
      <w:r w:rsidR="00A25ED3" w:rsidRPr="00DA6A99">
        <w:rPr>
          <w:rFonts w:cs="Arial"/>
          <w:sz w:val="22"/>
          <w:szCs w:val="22"/>
        </w:rPr>
        <w:t>modificación:</w:t>
      </w:r>
    </w:p>
    <w:p w14:paraId="5923EE1F" w14:textId="77777777" w:rsidR="00A25ED3" w:rsidRPr="00DA6A99" w:rsidRDefault="00A25ED3" w:rsidP="00CA7786">
      <w:pPr>
        <w:rPr>
          <w:rFonts w:cs="Arial"/>
          <w:sz w:val="22"/>
          <w:szCs w:val="22"/>
        </w:rPr>
      </w:pPr>
    </w:p>
    <w:p w14:paraId="2994AA69" w14:textId="09FDC2F7" w:rsidR="00A25ED3" w:rsidRPr="00DA6A99" w:rsidRDefault="005D4718" w:rsidP="00CA7786">
      <w:pPr>
        <w:pStyle w:val="Prrafodelista"/>
        <w:numPr>
          <w:ilvl w:val="0"/>
          <w:numId w:val="14"/>
        </w:numPr>
        <w:ind w:left="709" w:hanging="425"/>
        <w:contextualSpacing w:val="0"/>
        <w:rPr>
          <w:rFonts w:cs="Arial"/>
          <w:i/>
          <w:sz w:val="22"/>
          <w:szCs w:val="22"/>
        </w:rPr>
      </w:pPr>
      <w:r w:rsidRPr="00DA6A99">
        <w:rPr>
          <w:rFonts w:cs="Arial"/>
          <w:i/>
          <w:sz w:val="22"/>
          <w:szCs w:val="22"/>
        </w:rPr>
        <w:t xml:space="preserve"> </w:t>
      </w:r>
      <w:r w:rsidR="00A25ED3" w:rsidRPr="00DA6A99">
        <w:rPr>
          <w:rFonts w:cs="Arial"/>
          <w:i/>
          <w:sz w:val="22"/>
          <w:szCs w:val="22"/>
        </w:rPr>
        <w:t xml:space="preserve">Plazo máximo para la </w:t>
      </w:r>
      <w:r w:rsidR="00965EF1" w:rsidRPr="00DA6A99">
        <w:rPr>
          <w:rFonts w:cs="Arial"/>
          <w:i/>
          <w:sz w:val="22"/>
          <w:szCs w:val="22"/>
        </w:rPr>
        <w:t>suscripción</w:t>
      </w:r>
      <w:r w:rsidR="00A25ED3" w:rsidRPr="00DA6A99">
        <w:rPr>
          <w:rFonts w:cs="Arial"/>
          <w:i/>
          <w:sz w:val="22"/>
          <w:szCs w:val="22"/>
        </w:rPr>
        <w:t xml:space="preserve"> de </w:t>
      </w:r>
      <w:r w:rsidR="00965EF1" w:rsidRPr="00DA6A99">
        <w:rPr>
          <w:rFonts w:cs="Arial"/>
          <w:i/>
          <w:sz w:val="22"/>
          <w:szCs w:val="22"/>
        </w:rPr>
        <w:t>contratos</w:t>
      </w:r>
      <w:r w:rsidR="00A25ED3" w:rsidRPr="00DA6A99">
        <w:rPr>
          <w:rFonts w:cs="Arial"/>
          <w:i/>
          <w:sz w:val="22"/>
          <w:szCs w:val="22"/>
        </w:rPr>
        <w:t xml:space="preserve">: </w:t>
      </w:r>
      <w:r w:rsidR="00A25ED3" w:rsidRPr="00DA6A99">
        <w:rPr>
          <w:rFonts w:cs="Arial"/>
          <w:sz w:val="22"/>
          <w:szCs w:val="22"/>
        </w:rPr>
        <w:t xml:space="preserve">pasa de </w:t>
      </w:r>
      <w:r w:rsidR="00290A65" w:rsidRPr="00DA6A99">
        <w:rPr>
          <w:rFonts w:cs="Arial"/>
          <w:sz w:val="22"/>
          <w:szCs w:val="22"/>
        </w:rPr>
        <w:t>15</w:t>
      </w:r>
      <w:r w:rsidR="00A25ED3" w:rsidRPr="00DA6A99">
        <w:rPr>
          <w:rFonts w:cs="Arial"/>
          <w:sz w:val="22"/>
          <w:szCs w:val="22"/>
        </w:rPr>
        <w:t xml:space="preserve"> a </w:t>
      </w:r>
      <w:r w:rsidR="00290A65" w:rsidRPr="00DA6A99">
        <w:rPr>
          <w:rFonts w:cs="Arial"/>
          <w:sz w:val="22"/>
          <w:szCs w:val="22"/>
        </w:rPr>
        <w:t>7</w:t>
      </w:r>
      <w:r w:rsidR="00A25ED3" w:rsidRPr="00DA6A99">
        <w:rPr>
          <w:rFonts w:cs="Arial"/>
          <w:sz w:val="22"/>
          <w:szCs w:val="22"/>
        </w:rPr>
        <w:t xml:space="preserve"> días hábiles</w:t>
      </w:r>
      <w:r w:rsidR="00A25ED3" w:rsidRPr="00DA6A99">
        <w:rPr>
          <w:rFonts w:cs="Arial"/>
          <w:i/>
          <w:sz w:val="22"/>
          <w:szCs w:val="22"/>
        </w:rPr>
        <w:t>.</w:t>
      </w:r>
    </w:p>
    <w:p w14:paraId="3A02ACF9" w14:textId="475A38D0" w:rsidR="000E12B6" w:rsidRPr="00DA6A99" w:rsidRDefault="000E12B6" w:rsidP="00CA7786">
      <w:pPr>
        <w:rPr>
          <w:rFonts w:cs="Arial"/>
          <w:sz w:val="22"/>
          <w:szCs w:val="22"/>
        </w:rPr>
      </w:pPr>
    </w:p>
    <w:p w14:paraId="00079599" w14:textId="7A7203ED" w:rsidR="00972989" w:rsidRPr="00DA6A99" w:rsidRDefault="00565F93" w:rsidP="00CA7786">
      <w:pPr>
        <w:rPr>
          <w:rFonts w:cs="Arial"/>
          <w:sz w:val="22"/>
          <w:szCs w:val="22"/>
        </w:rPr>
      </w:pPr>
      <w:r w:rsidRPr="00DA6A99">
        <w:rPr>
          <w:rFonts w:cs="Arial"/>
          <w:sz w:val="22"/>
          <w:szCs w:val="22"/>
        </w:rPr>
        <w:t xml:space="preserve">Con </w:t>
      </w:r>
      <w:r w:rsidR="00846D7D" w:rsidRPr="00DA6A99">
        <w:rPr>
          <w:rFonts w:cs="Arial"/>
          <w:sz w:val="22"/>
          <w:szCs w:val="22"/>
        </w:rPr>
        <w:t>las anteriores propuestas</w:t>
      </w:r>
      <w:r w:rsidRPr="00DA6A99">
        <w:rPr>
          <w:rFonts w:cs="Arial"/>
          <w:sz w:val="22"/>
          <w:szCs w:val="22"/>
        </w:rPr>
        <w:t xml:space="preserve">, el tiempo de ejecución de </w:t>
      </w:r>
      <w:r w:rsidR="004867D8" w:rsidRPr="00DA6A99">
        <w:rPr>
          <w:rFonts w:cs="Arial"/>
          <w:sz w:val="22"/>
          <w:szCs w:val="22"/>
        </w:rPr>
        <w:t xml:space="preserve">una convocatoria pública pasaría de </w:t>
      </w:r>
      <w:r w:rsidR="00737CFD" w:rsidRPr="00DA6A99">
        <w:rPr>
          <w:rFonts w:cs="Arial"/>
          <w:sz w:val="22"/>
          <w:szCs w:val="22"/>
        </w:rPr>
        <w:t>unos</w:t>
      </w:r>
      <w:r w:rsidR="004867D8" w:rsidRPr="00DA6A99">
        <w:rPr>
          <w:rFonts w:cs="Arial"/>
          <w:sz w:val="22"/>
          <w:szCs w:val="22"/>
        </w:rPr>
        <w:t xml:space="preserve"> </w:t>
      </w:r>
      <w:r w:rsidR="000B2C78" w:rsidRPr="00DA6A99">
        <w:rPr>
          <w:rFonts w:cs="Arial"/>
          <w:sz w:val="22"/>
          <w:szCs w:val="22"/>
        </w:rPr>
        <w:t xml:space="preserve">66 días hábiles a </w:t>
      </w:r>
      <w:r w:rsidR="00737CFD" w:rsidRPr="00DA6A99">
        <w:rPr>
          <w:rFonts w:cs="Arial"/>
          <w:sz w:val="22"/>
          <w:szCs w:val="22"/>
        </w:rPr>
        <w:t>máximo</w:t>
      </w:r>
      <w:r w:rsidR="000B2C78" w:rsidRPr="00DA6A99">
        <w:rPr>
          <w:rFonts w:cs="Arial"/>
          <w:sz w:val="22"/>
          <w:szCs w:val="22"/>
        </w:rPr>
        <w:t xml:space="preserve"> 31 días hábiles.</w:t>
      </w:r>
    </w:p>
    <w:p w14:paraId="715D16FD" w14:textId="77777777" w:rsidR="00565F93" w:rsidRPr="00DA6A99" w:rsidRDefault="00565F93" w:rsidP="00CA7786">
      <w:pPr>
        <w:rPr>
          <w:rFonts w:cs="Arial"/>
          <w:sz w:val="22"/>
          <w:szCs w:val="22"/>
        </w:rPr>
      </w:pPr>
    </w:p>
    <w:p w14:paraId="596298D7" w14:textId="577E2A32" w:rsidR="003F2DA9" w:rsidRPr="00DA6A99" w:rsidRDefault="000D6690" w:rsidP="00CA7786">
      <w:pPr>
        <w:pStyle w:val="Ttulo2"/>
        <w:numPr>
          <w:ilvl w:val="1"/>
          <w:numId w:val="19"/>
        </w:numPr>
        <w:spacing w:after="0"/>
        <w:rPr>
          <w:rFonts w:cs="Arial"/>
          <w:sz w:val="22"/>
          <w:szCs w:val="22"/>
        </w:rPr>
      </w:pPr>
      <w:bookmarkStart w:id="19" w:name="_Ref144812837"/>
      <w:bookmarkStart w:id="20" w:name="_Toc144899068"/>
      <w:r w:rsidRPr="00DA6A99">
        <w:rPr>
          <w:rFonts w:cs="Arial"/>
          <w:sz w:val="22"/>
          <w:szCs w:val="22"/>
        </w:rPr>
        <w:t xml:space="preserve">Flexibilización transitoria </w:t>
      </w:r>
      <w:r w:rsidR="00920FDE" w:rsidRPr="00DA6A99">
        <w:rPr>
          <w:rFonts w:cs="Arial"/>
          <w:sz w:val="22"/>
          <w:szCs w:val="22"/>
        </w:rPr>
        <w:t>de contratos suscritos en el marco de</w:t>
      </w:r>
      <w:r w:rsidR="00D9729B" w:rsidRPr="00DA6A99">
        <w:rPr>
          <w:rFonts w:cs="Arial"/>
          <w:sz w:val="22"/>
          <w:szCs w:val="22"/>
        </w:rPr>
        <w:t xml:space="preserve"> convocatorias públicas</w:t>
      </w:r>
      <w:bookmarkEnd w:id="19"/>
      <w:bookmarkEnd w:id="20"/>
    </w:p>
    <w:p w14:paraId="232DE487" w14:textId="77777777" w:rsidR="00846D7D" w:rsidRPr="00DA6A99" w:rsidRDefault="00846D7D" w:rsidP="00CA7786">
      <w:pPr>
        <w:rPr>
          <w:rFonts w:cs="Arial"/>
          <w:sz w:val="22"/>
          <w:szCs w:val="22"/>
          <w:lang w:val="es-ES"/>
        </w:rPr>
      </w:pPr>
    </w:p>
    <w:p w14:paraId="4544AE3D" w14:textId="105D8AC4" w:rsidR="00846D7D" w:rsidRPr="00DA6A99" w:rsidRDefault="00430A42" w:rsidP="00CA7786">
      <w:pPr>
        <w:rPr>
          <w:rFonts w:cs="Arial"/>
          <w:sz w:val="22"/>
          <w:szCs w:val="22"/>
          <w:lang w:val="es-ES"/>
        </w:rPr>
      </w:pPr>
      <w:r w:rsidRPr="00DA6A99">
        <w:rPr>
          <w:rFonts w:cs="Arial"/>
          <w:sz w:val="22"/>
          <w:szCs w:val="22"/>
          <w:lang w:val="es-ES"/>
        </w:rPr>
        <w:t xml:space="preserve">Una de las dificultades que enfrentan </w:t>
      </w:r>
      <w:r w:rsidR="006B6034" w:rsidRPr="00DA6A99">
        <w:rPr>
          <w:rFonts w:cs="Arial"/>
          <w:sz w:val="22"/>
          <w:szCs w:val="22"/>
          <w:lang w:val="es-ES"/>
        </w:rPr>
        <w:t>algunos</w:t>
      </w:r>
      <w:r w:rsidRPr="00DA6A99">
        <w:rPr>
          <w:rFonts w:cs="Arial"/>
          <w:sz w:val="22"/>
          <w:szCs w:val="22"/>
          <w:lang w:val="es-ES"/>
        </w:rPr>
        <w:t xml:space="preserve"> generadores </w:t>
      </w:r>
      <w:r w:rsidR="00FE3AA3" w:rsidRPr="00DA6A99">
        <w:rPr>
          <w:rFonts w:cs="Arial"/>
          <w:sz w:val="22"/>
          <w:szCs w:val="22"/>
          <w:lang w:val="es-ES"/>
        </w:rPr>
        <w:t>para</w:t>
      </w:r>
      <w:r w:rsidR="00DA4B34" w:rsidRPr="00DA6A99">
        <w:rPr>
          <w:rFonts w:cs="Arial"/>
          <w:sz w:val="22"/>
          <w:szCs w:val="22"/>
          <w:lang w:val="es-ES"/>
        </w:rPr>
        <w:t xml:space="preserve"> comprometer </w:t>
      </w:r>
      <w:r w:rsidR="003969DB" w:rsidRPr="00DA6A99">
        <w:rPr>
          <w:rFonts w:cs="Arial"/>
          <w:sz w:val="22"/>
          <w:szCs w:val="22"/>
          <w:lang w:val="es-ES"/>
        </w:rPr>
        <w:t xml:space="preserve">cantidades de energía </w:t>
      </w:r>
      <w:r w:rsidR="00EC20A2" w:rsidRPr="00DA6A99">
        <w:rPr>
          <w:rFonts w:cs="Arial"/>
          <w:sz w:val="22"/>
          <w:szCs w:val="22"/>
          <w:lang w:val="es-ES"/>
        </w:rPr>
        <w:t xml:space="preserve">por encima de lo que ya tienen </w:t>
      </w:r>
      <w:r w:rsidR="00FE3AA3" w:rsidRPr="00DA6A99">
        <w:rPr>
          <w:rFonts w:cs="Arial"/>
          <w:sz w:val="22"/>
          <w:szCs w:val="22"/>
          <w:lang w:val="es-ES"/>
        </w:rPr>
        <w:t>en contratos</w:t>
      </w:r>
      <w:r w:rsidR="003969DB" w:rsidRPr="00DA6A99">
        <w:rPr>
          <w:rFonts w:cs="Arial"/>
          <w:sz w:val="22"/>
          <w:szCs w:val="22"/>
          <w:lang w:val="es-ES"/>
        </w:rPr>
        <w:t xml:space="preserve"> </w:t>
      </w:r>
      <w:r w:rsidR="00FE68F7" w:rsidRPr="00DA6A99">
        <w:rPr>
          <w:rFonts w:cs="Arial"/>
          <w:sz w:val="22"/>
          <w:szCs w:val="22"/>
          <w:lang w:val="es-ES"/>
        </w:rPr>
        <w:t>de larga duración</w:t>
      </w:r>
      <w:r w:rsidR="00C34B52" w:rsidRPr="00DA6A99">
        <w:rPr>
          <w:rFonts w:cs="Arial"/>
          <w:sz w:val="22"/>
          <w:szCs w:val="22"/>
          <w:lang w:val="es-ES"/>
        </w:rPr>
        <w:t>, es</w:t>
      </w:r>
      <w:r w:rsidR="003969DB" w:rsidRPr="00DA6A99">
        <w:rPr>
          <w:rFonts w:cs="Arial"/>
          <w:sz w:val="22"/>
          <w:szCs w:val="22"/>
          <w:lang w:val="es-ES"/>
        </w:rPr>
        <w:t xml:space="preserve"> </w:t>
      </w:r>
      <w:r w:rsidR="006B6034" w:rsidRPr="00DA6A99">
        <w:rPr>
          <w:rFonts w:cs="Arial"/>
          <w:sz w:val="22"/>
          <w:szCs w:val="22"/>
          <w:lang w:val="es-ES"/>
        </w:rPr>
        <w:t>que</w:t>
      </w:r>
      <w:r w:rsidR="003969DB" w:rsidRPr="00DA6A99">
        <w:rPr>
          <w:rFonts w:cs="Arial"/>
          <w:sz w:val="22"/>
          <w:szCs w:val="22"/>
          <w:lang w:val="es-ES"/>
        </w:rPr>
        <w:t xml:space="preserve"> no </w:t>
      </w:r>
      <w:r w:rsidR="00C34B52" w:rsidRPr="00DA6A99">
        <w:rPr>
          <w:rFonts w:cs="Arial"/>
          <w:sz w:val="22"/>
          <w:szCs w:val="22"/>
          <w:lang w:val="es-ES"/>
        </w:rPr>
        <w:t>están en capacidad</w:t>
      </w:r>
      <w:r w:rsidR="006B6034" w:rsidRPr="00DA6A99">
        <w:rPr>
          <w:rFonts w:cs="Arial"/>
          <w:sz w:val="22"/>
          <w:szCs w:val="22"/>
          <w:lang w:val="es-ES"/>
        </w:rPr>
        <w:t xml:space="preserve"> </w:t>
      </w:r>
      <w:r w:rsidR="00C34B52" w:rsidRPr="00DA6A99">
        <w:rPr>
          <w:rFonts w:cs="Arial"/>
          <w:sz w:val="22"/>
          <w:szCs w:val="22"/>
          <w:lang w:val="es-ES"/>
        </w:rPr>
        <w:t>de</w:t>
      </w:r>
      <w:r w:rsidR="006B6034" w:rsidRPr="00DA6A99">
        <w:rPr>
          <w:rFonts w:cs="Arial"/>
          <w:sz w:val="22"/>
          <w:szCs w:val="22"/>
          <w:lang w:val="es-ES"/>
        </w:rPr>
        <w:t xml:space="preserve"> predecir con un grado razonable de certeza</w:t>
      </w:r>
      <w:r w:rsidR="00C34B52" w:rsidRPr="00DA6A99">
        <w:rPr>
          <w:rFonts w:cs="Arial"/>
          <w:sz w:val="22"/>
          <w:szCs w:val="22"/>
          <w:lang w:val="es-ES"/>
        </w:rPr>
        <w:t xml:space="preserve"> la cantidad de energía que están en capacidad de generar para cada día</w:t>
      </w:r>
      <w:r w:rsidR="00F62D67" w:rsidRPr="00DA6A99">
        <w:rPr>
          <w:rFonts w:cs="Arial"/>
          <w:sz w:val="22"/>
          <w:szCs w:val="22"/>
          <w:lang w:val="es-ES"/>
        </w:rPr>
        <w:t>.</w:t>
      </w:r>
    </w:p>
    <w:p w14:paraId="1F400BE9" w14:textId="77777777" w:rsidR="00F62D67" w:rsidRPr="00DA6A99" w:rsidRDefault="00F62D67" w:rsidP="00CA7786">
      <w:pPr>
        <w:rPr>
          <w:rFonts w:cs="Arial"/>
          <w:sz w:val="22"/>
          <w:szCs w:val="22"/>
          <w:lang w:val="es-ES"/>
        </w:rPr>
      </w:pPr>
    </w:p>
    <w:p w14:paraId="163EBD26" w14:textId="2B5A6731" w:rsidR="00F62D67" w:rsidRPr="00DA6A99" w:rsidRDefault="00223DE6" w:rsidP="00CA7786">
      <w:pPr>
        <w:rPr>
          <w:rFonts w:cs="Arial"/>
          <w:sz w:val="22"/>
          <w:szCs w:val="22"/>
          <w:lang w:val="es-ES"/>
        </w:rPr>
      </w:pPr>
      <w:r w:rsidRPr="00DA6A99">
        <w:rPr>
          <w:rFonts w:cs="Arial"/>
          <w:sz w:val="22"/>
          <w:szCs w:val="22"/>
          <w:lang w:val="es-ES"/>
        </w:rPr>
        <w:t>C</w:t>
      </w:r>
      <w:r w:rsidR="00F62D67" w:rsidRPr="00DA6A99">
        <w:rPr>
          <w:rFonts w:cs="Arial"/>
          <w:sz w:val="22"/>
          <w:szCs w:val="22"/>
          <w:lang w:val="es-ES"/>
        </w:rPr>
        <w:t xml:space="preserve">on el fin de facilitar la participación de </w:t>
      </w:r>
      <w:r w:rsidR="004402D3" w:rsidRPr="00DA6A99">
        <w:rPr>
          <w:rFonts w:cs="Arial"/>
          <w:sz w:val="22"/>
          <w:szCs w:val="22"/>
          <w:lang w:val="es-ES"/>
        </w:rPr>
        <w:t xml:space="preserve">los generadores </w:t>
      </w:r>
      <w:r w:rsidR="001D4C17" w:rsidRPr="00DA6A99">
        <w:rPr>
          <w:rFonts w:cs="Arial"/>
          <w:sz w:val="22"/>
          <w:szCs w:val="22"/>
          <w:lang w:val="es-ES"/>
        </w:rPr>
        <w:t>o comercializadores vendedores</w:t>
      </w:r>
      <w:r w:rsidR="004402D3" w:rsidRPr="00DA6A99">
        <w:rPr>
          <w:rFonts w:cs="Arial"/>
          <w:sz w:val="22"/>
          <w:szCs w:val="22"/>
          <w:lang w:val="es-ES"/>
        </w:rPr>
        <w:t xml:space="preserve"> en convocatorias públicas mediante las cuales se busque cubrir a la demanda regulada frente a los precios de la bolsa para </w:t>
      </w:r>
      <w:r w:rsidR="00723B6A" w:rsidRPr="00DA6A99">
        <w:rPr>
          <w:rFonts w:cs="Arial"/>
          <w:sz w:val="22"/>
          <w:szCs w:val="22"/>
          <w:lang w:val="es-ES"/>
        </w:rPr>
        <w:t xml:space="preserve">los </w:t>
      </w:r>
      <w:r w:rsidR="00EE39A0" w:rsidRPr="00DA6A99">
        <w:rPr>
          <w:rFonts w:cs="Arial"/>
          <w:sz w:val="22"/>
          <w:szCs w:val="22"/>
          <w:lang w:val="es-ES"/>
        </w:rPr>
        <w:t>meses en los cuales está pronosticad</w:t>
      </w:r>
      <w:r w:rsidR="00727877" w:rsidRPr="00DA6A99">
        <w:rPr>
          <w:rFonts w:cs="Arial"/>
          <w:sz w:val="22"/>
          <w:szCs w:val="22"/>
          <w:lang w:val="es-ES"/>
        </w:rPr>
        <w:t>o el Fenómeno del Niño (finales de 2023 e inicios de 2024)</w:t>
      </w:r>
      <w:r w:rsidR="0029388E" w:rsidRPr="00DA6A99">
        <w:rPr>
          <w:rFonts w:cs="Arial"/>
          <w:sz w:val="22"/>
          <w:szCs w:val="22"/>
          <w:lang w:val="es-ES"/>
        </w:rPr>
        <w:t xml:space="preserve">, se propone permitir la suscripción de contratos </w:t>
      </w:r>
      <w:r w:rsidR="00CB3E5B" w:rsidRPr="00DA6A99">
        <w:rPr>
          <w:rFonts w:cs="Arial"/>
          <w:sz w:val="22"/>
          <w:szCs w:val="22"/>
          <w:lang w:val="es-ES"/>
        </w:rPr>
        <w:t>en los cuales exist</w:t>
      </w:r>
      <w:r w:rsidR="00FE13DC" w:rsidRPr="00DA6A99">
        <w:rPr>
          <w:rFonts w:cs="Arial"/>
          <w:sz w:val="22"/>
          <w:szCs w:val="22"/>
          <w:lang w:val="es-ES"/>
        </w:rPr>
        <w:t>a</w:t>
      </w:r>
      <w:r w:rsidR="00CB3E5B" w:rsidRPr="00DA6A99">
        <w:rPr>
          <w:rFonts w:cs="Arial"/>
          <w:sz w:val="22"/>
          <w:szCs w:val="22"/>
          <w:lang w:val="es-ES"/>
        </w:rPr>
        <w:t xml:space="preserve"> una </w:t>
      </w:r>
      <w:r w:rsidR="000F4214" w:rsidRPr="00DA6A99">
        <w:rPr>
          <w:rFonts w:cs="Arial"/>
          <w:sz w:val="22"/>
          <w:szCs w:val="22"/>
          <w:lang w:val="es-ES"/>
        </w:rPr>
        <w:t>proporción</w:t>
      </w:r>
      <w:r w:rsidR="00CB3E5B" w:rsidRPr="00DA6A99">
        <w:rPr>
          <w:rFonts w:cs="Arial"/>
          <w:sz w:val="22"/>
          <w:szCs w:val="22"/>
          <w:lang w:val="es-ES"/>
        </w:rPr>
        <w:t xml:space="preserve"> </w:t>
      </w:r>
      <w:r w:rsidR="00092D24" w:rsidRPr="00DA6A99">
        <w:rPr>
          <w:rFonts w:cs="Arial"/>
          <w:sz w:val="22"/>
          <w:szCs w:val="22"/>
          <w:lang w:val="es-ES"/>
        </w:rPr>
        <w:t>flexible para la entrega de energía</w:t>
      </w:r>
      <w:r w:rsidR="000F4214" w:rsidRPr="00DA6A99">
        <w:rPr>
          <w:rFonts w:cs="Arial"/>
          <w:sz w:val="22"/>
          <w:szCs w:val="22"/>
          <w:lang w:val="es-ES"/>
        </w:rPr>
        <w:t>, respecto de la cantidad contratada</w:t>
      </w:r>
      <w:r w:rsidR="00092D24" w:rsidRPr="00DA6A99">
        <w:rPr>
          <w:rFonts w:cs="Arial"/>
          <w:sz w:val="22"/>
          <w:szCs w:val="22"/>
          <w:lang w:val="es-ES"/>
        </w:rPr>
        <w:t>.</w:t>
      </w:r>
    </w:p>
    <w:p w14:paraId="4FF3A0B7" w14:textId="77777777" w:rsidR="000F4214" w:rsidRPr="00DA6A99" w:rsidRDefault="000F4214" w:rsidP="00CA7786">
      <w:pPr>
        <w:rPr>
          <w:rFonts w:cs="Arial"/>
          <w:sz w:val="22"/>
          <w:szCs w:val="22"/>
          <w:lang w:val="es-ES"/>
        </w:rPr>
      </w:pPr>
    </w:p>
    <w:p w14:paraId="66BA608E" w14:textId="3A0A6B89" w:rsidR="00092D24" w:rsidRPr="00DA6A99" w:rsidRDefault="000F4214" w:rsidP="00CA7786">
      <w:pPr>
        <w:rPr>
          <w:rFonts w:cs="Arial"/>
          <w:sz w:val="22"/>
          <w:szCs w:val="22"/>
          <w:lang w:val="es-ES"/>
        </w:rPr>
      </w:pPr>
      <w:r w:rsidRPr="00DA6A99">
        <w:rPr>
          <w:rFonts w:cs="Arial"/>
          <w:sz w:val="22"/>
          <w:szCs w:val="22"/>
          <w:lang w:val="es-ES"/>
        </w:rPr>
        <w:t xml:space="preserve">En concreto, se </w:t>
      </w:r>
      <w:r w:rsidR="001A12A3" w:rsidRPr="00DA6A99">
        <w:rPr>
          <w:rFonts w:cs="Arial"/>
          <w:sz w:val="22"/>
          <w:szCs w:val="22"/>
          <w:lang w:val="es-ES"/>
        </w:rPr>
        <w:t>permitiría</w:t>
      </w:r>
      <w:r w:rsidR="0017231E" w:rsidRPr="00DA6A99">
        <w:rPr>
          <w:rFonts w:cs="Arial"/>
          <w:sz w:val="22"/>
          <w:szCs w:val="22"/>
          <w:lang w:val="es-ES"/>
        </w:rPr>
        <w:t xml:space="preserve"> </w:t>
      </w:r>
      <w:r w:rsidR="0017231E" w:rsidRPr="00DA6A99">
        <w:rPr>
          <w:rFonts w:cs="Arial"/>
          <w:b/>
          <w:sz w:val="22"/>
          <w:szCs w:val="22"/>
          <w:u w:val="single"/>
          <w:lang w:val="es-ES"/>
        </w:rPr>
        <w:t>transitoriamente</w:t>
      </w:r>
      <w:r w:rsidR="001A12A3" w:rsidRPr="00DA6A99">
        <w:rPr>
          <w:rFonts w:cs="Arial"/>
          <w:sz w:val="22"/>
          <w:szCs w:val="22"/>
          <w:lang w:val="es-ES"/>
        </w:rPr>
        <w:t xml:space="preserve"> la suscripción de contratos en los cuales el vendedor garantiza la entrega sin interrupciones de, como mínimo, el 75% de la energía eléctrica contratada para cada mes, durante la vigencia </w:t>
      </w:r>
      <w:r w:rsidR="00E77DD4" w:rsidRPr="00DA6A99">
        <w:rPr>
          <w:rFonts w:cs="Arial"/>
          <w:sz w:val="22"/>
          <w:szCs w:val="22"/>
          <w:lang w:val="es-ES"/>
        </w:rPr>
        <w:t>pactada</w:t>
      </w:r>
      <w:r w:rsidR="001A12A3" w:rsidRPr="00DA6A99">
        <w:rPr>
          <w:rFonts w:cs="Arial"/>
          <w:sz w:val="22"/>
          <w:szCs w:val="22"/>
          <w:lang w:val="es-ES"/>
        </w:rPr>
        <w:t>. El comprador por su parte se compromete a pagar en la liquidación mensual del contrato la energía eléctrica entregada por el vendedor, sin superar el 100% de la energía contratada. Sin perjuicio de las demás obligaciones contractuales pactadas, la entrega de energía por debajo del 75% de la cantidad contratada, constitu</w:t>
      </w:r>
      <w:r w:rsidR="005D3144" w:rsidRPr="00DA6A99">
        <w:rPr>
          <w:rFonts w:cs="Arial"/>
          <w:sz w:val="22"/>
          <w:szCs w:val="22"/>
          <w:lang w:val="es-ES"/>
        </w:rPr>
        <w:t>iría</w:t>
      </w:r>
      <w:r w:rsidR="001A12A3" w:rsidRPr="00DA6A99">
        <w:rPr>
          <w:rFonts w:cs="Arial"/>
          <w:sz w:val="22"/>
          <w:szCs w:val="22"/>
          <w:lang w:val="es-ES"/>
        </w:rPr>
        <w:t xml:space="preserve"> un incumplimiento contractual por parte del vendedor</w:t>
      </w:r>
      <w:r w:rsidR="005D3144" w:rsidRPr="00DA6A99">
        <w:rPr>
          <w:rFonts w:cs="Arial"/>
          <w:sz w:val="22"/>
          <w:szCs w:val="22"/>
          <w:lang w:val="es-ES"/>
        </w:rPr>
        <w:t>.</w:t>
      </w:r>
    </w:p>
    <w:p w14:paraId="6B6C03CB" w14:textId="77777777" w:rsidR="005D3144" w:rsidRPr="00DA6A99" w:rsidRDefault="005D3144" w:rsidP="00CA7786">
      <w:pPr>
        <w:rPr>
          <w:rFonts w:cs="Arial"/>
          <w:sz w:val="22"/>
          <w:szCs w:val="22"/>
          <w:lang w:val="es-ES"/>
        </w:rPr>
      </w:pPr>
    </w:p>
    <w:p w14:paraId="3BCAD976" w14:textId="52D299D8" w:rsidR="005D3144" w:rsidRPr="00DA6A99" w:rsidRDefault="00371AF8" w:rsidP="00CA7786">
      <w:pPr>
        <w:rPr>
          <w:rFonts w:cs="Arial"/>
          <w:sz w:val="22"/>
          <w:szCs w:val="22"/>
          <w:lang w:val="es-ES"/>
        </w:rPr>
      </w:pPr>
      <w:r w:rsidRPr="00DA6A99">
        <w:rPr>
          <w:rFonts w:cs="Arial"/>
          <w:sz w:val="22"/>
          <w:szCs w:val="22"/>
          <w:lang w:val="es-ES"/>
        </w:rPr>
        <w:t>Estos contratos serían entonces similares a un contrato tipo “pague lo contratado” para el 75% de</w:t>
      </w:r>
      <w:r w:rsidR="00FC5165" w:rsidRPr="00DA6A99">
        <w:rPr>
          <w:rFonts w:cs="Arial"/>
          <w:sz w:val="22"/>
          <w:szCs w:val="22"/>
          <w:lang w:val="es-ES"/>
        </w:rPr>
        <w:t xml:space="preserve"> la cantidad adjudicada</w:t>
      </w:r>
      <w:r w:rsidR="006174B0" w:rsidRPr="00DA6A99">
        <w:rPr>
          <w:rFonts w:cs="Arial"/>
          <w:sz w:val="22"/>
          <w:szCs w:val="22"/>
          <w:lang w:val="es-ES"/>
        </w:rPr>
        <w:t xml:space="preserve"> en la convocatoria</w:t>
      </w:r>
      <w:r w:rsidR="00BF7AE7" w:rsidRPr="00DA6A99">
        <w:rPr>
          <w:rFonts w:cs="Arial"/>
          <w:sz w:val="22"/>
          <w:szCs w:val="22"/>
          <w:lang w:val="es-ES"/>
        </w:rPr>
        <w:t xml:space="preserve"> y a un contrato tipo</w:t>
      </w:r>
      <w:r w:rsidR="00CB4F56" w:rsidRPr="00DA6A99">
        <w:rPr>
          <w:rFonts w:cs="Arial"/>
          <w:sz w:val="22"/>
          <w:szCs w:val="22"/>
          <w:lang w:val="es-ES"/>
        </w:rPr>
        <w:t xml:space="preserve"> “pague lo generado” </w:t>
      </w:r>
      <w:r w:rsidR="00DA7BBF" w:rsidRPr="00DA6A99">
        <w:rPr>
          <w:rFonts w:cs="Arial"/>
          <w:sz w:val="22"/>
          <w:szCs w:val="22"/>
          <w:lang w:val="es-ES"/>
        </w:rPr>
        <w:t xml:space="preserve">para el </w:t>
      </w:r>
      <w:r w:rsidR="00BB4CFD" w:rsidRPr="00DA6A99">
        <w:rPr>
          <w:rFonts w:cs="Arial"/>
          <w:sz w:val="22"/>
          <w:szCs w:val="22"/>
          <w:lang w:val="es-ES"/>
        </w:rPr>
        <w:t>25% restante.</w:t>
      </w:r>
    </w:p>
    <w:p w14:paraId="79BDEC55" w14:textId="77777777" w:rsidR="00846D7D" w:rsidRPr="00DA6A99" w:rsidRDefault="00846D7D" w:rsidP="00CA7786">
      <w:pPr>
        <w:rPr>
          <w:rFonts w:cs="Arial"/>
          <w:sz w:val="22"/>
          <w:szCs w:val="22"/>
          <w:lang w:val="es-ES"/>
        </w:rPr>
      </w:pPr>
    </w:p>
    <w:p w14:paraId="67B8D54B" w14:textId="14B06486" w:rsidR="00E5346D" w:rsidRPr="00DA6A99" w:rsidRDefault="00E5346D" w:rsidP="00CA7786">
      <w:pPr>
        <w:rPr>
          <w:rFonts w:cs="Arial"/>
          <w:sz w:val="22"/>
          <w:szCs w:val="22"/>
          <w:lang w:val="es-ES"/>
        </w:rPr>
      </w:pPr>
      <w:r w:rsidRPr="00DA6A99">
        <w:rPr>
          <w:rFonts w:cs="Arial"/>
          <w:sz w:val="22"/>
          <w:szCs w:val="22"/>
          <w:lang w:val="es-ES"/>
        </w:rPr>
        <w:t>Con esta flexibilización se permitiría a los generadores contratar energía a través de convocatorias públicas</w:t>
      </w:r>
      <w:r w:rsidR="00CE4F7F" w:rsidRPr="00DA6A99">
        <w:rPr>
          <w:rFonts w:cs="Arial"/>
          <w:sz w:val="22"/>
          <w:szCs w:val="22"/>
          <w:lang w:val="es-ES"/>
        </w:rPr>
        <w:t xml:space="preserve"> mediante contratos que les permitan incorporar </w:t>
      </w:r>
      <w:r w:rsidR="008C5FBD" w:rsidRPr="00DA6A99">
        <w:rPr>
          <w:rFonts w:cs="Arial"/>
          <w:sz w:val="22"/>
          <w:szCs w:val="22"/>
          <w:lang w:val="es-ES"/>
        </w:rPr>
        <w:t>el grado de incertidumbre que enfrentan para predecir con precisión su generación</w:t>
      </w:r>
      <w:r w:rsidR="00FF0CFF" w:rsidRPr="00DA6A99">
        <w:rPr>
          <w:rFonts w:cs="Arial"/>
          <w:sz w:val="22"/>
          <w:szCs w:val="22"/>
          <w:lang w:val="es-ES"/>
        </w:rPr>
        <w:t xml:space="preserve"> real </w:t>
      </w:r>
      <w:r w:rsidR="004A058B" w:rsidRPr="00DA6A99">
        <w:rPr>
          <w:rFonts w:cs="Arial"/>
          <w:sz w:val="22"/>
          <w:szCs w:val="22"/>
          <w:lang w:val="es-ES"/>
        </w:rPr>
        <w:t>de</w:t>
      </w:r>
      <w:r w:rsidR="00FF0CFF" w:rsidRPr="00DA6A99">
        <w:rPr>
          <w:rFonts w:cs="Arial"/>
          <w:sz w:val="22"/>
          <w:szCs w:val="22"/>
          <w:lang w:val="es-ES"/>
        </w:rPr>
        <w:t xml:space="preserve"> cada día.</w:t>
      </w:r>
    </w:p>
    <w:p w14:paraId="1F384001" w14:textId="77777777" w:rsidR="00406A38" w:rsidRPr="00DA6A99" w:rsidRDefault="00406A38" w:rsidP="00CA7786">
      <w:pPr>
        <w:rPr>
          <w:rFonts w:cs="Arial"/>
          <w:sz w:val="22"/>
          <w:szCs w:val="22"/>
          <w:lang w:val="es-ES"/>
        </w:rPr>
      </w:pPr>
    </w:p>
    <w:p w14:paraId="415826FE" w14:textId="337BEEDE" w:rsidR="00B94A0E" w:rsidRPr="00DA6A99" w:rsidRDefault="00406A38" w:rsidP="00CA7786">
      <w:pPr>
        <w:rPr>
          <w:rFonts w:cs="Arial"/>
          <w:sz w:val="22"/>
          <w:szCs w:val="22"/>
          <w:lang w:val="es-ES"/>
        </w:rPr>
      </w:pPr>
      <w:r w:rsidRPr="00DA6A99">
        <w:rPr>
          <w:rFonts w:cs="Arial"/>
          <w:sz w:val="22"/>
          <w:szCs w:val="22"/>
          <w:lang w:val="es-ES"/>
        </w:rPr>
        <w:t xml:space="preserve">En </w:t>
      </w:r>
      <w:r w:rsidR="00A82519" w:rsidRPr="00DA6A99">
        <w:rPr>
          <w:rFonts w:cs="Arial"/>
          <w:sz w:val="22"/>
          <w:szCs w:val="22"/>
          <w:lang w:val="es-ES"/>
        </w:rPr>
        <w:t>línea</w:t>
      </w:r>
      <w:r w:rsidR="00E50571" w:rsidRPr="00DA6A99">
        <w:rPr>
          <w:rFonts w:cs="Arial"/>
          <w:sz w:val="22"/>
          <w:szCs w:val="22"/>
          <w:lang w:val="es-ES"/>
        </w:rPr>
        <w:t xml:space="preserve"> con </w:t>
      </w:r>
      <w:r w:rsidR="00A82519" w:rsidRPr="00DA6A99">
        <w:rPr>
          <w:rFonts w:cs="Arial"/>
          <w:sz w:val="22"/>
          <w:szCs w:val="22"/>
          <w:lang w:val="es-ES"/>
        </w:rPr>
        <w:t>la motivación</w:t>
      </w:r>
      <w:r w:rsidR="00B40206" w:rsidRPr="00DA6A99">
        <w:rPr>
          <w:rFonts w:cs="Arial"/>
          <w:sz w:val="22"/>
          <w:szCs w:val="22"/>
          <w:lang w:val="es-ES"/>
        </w:rPr>
        <w:t xml:space="preserve"> </w:t>
      </w:r>
      <w:r w:rsidR="004C1368" w:rsidRPr="00DA6A99">
        <w:rPr>
          <w:rFonts w:cs="Arial"/>
          <w:sz w:val="22"/>
          <w:szCs w:val="22"/>
          <w:lang w:val="es-ES"/>
        </w:rPr>
        <w:t xml:space="preserve">de </w:t>
      </w:r>
      <w:r w:rsidR="00505E42" w:rsidRPr="00DA6A99">
        <w:rPr>
          <w:rFonts w:cs="Arial"/>
          <w:sz w:val="22"/>
          <w:szCs w:val="22"/>
          <w:lang w:val="es-ES"/>
        </w:rPr>
        <w:t>la</w:t>
      </w:r>
      <w:r w:rsidR="004C1368" w:rsidRPr="00DA6A99">
        <w:rPr>
          <w:rFonts w:cs="Arial"/>
          <w:sz w:val="22"/>
          <w:szCs w:val="22"/>
          <w:lang w:val="es-ES"/>
        </w:rPr>
        <w:t xml:space="preserve"> </w:t>
      </w:r>
      <w:r w:rsidR="00505E42" w:rsidRPr="00DA6A99">
        <w:rPr>
          <w:rFonts w:cs="Arial"/>
          <w:sz w:val="22"/>
          <w:szCs w:val="22"/>
          <w:lang w:val="es-ES"/>
        </w:rPr>
        <w:t xml:space="preserve">presente </w:t>
      </w:r>
      <w:r w:rsidR="00A82519" w:rsidRPr="00DA6A99">
        <w:rPr>
          <w:rFonts w:cs="Arial"/>
          <w:sz w:val="22"/>
          <w:szCs w:val="22"/>
          <w:lang w:val="es-ES"/>
        </w:rPr>
        <w:t>propuesta</w:t>
      </w:r>
      <w:r w:rsidR="00032ED7" w:rsidRPr="00DA6A99">
        <w:rPr>
          <w:rFonts w:cs="Arial"/>
          <w:sz w:val="22"/>
          <w:szCs w:val="22"/>
          <w:lang w:val="es-ES"/>
        </w:rPr>
        <w:t xml:space="preserve">, las cantidades de energía que podrían ser cubiertas a través de estos contratos flexibilizados deberían corresponder, como máximo, a la </w:t>
      </w:r>
      <w:r w:rsidR="00A64458" w:rsidRPr="00DA6A99">
        <w:rPr>
          <w:rFonts w:cs="Arial"/>
          <w:sz w:val="22"/>
          <w:szCs w:val="22"/>
          <w:lang w:val="es-ES"/>
        </w:rPr>
        <w:t>demanda regulada</w:t>
      </w:r>
      <w:r w:rsidR="00032ED7" w:rsidRPr="00DA6A99">
        <w:rPr>
          <w:rFonts w:cs="Arial"/>
          <w:sz w:val="22"/>
          <w:szCs w:val="22"/>
          <w:lang w:val="es-ES"/>
        </w:rPr>
        <w:t xml:space="preserve"> que </w:t>
      </w:r>
      <w:r w:rsidR="00A64458" w:rsidRPr="00DA6A99">
        <w:rPr>
          <w:rFonts w:cs="Arial"/>
          <w:sz w:val="22"/>
          <w:szCs w:val="22"/>
          <w:lang w:val="es-ES"/>
        </w:rPr>
        <w:t>aún no se encuentra cubiert</w:t>
      </w:r>
      <w:r w:rsidR="00BF0570" w:rsidRPr="00DA6A99">
        <w:rPr>
          <w:rFonts w:cs="Arial"/>
          <w:sz w:val="22"/>
          <w:szCs w:val="22"/>
          <w:lang w:val="es-ES"/>
        </w:rPr>
        <w:t xml:space="preserve">a </w:t>
      </w:r>
      <w:r w:rsidR="00C664DE" w:rsidRPr="00DA6A99">
        <w:rPr>
          <w:rFonts w:cs="Arial"/>
          <w:sz w:val="22"/>
          <w:szCs w:val="22"/>
          <w:lang w:val="es-ES"/>
        </w:rPr>
        <w:t>por contratos</w:t>
      </w:r>
      <w:r w:rsidR="00694BD4" w:rsidRPr="00DA6A99">
        <w:rPr>
          <w:rFonts w:cs="Arial"/>
          <w:sz w:val="22"/>
          <w:szCs w:val="22"/>
          <w:lang w:val="es-ES"/>
        </w:rPr>
        <w:t xml:space="preserve"> </w:t>
      </w:r>
      <w:r w:rsidR="00D96AEE" w:rsidRPr="00DA6A99">
        <w:rPr>
          <w:rFonts w:cs="Arial"/>
          <w:sz w:val="22"/>
          <w:szCs w:val="22"/>
          <w:lang w:val="es-ES"/>
        </w:rPr>
        <w:t>resultantes</w:t>
      </w:r>
      <w:r w:rsidR="00694BD4" w:rsidRPr="00DA6A99">
        <w:rPr>
          <w:rFonts w:cs="Arial"/>
          <w:sz w:val="22"/>
          <w:szCs w:val="22"/>
          <w:lang w:val="es-ES"/>
        </w:rPr>
        <w:t xml:space="preserve"> de convocatorias públicas</w:t>
      </w:r>
      <w:r w:rsidR="0018077D" w:rsidRPr="00DA6A99">
        <w:rPr>
          <w:rFonts w:cs="Arial"/>
          <w:sz w:val="22"/>
          <w:szCs w:val="22"/>
          <w:lang w:val="es-ES"/>
        </w:rPr>
        <w:t xml:space="preserve">, </w:t>
      </w:r>
      <w:r w:rsidR="00C06FD5" w:rsidRPr="00DA6A99">
        <w:rPr>
          <w:rFonts w:cs="Arial"/>
          <w:sz w:val="22"/>
          <w:szCs w:val="22"/>
          <w:lang w:val="es-ES"/>
        </w:rPr>
        <w:t>de</w:t>
      </w:r>
      <w:r w:rsidR="0018077D" w:rsidRPr="00DA6A99">
        <w:rPr>
          <w:rFonts w:cs="Arial"/>
          <w:sz w:val="22"/>
          <w:szCs w:val="22"/>
          <w:lang w:val="es-ES"/>
        </w:rPr>
        <w:t xml:space="preserve"> subastas </w:t>
      </w:r>
      <w:r w:rsidR="00D96AEE" w:rsidRPr="00DA6A99">
        <w:rPr>
          <w:rFonts w:cs="Arial"/>
          <w:sz w:val="22"/>
          <w:szCs w:val="22"/>
          <w:lang w:val="es-ES"/>
        </w:rPr>
        <w:t>administradas por el Ministerio de Minas y Energía</w:t>
      </w:r>
      <w:r w:rsidR="002330A4" w:rsidRPr="00DA6A99">
        <w:rPr>
          <w:rFonts w:cs="Arial"/>
          <w:sz w:val="22"/>
          <w:szCs w:val="22"/>
          <w:lang w:val="es-ES"/>
        </w:rPr>
        <w:t xml:space="preserve"> </w:t>
      </w:r>
      <w:r w:rsidR="00C06FD5" w:rsidRPr="00DA6A99">
        <w:rPr>
          <w:rFonts w:cs="Arial"/>
          <w:sz w:val="22"/>
          <w:szCs w:val="22"/>
          <w:lang w:val="es-ES"/>
        </w:rPr>
        <w:t>o del mecanismo</w:t>
      </w:r>
      <w:r w:rsidR="006521B1" w:rsidRPr="00DA6A99">
        <w:rPr>
          <w:rFonts w:cs="Arial"/>
          <w:sz w:val="22"/>
          <w:szCs w:val="22"/>
          <w:lang w:val="es-ES"/>
        </w:rPr>
        <w:t xml:space="preserve"> administrado por </w:t>
      </w:r>
      <w:proofErr w:type="spellStart"/>
      <w:r w:rsidR="006521B1" w:rsidRPr="00DA6A99">
        <w:rPr>
          <w:rFonts w:cs="Arial"/>
          <w:sz w:val="22"/>
          <w:szCs w:val="22"/>
          <w:lang w:val="es-ES"/>
        </w:rPr>
        <w:t>Derivex</w:t>
      </w:r>
      <w:proofErr w:type="spellEnd"/>
      <w:r w:rsidR="006521B1" w:rsidRPr="00DA6A99">
        <w:rPr>
          <w:rFonts w:cs="Arial"/>
          <w:sz w:val="22"/>
          <w:szCs w:val="22"/>
          <w:lang w:val="es-ES"/>
        </w:rPr>
        <w:t xml:space="preserve"> y la Cámara de Riesgo Central de Contraparte (CRCC).</w:t>
      </w:r>
    </w:p>
    <w:p w14:paraId="7521DB50" w14:textId="77777777" w:rsidR="00B7596F" w:rsidRPr="00DA6A99" w:rsidRDefault="00B7596F" w:rsidP="00CA7786">
      <w:pPr>
        <w:rPr>
          <w:rFonts w:cs="Arial"/>
          <w:sz w:val="22"/>
          <w:szCs w:val="22"/>
          <w:lang w:val="es-ES"/>
        </w:rPr>
      </w:pPr>
    </w:p>
    <w:p w14:paraId="03F43EC4" w14:textId="4486ADF4" w:rsidR="00B7596F" w:rsidRPr="00DA6A99" w:rsidRDefault="00E745CB" w:rsidP="00CA7786">
      <w:pPr>
        <w:rPr>
          <w:rFonts w:cs="Arial"/>
          <w:sz w:val="22"/>
          <w:szCs w:val="22"/>
          <w:lang w:val="es-ES"/>
        </w:rPr>
      </w:pPr>
      <w:r w:rsidRPr="00DA6A99">
        <w:rPr>
          <w:rFonts w:cs="Arial"/>
          <w:sz w:val="22"/>
          <w:szCs w:val="22"/>
          <w:lang w:val="es-ES"/>
        </w:rPr>
        <w:t xml:space="preserve">Únicamente para las compras que se realicen mediante la suscripción de contratos </w:t>
      </w:r>
      <w:r w:rsidR="009A143F" w:rsidRPr="00DA6A99">
        <w:rPr>
          <w:rFonts w:cs="Arial"/>
          <w:sz w:val="22"/>
          <w:szCs w:val="22"/>
          <w:lang w:val="es-ES"/>
        </w:rPr>
        <w:t>pague lo contratado a 75%</w:t>
      </w:r>
      <w:r w:rsidR="006E0E36" w:rsidRPr="00DA6A99">
        <w:rPr>
          <w:rFonts w:cs="Arial"/>
          <w:sz w:val="22"/>
          <w:szCs w:val="22"/>
          <w:lang w:val="es-ES"/>
        </w:rPr>
        <w:t xml:space="preserve">, como los descritos en </w:t>
      </w:r>
      <w:r w:rsidR="00250D3C" w:rsidRPr="00DA6A99">
        <w:rPr>
          <w:rFonts w:cs="Arial"/>
          <w:sz w:val="22"/>
          <w:szCs w:val="22"/>
          <w:lang w:val="es-ES"/>
        </w:rPr>
        <w:t xml:space="preserve">los párrafos anteriores, </w:t>
      </w:r>
      <w:r w:rsidR="002C4ECD" w:rsidRPr="00DA6A99">
        <w:rPr>
          <w:rFonts w:cs="Arial"/>
          <w:sz w:val="22"/>
          <w:szCs w:val="22"/>
          <w:lang w:val="es-ES"/>
        </w:rPr>
        <w:t>se establece la siguiente regla de traslado:</w:t>
      </w:r>
    </w:p>
    <w:p w14:paraId="2153CB33" w14:textId="77777777" w:rsidR="002C4ECD" w:rsidRPr="00DA6A99" w:rsidRDefault="002C4ECD" w:rsidP="00CA7786">
      <w:pPr>
        <w:rPr>
          <w:rFonts w:cs="Arial"/>
          <w:sz w:val="22"/>
          <w:szCs w:val="22"/>
          <w:lang w:val="es-ES"/>
        </w:rPr>
      </w:pPr>
    </w:p>
    <w:p w14:paraId="7849180F" w14:textId="4FFAC53C" w:rsidR="002C4ECD" w:rsidRPr="00DA6A99" w:rsidRDefault="00FA499B" w:rsidP="00CA7786">
      <w:pPr>
        <w:pStyle w:val="Prrafodelista"/>
        <w:numPr>
          <w:ilvl w:val="0"/>
          <w:numId w:val="16"/>
        </w:numPr>
        <w:ind w:left="426" w:hanging="426"/>
        <w:contextualSpacing w:val="0"/>
        <w:rPr>
          <w:rFonts w:cs="Arial"/>
          <w:b/>
          <w:iCs/>
          <w:sz w:val="22"/>
          <w:szCs w:val="22"/>
          <w:lang w:val="es-ES"/>
        </w:rPr>
      </w:pPr>
      <w:r w:rsidRPr="00DA6A99">
        <w:rPr>
          <w:rFonts w:cs="Arial"/>
          <w:b/>
          <w:iCs/>
          <w:sz w:val="22"/>
          <w:szCs w:val="22"/>
          <w:lang w:val="es-ES"/>
        </w:rPr>
        <w:t>Cálculo de c</w:t>
      </w:r>
      <w:r w:rsidR="005B643F" w:rsidRPr="00DA6A99">
        <w:rPr>
          <w:rFonts w:cs="Arial"/>
          <w:b/>
          <w:iCs/>
          <w:sz w:val="22"/>
          <w:szCs w:val="22"/>
          <w:lang w:val="es-ES"/>
        </w:rPr>
        <w:t xml:space="preserve">antidades de energía </w:t>
      </w:r>
      <w:r w:rsidR="00BC6B33" w:rsidRPr="00DA6A99">
        <w:rPr>
          <w:rFonts w:cs="Arial"/>
          <w:b/>
          <w:iCs/>
          <w:sz w:val="22"/>
          <w:szCs w:val="22"/>
          <w:lang w:val="es-ES"/>
        </w:rPr>
        <w:t>realizadas mediante</w:t>
      </w:r>
      <w:r w:rsidR="005B643F" w:rsidRPr="00DA6A99">
        <w:rPr>
          <w:rFonts w:cs="Arial"/>
          <w:b/>
          <w:iCs/>
          <w:sz w:val="22"/>
          <w:szCs w:val="22"/>
          <w:lang w:val="es-ES"/>
        </w:rPr>
        <w:t xml:space="preserve"> contratos pague lo contratado al 75%</w:t>
      </w:r>
      <w:r w:rsidR="00A073E2" w:rsidRPr="00DA6A99">
        <w:rPr>
          <w:rFonts w:cs="Arial"/>
          <w:b/>
          <w:iCs/>
          <w:sz w:val="22"/>
          <w:szCs w:val="22"/>
          <w:lang w:val="es-ES"/>
        </w:rPr>
        <w:t xml:space="preserve"> para el mercado regulado</w:t>
      </w:r>
      <w:r w:rsidRPr="00DA6A99">
        <w:rPr>
          <w:rFonts w:cs="Arial"/>
          <w:b/>
          <w:iCs/>
          <w:sz w:val="22"/>
          <w:szCs w:val="22"/>
          <w:lang w:val="es-ES"/>
        </w:rPr>
        <w:t xml:space="preserve"> para su incorporación </w:t>
      </w:r>
      <w:r w:rsidRPr="00DA6A99">
        <w:rPr>
          <w:rFonts w:cs="Arial"/>
          <w:b/>
          <w:bCs/>
          <w:iCs/>
          <w:sz w:val="22"/>
          <w:szCs w:val="22"/>
          <w:lang w:val="es-ES"/>
        </w:rPr>
        <w:t>en la fórmula del componente G de energía</w:t>
      </w:r>
    </w:p>
    <w:p w14:paraId="00BFAB6D" w14:textId="77777777" w:rsidR="00392EFF" w:rsidRPr="00DA6A99" w:rsidRDefault="00392EFF" w:rsidP="00CA7786">
      <w:pPr>
        <w:rPr>
          <w:rFonts w:cs="Arial"/>
          <w:sz w:val="22"/>
          <w:szCs w:val="22"/>
          <w:lang w:val="es-ES"/>
        </w:rPr>
      </w:pPr>
    </w:p>
    <w:p w14:paraId="715556FC" w14:textId="322E3E8D" w:rsidR="00392EFF" w:rsidRPr="00DA6A99" w:rsidRDefault="005C56C4" w:rsidP="00CA7786">
      <w:pPr>
        <w:rPr>
          <w:rFonts w:cs="Arial"/>
          <w:b/>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l</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s=1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l</m:t>
                  </m:r>
                </m:sub>
              </m:sSub>
            </m:sup>
            <m:e>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sl</m:t>
                  </m:r>
                </m:sub>
              </m:sSub>
            </m:e>
          </m:nary>
        </m:oMath>
      </m:oMathPara>
    </w:p>
    <w:p w14:paraId="71F6EDAA" w14:textId="77777777" w:rsidR="00392EFF" w:rsidRPr="00DA6A99" w:rsidRDefault="00392EFF" w:rsidP="00CA7786">
      <w:pPr>
        <w:rPr>
          <w:rFonts w:cs="Arial"/>
          <w:b/>
          <w:sz w:val="22"/>
          <w:szCs w:val="22"/>
        </w:rPr>
      </w:pPr>
    </w:p>
    <w:p w14:paraId="29089728" w14:textId="77777777" w:rsidR="00392EFF" w:rsidRPr="00DA6A99" w:rsidRDefault="00392EFF" w:rsidP="00CA7786">
      <w:pPr>
        <w:ind w:left="426"/>
        <w:rPr>
          <w:rFonts w:cs="Arial"/>
          <w:sz w:val="22"/>
          <w:szCs w:val="22"/>
          <w:lang w:val="es-ES"/>
        </w:rPr>
      </w:pPr>
      <w:r w:rsidRPr="00DA6A99">
        <w:rPr>
          <w:rFonts w:cs="Arial"/>
          <w:sz w:val="22"/>
          <w:szCs w:val="22"/>
          <w:lang w:val="es-ES"/>
        </w:rPr>
        <w:t>Donde,</w:t>
      </w:r>
    </w:p>
    <w:p w14:paraId="499BB1DF" w14:textId="77777777" w:rsidR="00392EFF" w:rsidRPr="00DA6A99" w:rsidRDefault="00392EFF" w:rsidP="00CA7786">
      <w:pPr>
        <w:rPr>
          <w:rFonts w:cs="Arial"/>
          <w:sz w:val="22"/>
          <w:szCs w:val="22"/>
          <w:lang w:val="es-ES"/>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7614"/>
      </w:tblGrid>
      <w:tr w:rsidR="00392EFF" w:rsidRPr="00DA6A99" w14:paraId="5C6F04BF" w14:textId="77777777" w:rsidTr="00DB06C4">
        <w:tc>
          <w:tcPr>
            <w:tcW w:w="1317" w:type="dxa"/>
            <w:hideMark/>
          </w:tcPr>
          <w:p w14:paraId="750397C4" w14:textId="11C0B6E4" w:rsidR="00392EFF" w:rsidRPr="00DA6A99" w:rsidRDefault="005C56C4" w:rsidP="00CA7786">
            <w:pPr>
              <w:tabs>
                <w:tab w:val="left" w:pos="0"/>
                <w:tab w:val="left" w:pos="284"/>
              </w:tabs>
              <w:jc w:val="right"/>
              <w:rPr>
                <w:rFonts w:cs="Arial"/>
                <w:sz w:val="22"/>
                <w:szCs w:val="22"/>
                <w:lang w:val="es-ES"/>
              </w:rPr>
            </w:pPr>
            <m:oMath>
              <m:sSub>
                <m:sSubPr>
                  <m:ctrlPr>
                    <w:rPr>
                      <w:rFonts w:ascii="Cambria Math" w:hAnsi="Cambria Math" w:cs="Arial"/>
                      <w:sz w:val="22"/>
                      <w:szCs w:val="22"/>
                      <w:lang w:val="es-ES"/>
                    </w:rPr>
                  </m:ctrlPr>
                </m:sSubPr>
                <m:e>
                  <m:r>
                    <w:rPr>
                      <w:rFonts w:ascii="Cambria Math" w:hAnsi="Cambria Math" w:cs="Arial"/>
                      <w:sz w:val="22"/>
                      <w:szCs w:val="22"/>
                      <w:lang w:val="es-ES"/>
                    </w:rPr>
                    <m:t>C</m:t>
                  </m:r>
                </m:e>
                <m:sub>
                  <m:r>
                    <w:rPr>
                      <w:rFonts w:ascii="Cambria Math" w:hAnsi="Cambria Math" w:cs="Arial"/>
                      <w:sz w:val="22"/>
                      <w:szCs w:val="22"/>
                      <w:lang w:val="es-ES"/>
                    </w:rPr>
                    <m:t>l</m:t>
                  </m:r>
                </m:sub>
              </m:sSub>
            </m:oMath>
            <w:r w:rsidR="00392EFF" w:rsidRPr="00DA6A99">
              <w:rPr>
                <w:rFonts w:cs="Arial"/>
                <w:sz w:val="22"/>
                <w:szCs w:val="22"/>
                <w:lang w:val="es-ES"/>
              </w:rPr>
              <w:t>:</w:t>
            </w:r>
          </w:p>
        </w:tc>
        <w:tc>
          <w:tcPr>
            <w:tcW w:w="7614" w:type="dxa"/>
          </w:tcPr>
          <w:p w14:paraId="25E23FA7" w14:textId="158B6BF3" w:rsidR="00392EFF" w:rsidRPr="00DA6A99" w:rsidRDefault="00392EFF" w:rsidP="00CA7786">
            <w:pPr>
              <w:tabs>
                <w:tab w:val="left" w:pos="0"/>
                <w:tab w:val="left" w:pos="284"/>
              </w:tabs>
              <w:rPr>
                <w:rFonts w:cs="Arial"/>
                <w:sz w:val="22"/>
                <w:szCs w:val="22"/>
                <w:lang w:val="es-ES"/>
              </w:rPr>
            </w:pPr>
            <w:r w:rsidRPr="00DA6A99">
              <w:rPr>
                <w:rFonts w:cs="Arial"/>
                <w:sz w:val="22"/>
                <w:szCs w:val="22"/>
                <w:lang w:val="es-ES"/>
              </w:rPr>
              <w:t xml:space="preserve">Energía cubierta por el comercializador mediante contratos pague lo contratado al 75% resultantes de convocatorias públicas, </w:t>
            </w:r>
            <w:r w:rsidR="00324E0D" w:rsidRPr="00DA6A99">
              <w:rPr>
                <w:rFonts w:cs="Arial"/>
                <w:sz w:val="22"/>
                <w:szCs w:val="22"/>
                <w:lang w:val="es-ES"/>
              </w:rPr>
              <w:t>respaldados</w:t>
            </w:r>
            <w:r w:rsidRPr="00DA6A99">
              <w:rPr>
                <w:rFonts w:cs="Arial"/>
                <w:sz w:val="22"/>
                <w:szCs w:val="22"/>
                <w:lang w:val="es-ES"/>
              </w:rPr>
              <w:t xml:space="preserve"> </w:t>
            </w:r>
            <w:r w:rsidR="00166ED7" w:rsidRPr="00DA6A99">
              <w:rPr>
                <w:rFonts w:cs="Arial"/>
                <w:sz w:val="22"/>
                <w:szCs w:val="22"/>
                <w:lang w:val="es-ES"/>
              </w:rPr>
              <w:t xml:space="preserve">con tecnología </w:t>
            </w:r>
            <w:r w:rsidR="00166ED7" w:rsidRPr="00DA6A99">
              <w:rPr>
                <w:rFonts w:ascii="Times New Roman" w:hAnsi="Times New Roman"/>
                <w:i/>
                <w:sz w:val="22"/>
                <w:szCs w:val="22"/>
                <w:lang w:val="es-ES"/>
              </w:rPr>
              <w:t>l</w:t>
            </w:r>
            <w:r w:rsidRPr="00DA6A99">
              <w:rPr>
                <w:rFonts w:cs="Arial"/>
                <w:sz w:val="22"/>
                <w:szCs w:val="22"/>
                <w:lang w:val="es-ES"/>
              </w:rPr>
              <w:t>.</w:t>
            </w:r>
          </w:p>
          <w:p w14:paraId="73B0B079" w14:textId="77777777" w:rsidR="00392EFF" w:rsidRPr="00DA6A99" w:rsidRDefault="00392EFF" w:rsidP="00CA7786">
            <w:pPr>
              <w:tabs>
                <w:tab w:val="left" w:pos="0"/>
                <w:tab w:val="left" w:pos="284"/>
              </w:tabs>
              <w:rPr>
                <w:rFonts w:cs="Arial"/>
                <w:sz w:val="22"/>
                <w:szCs w:val="22"/>
                <w:lang w:val="es-ES"/>
              </w:rPr>
            </w:pPr>
          </w:p>
        </w:tc>
      </w:tr>
      <w:tr w:rsidR="00392EFF" w:rsidRPr="00DA6A99" w14:paraId="567A0A1F" w14:textId="77777777" w:rsidTr="00DB06C4">
        <w:tc>
          <w:tcPr>
            <w:tcW w:w="1317" w:type="dxa"/>
          </w:tcPr>
          <w:p w14:paraId="2A15F7B8" w14:textId="6AB529D6" w:rsidR="00392EFF" w:rsidRPr="00DA6A99" w:rsidRDefault="005C56C4" w:rsidP="00CA7786">
            <w:pPr>
              <w:tabs>
                <w:tab w:val="left" w:pos="0"/>
                <w:tab w:val="left" w:pos="284"/>
              </w:tabs>
              <w:rPr>
                <w:rFonts w:cs="Arial"/>
                <w:sz w:val="22"/>
                <w:szCs w:val="22"/>
                <w:lang w:val="es-ES"/>
              </w:rPr>
            </w:pPr>
            <m:oMathPara>
              <m:oMathParaPr>
                <m:jc m:val="right"/>
              </m:oMathParaPr>
              <m:oMath>
                <m:sSub>
                  <m:sSubPr>
                    <m:ctrlPr>
                      <w:rPr>
                        <w:rFonts w:ascii="Cambria Math" w:hAnsi="Cambria Math" w:cs="Arial"/>
                        <w:sz w:val="22"/>
                        <w:szCs w:val="22"/>
                        <w:lang w:val="es-ES"/>
                      </w:rPr>
                    </m:ctrlPr>
                  </m:sSubPr>
                  <m:e>
                    <m:r>
                      <w:rPr>
                        <w:rFonts w:ascii="Cambria Math" w:hAnsi="Cambria Math" w:cs="Arial"/>
                        <w:sz w:val="22"/>
                        <w:szCs w:val="22"/>
                        <w:lang w:val="es-ES"/>
                      </w:rPr>
                      <m:t>q</m:t>
                    </m:r>
                  </m:e>
                  <m:sub>
                    <m:r>
                      <w:rPr>
                        <w:rFonts w:ascii="Cambria Math" w:hAnsi="Cambria Math" w:cs="Arial"/>
                        <w:sz w:val="22"/>
                        <w:szCs w:val="22"/>
                        <w:lang w:val="es-ES"/>
                      </w:rPr>
                      <m:t>sl</m:t>
                    </m:r>
                  </m:sub>
                </m:sSub>
                <m:r>
                  <m:rPr>
                    <m:sty m:val="p"/>
                  </m:rPr>
                  <w:rPr>
                    <w:rFonts w:ascii="Cambria Math" w:hAnsi="Cambria Math" w:cs="Arial"/>
                    <w:sz w:val="22"/>
                    <w:szCs w:val="22"/>
                    <w:lang w:val="es-ES"/>
                  </w:rPr>
                  <m:t>:</m:t>
                </m:r>
              </m:oMath>
            </m:oMathPara>
          </w:p>
        </w:tc>
        <w:tc>
          <w:tcPr>
            <w:tcW w:w="7614" w:type="dxa"/>
          </w:tcPr>
          <w:p w14:paraId="27CD09A3" w14:textId="3428CD0A" w:rsidR="00392EFF" w:rsidRPr="00DA6A99" w:rsidRDefault="005063CF" w:rsidP="00CA7786">
            <w:pPr>
              <w:tabs>
                <w:tab w:val="left" w:pos="0"/>
                <w:tab w:val="left" w:pos="284"/>
              </w:tabs>
              <w:rPr>
                <w:rFonts w:cs="Arial"/>
                <w:sz w:val="22"/>
                <w:szCs w:val="22"/>
                <w:lang w:val="es-ES"/>
              </w:rPr>
            </w:pPr>
            <w:r w:rsidRPr="00DA6A99">
              <w:rPr>
                <w:rFonts w:cs="Arial"/>
                <w:sz w:val="22"/>
                <w:szCs w:val="22"/>
                <w:lang w:val="es-ES"/>
              </w:rPr>
              <w:t>C</w:t>
            </w:r>
            <w:r w:rsidR="00392EFF" w:rsidRPr="00DA6A99">
              <w:rPr>
                <w:rFonts w:cs="Arial"/>
                <w:sz w:val="22"/>
                <w:szCs w:val="22"/>
                <w:lang w:val="es-ES"/>
              </w:rPr>
              <w:t xml:space="preserve">antidad de energía cubierta por el comercializador mediante el contrato firme al 75% </w:t>
            </w:r>
            <w:r w:rsidR="00D161B6" w:rsidRPr="00DA6A99">
              <w:rPr>
                <w:rFonts w:cs="Arial"/>
                <w:i/>
                <w:sz w:val="22"/>
                <w:szCs w:val="22"/>
                <w:lang w:val="es-ES"/>
              </w:rPr>
              <w:t>s</w:t>
            </w:r>
            <w:r w:rsidR="00D161B6" w:rsidRPr="00DA6A99">
              <w:rPr>
                <w:rFonts w:cs="Arial"/>
                <w:sz w:val="22"/>
                <w:szCs w:val="22"/>
                <w:lang w:val="es-ES"/>
              </w:rPr>
              <w:t xml:space="preserve"> respaldado</w:t>
            </w:r>
            <w:r w:rsidR="00392EFF" w:rsidRPr="00DA6A99">
              <w:rPr>
                <w:rFonts w:cs="Arial"/>
                <w:sz w:val="22"/>
                <w:szCs w:val="22"/>
                <w:lang w:val="es-ES"/>
              </w:rPr>
              <w:t xml:space="preserve"> con </w:t>
            </w:r>
            <w:r w:rsidR="00D42D64" w:rsidRPr="00DA6A99">
              <w:rPr>
                <w:rFonts w:cs="Arial"/>
                <w:sz w:val="22"/>
                <w:szCs w:val="22"/>
                <w:lang w:val="es-ES"/>
              </w:rPr>
              <w:t>tecnología</w:t>
            </w:r>
            <w:r w:rsidR="00392EFF" w:rsidRPr="00DA6A99">
              <w:rPr>
                <w:rFonts w:cs="Arial"/>
                <w:sz w:val="22"/>
                <w:szCs w:val="22"/>
                <w:lang w:val="es-ES"/>
              </w:rPr>
              <w:t xml:space="preserve"> </w:t>
            </w:r>
            <w:r w:rsidR="00166ED7" w:rsidRPr="00DA6A99">
              <w:rPr>
                <w:rFonts w:ascii="Times New Roman" w:hAnsi="Times New Roman"/>
                <w:i/>
                <w:sz w:val="22"/>
                <w:szCs w:val="22"/>
                <w:lang w:val="es-ES"/>
              </w:rPr>
              <w:t>l</w:t>
            </w:r>
            <w:r w:rsidR="00392EFF" w:rsidRPr="00DA6A99">
              <w:rPr>
                <w:rFonts w:cs="Arial"/>
                <w:sz w:val="22"/>
                <w:szCs w:val="22"/>
                <w:lang w:val="es-ES"/>
              </w:rPr>
              <w:t>.</w:t>
            </w:r>
          </w:p>
          <w:p w14:paraId="7FF78A1A" w14:textId="77777777" w:rsidR="00392EFF" w:rsidRPr="00DA6A99" w:rsidRDefault="00392EFF" w:rsidP="00CA7786">
            <w:pPr>
              <w:tabs>
                <w:tab w:val="left" w:pos="0"/>
                <w:tab w:val="left" w:pos="284"/>
              </w:tabs>
              <w:rPr>
                <w:rFonts w:cs="Arial"/>
                <w:sz w:val="22"/>
                <w:szCs w:val="22"/>
                <w:lang w:val="es-ES"/>
              </w:rPr>
            </w:pPr>
          </w:p>
        </w:tc>
      </w:tr>
      <w:tr w:rsidR="00392EFF" w:rsidRPr="00DA6A99" w14:paraId="5F316888" w14:textId="77777777" w:rsidTr="00DB06C4">
        <w:tc>
          <w:tcPr>
            <w:tcW w:w="1317" w:type="dxa"/>
          </w:tcPr>
          <w:p w14:paraId="22E318B6" w14:textId="32B31C05" w:rsidR="00392EFF" w:rsidRPr="00DA6A99" w:rsidRDefault="005C56C4" w:rsidP="00CA7786">
            <w:pPr>
              <w:tabs>
                <w:tab w:val="left" w:pos="0"/>
                <w:tab w:val="left" w:pos="284"/>
              </w:tabs>
              <w:jc w:val="right"/>
              <w:rPr>
                <w:rFonts w:cs="Arial"/>
                <w:sz w:val="22"/>
                <w:szCs w:val="22"/>
                <w:lang w:val="es-ES"/>
              </w:rPr>
            </w:pPr>
            <m:oMath>
              <m:sSub>
                <m:sSubPr>
                  <m:ctrlPr>
                    <w:rPr>
                      <w:rFonts w:ascii="Cambria Math" w:hAnsi="Cambria Math" w:cs="Arial"/>
                      <w:sz w:val="22"/>
                      <w:szCs w:val="22"/>
                      <w:lang w:val="es-ES"/>
                    </w:rPr>
                  </m:ctrlPr>
                </m:sSubPr>
                <m:e>
                  <m:r>
                    <w:rPr>
                      <w:rFonts w:ascii="Cambria Math" w:hAnsi="Cambria Math" w:cs="Arial"/>
                      <w:sz w:val="22"/>
                      <w:szCs w:val="22"/>
                      <w:lang w:val="es-ES"/>
                    </w:rPr>
                    <m:t>n</m:t>
                  </m:r>
                </m:e>
                <m:sub>
                  <m:r>
                    <w:rPr>
                      <w:rFonts w:ascii="Cambria Math" w:hAnsi="Cambria Math" w:cs="Arial"/>
                      <w:sz w:val="22"/>
                      <w:szCs w:val="22"/>
                      <w:lang w:val="es-ES"/>
                    </w:rPr>
                    <m:t>l</m:t>
                  </m:r>
                </m:sub>
              </m:sSub>
            </m:oMath>
            <w:r w:rsidR="00392EFF" w:rsidRPr="00DA6A99">
              <w:rPr>
                <w:rFonts w:cs="Arial"/>
                <w:sz w:val="22"/>
                <w:szCs w:val="22"/>
                <w:lang w:val="es-ES"/>
              </w:rPr>
              <w:t>:</w:t>
            </w:r>
          </w:p>
        </w:tc>
        <w:tc>
          <w:tcPr>
            <w:tcW w:w="7614" w:type="dxa"/>
          </w:tcPr>
          <w:p w14:paraId="3C324607" w14:textId="76FF813B" w:rsidR="00392EFF" w:rsidRPr="00DA6A99" w:rsidRDefault="00392EFF" w:rsidP="00CA7786">
            <w:pPr>
              <w:tabs>
                <w:tab w:val="left" w:pos="0"/>
                <w:tab w:val="left" w:pos="284"/>
              </w:tabs>
              <w:rPr>
                <w:rFonts w:cs="Arial"/>
                <w:sz w:val="22"/>
                <w:szCs w:val="22"/>
                <w:lang w:val="es-ES"/>
              </w:rPr>
            </w:pPr>
            <w:r w:rsidRPr="00DA6A99">
              <w:rPr>
                <w:rFonts w:cs="Arial"/>
                <w:sz w:val="22"/>
                <w:szCs w:val="22"/>
                <w:lang w:val="es-ES"/>
              </w:rPr>
              <w:t xml:space="preserve">Número de contratos pague lo contratado al 75% resultantes de convocatorias públicas, </w:t>
            </w:r>
            <w:r w:rsidR="007A0D5B" w:rsidRPr="00DA6A99">
              <w:rPr>
                <w:rFonts w:cs="Arial"/>
                <w:sz w:val="22"/>
                <w:szCs w:val="22"/>
                <w:lang w:val="es-ES"/>
              </w:rPr>
              <w:t>respaldado</w:t>
            </w:r>
            <w:r w:rsidR="00D53B4C" w:rsidRPr="00DA6A99">
              <w:rPr>
                <w:rFonts w:cs="Arial"/>
                <w:sz w:val="22"/>
                <w:szCs w:val="22"/>
                <w:lang w:val="es-ES"/>
              </w:rPr>
              <w:t>s</w:t>
            </w:r>
            <w:r w:rsidR="007A0D5B" w:rsidRPr="00DA6A99">
              <w:rPr>
                <w:rFonts w:cs="Arial"/>
                <w:sz w:val="22"/>
                <w:szCs w:val="22"/>
                <w:lang w:val="es-ES"/>
              </w:rPr>
              <w:t xml:space="preserve"> con tecnología </w:t>
            </w:r>
            <w:r w:rsidR="007A0D5B" w:rsidRPr="00DA6A99">
              <w:rPr>
                <w:rFonts w:ascii="Times New Roman" w:hAnsi="Times New Roman"/>
                <w:i/>
                <w:sz w:val="22"/>
                <w:szCs w:val="22"/>
                <w:lang w:val="es-ES"/>
              </w:rPr>
              <w:t>l</w:t>
            </w:r>
            <w:r w:rsidRPr="00DA6A99">
              <w:rPr>
                <w:rFonts w:cs="Arial"/>
                <w:sz w:val="22"/>
                <w:szCs w:val="22"/>
                <w:lang w:val="es-ES"/>
              </w:rPr>
              <w:t>.</w:t>
            </w:r>
          </w:p>
          <w:p w14:paraId="7D37C299" w14:textId="7966A124" w:rsidR="00392EFF" w:rsidRPr="00DA6A99" w:rsidRDefault="00392EFF" w:rsidP="00CA7786">
            <w:pPr>
              <w:tabs>
                <w:tab w:val="left" w:pos="0"/>
                <w:tab w:val="left" w:pos="284"/>
              </w:tabs>
              <w:rPr>
                <w:rFonts w:cs="Arial"/>
                <w:sz w:val="22"/>
                <w:szCs w:val="22"/>
                <w:lang w:val="es-ES"/>
              </w:rPr>
            </w:pPr>
          </w:p>
        </w:tc>
      </w:tr>
      <w:tr w:rsidR="00BE6700" w:rsidRPr="00DA6A99" w14:paraId="004741AF" w14:textId="77777777" w:rsidTr="00DB06C4">
        <w:tc>
          <w:tcPr>
            <w:tcW w:w="1317" w:type="dxa"/>
          </w:tcPr>
          <w:p w14:paraId="376D104B" w14:textId="16303D0E" w:rsidR="00BE6700" w:rsidRPr="00DA6A99" w:rsidRDefault="00725F17" w:rsidP="00CA7786">
            <w:pPr>
              <w:tabs>
                <w:tab w:val="left" w:pos="0"/>
                <w:tab w:val="left" w:pos="284"/>
              </w:tabs>
              <w:jc w:val="right"/>
              <w:rPr>
                <w:rFonts w:cs="Arial"/>
                <w:i/>
                <w:sz w:val="22"/>
                <w:szCs w:val="22"/>
                <w:lang w:val="es-ES"/>
              </w:rPr>
            </w:pPr>
            <w:r w:rsidRPr="00DA6A99">
              <w:rPr>
                <w:rFonts w:ascii="Times New Roman" w:hAnsi="Times New Roman"/>
                <w:i/>
                <w:sz w:val="22"/>
                <w:szCs w:val="22"/>
                <w:lang w:val="es-ES"/>
              </w:rPr>
              <w:t>l</w:t>
            </w:r>
            <w:r w:rsidR="00A647D0" w:rsidRPr="00DA6A99">
              <w:rPr>
                <w:rFonts w:cs="Arial"/>
                <w:i/>
                <w:sz w:val="22"/>
                <w:szCs w:val="22"/>
                <w:lang w:val="es-ES"/>
              </w:rPr>
              <w:t>:</w:t>
            </w:r>
          </w:p>
        </w:tc>
        <w:tc>
          <w:tcPr>
            <w:tcW w:w="7614" w:type="dxa"/>
          </w:tcPr>
          <w:p w14:paraId="6E16EB21" w14:textId="494D3969" w:rsidR="00BE6700" w:rsidRPr="00DA6A99" w:rsidRDefault="00474320" w:rsidP="00CA7786">
            <w:pPr>
              <w:tabs>
                <w:tab w:val="left" w:pos="0"/>
                <w:tab w:val="left" w:pos="284"/>
              </w:tabs>
              <w:rPr>
                <w:rFonts w:cs="Arial"/>
                <w:sz w:val="22"/>
                <w:szCs w:val="22"/>
                <w:lang w:val="es-ES"/>
              </w:rPr>
            </w:pPr>
            <w:r w:rsidRPr="00DA6A99">
              <w:rPr>
                <w:rFonts w:cs="Arial"/>
                <w:sz w:val="22"/>
                <w:szCs w:val="22"/>
                <w:lang w:val="es-ES"/>
              </w:rPr>
              <w:t xml:space="preserve">Cuando </w:t>
            </w:r>
            <w:r w:rsidR="00E120AC" w:rsidRPr="00DA6A99">
              <w:rPr>
                <w:rFonts w:cs="Arial"/>
                <w:sz w:val="22"/>
                <w:szCs w:val="22"/>
                <w:lang w:val="es-ES"/>
              </w:rPr>
              <w:t>l</w:t>
            </w:r>
            <w:r w:rsidR="00324E0D" w:rsidRPr="00DA6A99">
              <w:rPr>
                <w:rFonts w:cs="Arial"/>
                <w:sz w:val="22"/>
                <w:szCs w:val="22"/>
                <w:lang w:val="es-ES"/>
              </w:rPr>
              <w:t xml:space="preserve">os contratos se encuentran respaldados con tecnologías no térmicas, </w:t>
            </w:r>
            <w:r w:rsidR="00DF38A0" w:rsidRPr="00DA6A99">
              <w:rPr>
                <w:rFonts w:cs="Arial"/>
                <w:sz w:val="22"/>
                <w:szCs w:val="22"/>
                <w:lang w:val="es-ES"/>
              </w:rPr>
              <w:t xml:space="preserve">el </w:t>
            </w:r>
            <w:r w:rsidR="0028249D" w:rsidRPr="00DA6A99">
              <w:rPr>
                <w:rFonts w:cs="Arial"/>
                <w:sz w:val="22"/>
                <w:szCs w:val="22"/>
                <w:lang w:val="es-ES"/>
              </w:rPr>
              <w:t>identificador</w:t>
            </w:r>
            <w:r w:rsidR="00DF38A0" w:rsidRPr="00DA6A99">
              <w:rPr>
                <w:rFonts w:cs="Arial"/>
                <w:sz w:val="22"/>
                <w:szCs w:val="22"/>
                <w:lang w:val="es-ES"/>
              </w:rPr>
              <w:t xml:space="preserve"> </w:t>
            </w:r>
            <w:r w:rsidR="00DF38A0" w:rsidRPr="00DA6A99">
              <w:rPr>
                <w:rFonts w:ascii="Times New Roman" w:hAnsi="Times New Roman"/>
                <w:i/>
                <w:sz w:val="22"/>
                <w:szCs w:val="22"/>
                <w:lang w:val="es-ES"/>
              </w:rPr>
              <w:t>l</w:t>
            </w:r>
            <w:r w:rsidR="00DF38A0" w:rsidRPr="00DA6A99">
              <w:rPr>
                <w:rFonts w:cs="Arial"/>
                <w:sz w:val="22"/>
                <w:szCs w:val="22"/>
                <w:lang w:val="es-ES"/>
              </w:rPr>
              <w:t xml:space="preserve"> </w:t>
            </w:r>
            <w:r w:rsidR="00C02B46" w:rsidRPr="00DA6A99">
              <w:rPr>
                <w:rFonts w:cs="Arial"/>
                <w:sz w:val="22"/>
                <w:szCs w:val="22"/>
                <w:lang w:val="es-ES"/>
              </w:rPr>
              <w:t>es 4</w:t>
            </w:r>
            <w:r w:rsidR="00105D14" w:rsidRPr="00DA6A99">
              <w:rPr>
                <w:rFonts w:cs="Arial"/>
                <w:sz w:val="22"/>
                <w:szCs w:val="22"/>
                <w:lang w:val="es-ES"/>
              </w:rPr>
              <w:t>.</w:t>
            </w:r>
            <w:r w:rsidR="00E120AC" w:rsidRPr="00DA6A99">
              <w:rPr>
                <w:rFonts w:cs="Arial"/>
                <w:sz w:val="22"/>
                <w:szCs w:val="22"/>
                <w:lang w:val="es-ES"/>
              </w:rPr>
              <w:t xml:space="preserve"> </w:t>
            </w:r>
            <w:r w:rsidR="00105D14" w:rsidRPr="00DA6A99">
              <w:rPr>
                <w:rFonts w:cs="Arial"/>
                <w:sz w:val="22"/>
                <w:szCs w:val="22"/>
                <w:lang w:val="es-ES"/>
              </w:rPr>
              <w:t xml:space="preserve">Cuando los contratos se encuentran respaldados con tecnologías térmicas, el identificador </w:t>
            </w:r>
            <w:r w:rsidR="00105D14" w:rsidRPr="00DA6A99">
              <w:rPr>
                <w:rFonts w:ascii="Times New Roman" w:hAnsi="Times New Roman"/>
                <w:i/>
                <w:sz w:val="22"/>
                <w:szCs w:val="22"/>
                <w:lang w:val="es-ES"/>
              </w:rPr>
              <w:t>l</w:t>
            </w:r>
            <w:r w:rsidR="00105D14" w:rsidRPr="00DA6A99">
              <w:rPr>
                <w:rFonts w:cs="Arial"/>
                <w:sz w:val="22"/>
                <w:szCs w:val="22"/>
                <w:lang w:val="es-ES"/>
              </w:rPr>
              <w:t xml:space="preserve"> es 5.</w:t>
            </w:r>
          </w:p>
        </w:tc>
      </w:tr>
    </w:tbl>
    <w:p w14:paraId="63985719" w14:textId="77777777" w:rsidR="00105D14" w:rsidRDefault="00105D14" w:rsidP="00CA7786">
      <w:pPr>
        <w:rPr>
          <w:rFonts w:cs="Arial"/>
          <w:sz w:val="22"/>
          <w:szCs w:val="22"/>
          <w:lang w:val="es-ES"/>
        </w:rPr>
      </w:pPr>
    </w:p>
    <w:p w14:paraId="4F5AD28D" w14:textId="77777777" w:rsidR="00551211" w:rsidRDefault="00551211" w:rsidP="00CA7786">
      <w:pPr>
        <w:rPr>
          <w:rFonts w:cs="Arial"/>
          <w:sz w:val="22"/>
          <w:szCs w:val="22"/>
          <w:lang w:val="es-ES"/>
        </w:rPr>
      </w:pPr>
    </w:p>
    <w:p w14:paraId="0C585919" w14:textId="77777777" w:rsidR="00551211" w:rsidRDefault="00551211" w:rsidP="00CA7786">
      <w:pPr>
        <w:rPr>
          <w:rFonts w:cs="Arial"/>
          <w:sz w:val="22"/>
          <w:szCs w:val="22"/>
          <w:lang w:val="es-ES"/>
        </w:rPr>
      </w:pPr>
    </w:p>
    <w:p w14:paraId="34485D0B" w14:textId="77777777" w:rsidR="00551211" w:rsidRPr="00DA6A99" w:rsidRDefault="00551211" w:rsidP="00CA7786">
      <w:pPr>
        <w:rPr>
          <w:rFonts w:cs="Arial"/>
          <w:sz w:val="22"/>
          <w:szCs w:val="22"/>
          <w:lang w:val="es-ES"/>
        </w:rPr>
      </w:pPr>
    </w:p>
    <w:p w14:paraId="6A028593" w14:textId="2779F71A" w:rsidR="009549E4" w:rsidRPr="00DA6A99" w:rsidRDefault="00A37926" w:rsidP="00CA7786">
      <w:pPr>
        <w:pStyle w:val="Prrafodelista"/>
        <w:numPr>
          <w:ilvl w:val="0"/>
          <w:numId w:val="16"/>
        </w:numPr>
        <w:ind w:left="426" w:hanging="426"/>
        <w:contextualSpacing w:val="0"/>
        <w:rPr>
          <w:rFonts w:cs="Arial"/>
          <w:b/>
          <w:iCs/>
          <w:sz w:val="22"/>
          <w:szCs w:val="22"/>
          <w:lang w:val="es-ES"/>
        </w:rPr>
      </w:pPr>
      <w:r w:rsidRPr="00DA6A99">
        <w:rPr>
          <w:rFonts w:cs="Arial"/>
          <w:b/>
          <w:iCs/>
          <w:sz w:val="22"/>
          <w:szCs w:val="22"/>
          <w:lang w:val="es-ES"/>
        </w:rPr>
        <w:lastRenderedPageBreak/>
        <w:t>Precio de las</w:t>
      </w:r>
      <w:r w:rsidR="009549E4" w:rsidRPr="00DA6A99">
        <w:rPr>
          <w:rFonts w:cs="Arial"/>
          <w:b/>
          <w:iCs/>
          <w:sz w:val="22"/>
          <w:szCs w:val="22"/>
          <w:lang w:val="es-ES"/>
        </w:rPr>
        <w:t xml:space="preserve"> </w:t>
      </w:r>
      <w:r w:rsidR="004C482A" w:rsidRPr="00DA6A99">
        <w:rPr>
          <w:rFonts w:cs="Arial"/>
          <w:b/>
          <w:iCs/>
          <w:sz w:val="22"/>
          <w:szCs w:val="22"/>
          <w:lang w:val="es-ES"/>
        </w:rPr>
        <w:t>compras</w:t>
      </w:r>
      <w:r w:rsidR="009549E4" w:rsidRPr="00DA6A99">
        <w:rPr>
          <w:rFonts w:cs="Arial"/>
          <w:b/>
          <w:iCs/>
          <w:sz w:val="22"/>
          <w:szCs w:val="22"/>
          <w:lang w:val="es-ES"/>
        </w:rPr>
        <w:t xml:space="preserve"> de energía </w:t>
      </w:r>
      <w:r w:rsidR="0014370A" w:rsidRPr="00DA6A99">
        <w:rPr>
          <w:rFonts w:cs="Arial"/>
          <w:b/>
          <w:iCs/>
          <w:sz w:val="22"/>
          <w:szCs w:val="22"/>
          <w:lang w:val="es-ES"/>
        </w:rPr>
        <w:t>realizadas mediante</w:t>
      </w:r>
      <w:r w:rsidR="009549E4" w:rsidRPr="00DA6A99">
        <w:rPr>
          <w:rFonts w:cs="Arial"/>
          <w:b/>
          <w:iCs/>
          <w:sz w:val="22"/>
          <w:szCs w:val="22"/>
          <w:lang w:val="es-ES"/>
        </w:rPr>
        <w:t xml:space="preserve"> contratos pague lo contratado al 75% </w:t>
      </w:r>
      <w:r w:rsidR="00DA620F" w:rsidRPr="00DA6A99">
        <w:rPr>
          <w:rFonts w:cs="Arial"/>
          <w:b/>
          <w:iCs/>
          <w:sz w:val="22"/>
          <w:szCs w:val="22"/>
          <w:lang w:val="es-ES"/>
        </w:rPr>
        <w:t>para el mercado regulado</w:t>
      </w:r>
      <w:r w:rsidR="00F51110" w:rsidRPr="00DA6A99">
        <w:rPr>
          <w:rFonts w:cs="Arial"/>
          <w:b/>
          <w:bCs/>
          <w:iCs/>
          <w:sz w:val="22"/>
          <w:szCs w:val="22"/>
          <w:lang w:val="es-ES"/>
        </w:rPr>
        <w:t xml:space="preserve"> </w:t>
      </w:r>
      <w:r w:rsidR="00300526" w:rsidRPr="00DA6A99">
        <w:rPr>
          <w:rFonts w:cs="Arial"/>
          <w:b/>
          <w:iCs/>
          <w:sz w:val="22"/>
          <w:szCs w:val="22"/>
          <w:lang w:val="es-ES"/>
        </w:rPr>
        <w:t>para su incorporación</w:t>
      </w:r>
      <w:r w:rsidR="00F51110" w:rsidRPr="00DA6A99">
        <w:rPr>
          <w:rFonts w:cs="Arial"/>
          <w:b/>
          <w:bCs/>
          <w:iCs/>
          <w:sz w:val="22"/>
          <w:szCs w:val="22"/>
          <w:lang w:val="es-ES"/>
        </w:rPr>
        <w:t xml:space="preserve"> en la fórmula del componente G de energía</w:t>
      </w:r>
    </w:p>
    <w:p w14:paraId="0B535F3C" w14:textId="77777777" w:rsidR="00392EFF" w:rsidRPr="00DA6A99" w:rsidRDefault="00392EFF" w:rsidP="00CA7786">
      <w:pPr>
        <w:rPr>
          <w:rFonts w:cs="Arial"/>
          <w:b/>
          <w:sz w:val="22"/>
          <w:szCs w:val="22"/>
        </w:rPr>
      </w:pPr>
    </w:p>
    <w:p w14:paraId="6EE84A84" w14:textId="134D1197" w:rsidR="00392EFF" w:rsidRPr="00DA6A99" w:rsidRDefault="005C56C4" w:rsidP="00CA7786">
      <w:pPr>
        <w:pStyle w:val="Prrafodelista"/>
        <w:ind w:left="567"/>
        <w:contextualSpacing w:val="0"/>
        <w:rPr>
          <w:rFonts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l</m:t>
              </m:r>
            </m:sub>
          </m:sSub>
          <m:r>
            <w:rPr>
              <w:rFonts w:ascii="Cambria Math" w:hAnsi="Cambria Math" w:cs="Arial"/>
              <w:sz w:val="22"/>
              <w:szCs w:val="22"/>
            </w:rPr>
            <m:t>=</m:t>
          </m:r>
          <m:r>
            <m:rPr>
              <m:sty m:val="p"/>
            </m:rPr>
            <w:rPr>
              <w:rFonts w:ascii="Cambria Math" w:hAnsi="Cambria Math" w:cs="Arial"/>
              <w:sz w:val="22"/>
              <w:szCs w:val="22"/>
            </w:rPr>
            <m:t>min</m:t>
          </m:r>
          <m:d>
            <m:dPr>
              <m:ctrlPr>
                <w:rPr>
                  <w:rFonts w:ascii="Cambria Math" w:hAnsi="Cambria Math" w:cs="Arial"/>
                  <w:i/>
                  <w:sz w:val="22"/>
                  <w:szCs w:val="22"/>
                </w:rPr>
              </m:ctrlPr>
            </m:dPr>
            <m:e>
              <m:r>
                <w:rPr>
                  <w:rFonts w:ascii="Cambria Math" w:hAnsi="Cambria Math" w:cs="Arial"/>
                  <w:sz w:val="22"/>
                  <w:szCs w:val="22"/>
                </w:rPr>
                <m:t>preci</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l</m:t>
                  </m:r>
                </m:sub>
              </m:sSub>
              <m:r>
                <w:rPr>
                  <w:rFonts w:ascii="Cambria Math" w:hAnsi="Cambria Math" w:cs="Arial"/>
                  <w:sz w:val="22"/>
                  <w:szCs w:val="22"/>
                </w:rPr>
                <m:t>;</m:t>
              </m:r>
              <m:f>
                <m:fPr>
                  <m:ctrlPr>
                    <w:rPr>
                      <w:rFonts w:ascii="Cambria Math" w:hAnsi="Cambria Math" w:cs="Arial"/>
                      <w:i/>
                      <w:sz w:val="22"/>
                      <w:szCs w:val="22"/>
                    </w:rPr>
                  </m:ctrlPr>
                </m:fPr>
                <m:num>
                  <m:nary>
                    <m:naryPr>
                      <m:chr m:val="∑"/>
                      <m:limLoc m:val="undOvr"/>
                      <m:ctrlPr>
                        <w:rPr>
                          <w:rFonts w:ascii="Cambria Math" w:hAnsi="Cambria Math" w:cs="Arial"/>
                          <w:i/>
                          <w:sz w:val="22"/>
                          <w:szCs w:val="22"/>
                        </w:rPr>
                      </m:ctrlPr>
                    </m:naryPr>
                    <m:sub>
                      <m:r>
                        <w:rPr>
                          <w:rFonts w:ascii="Cambria Math" w:hAnsi="Cambria Math" w:cs="Arial"/>
                          <w:sz w:val="22"/>
                          <w:szCs w:val="22"/>
                        </w:rPr>
                        <m:t>s=1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l</m:t>
                          </m:r>
                        </m:sub>
                      </m:sSub>
                    </m:sup>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sl</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sl</m:t>
                          </m:r>
                        </m:sub>
                      </m:sSub>
                    </m:e>
                  </m:nary>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l</m:t>
                      </m:r>
                    </m:sub>
                  </m:sSub>
                </m:den>
              </m:f>
            </m:e>
          </m:d>
        </m:oMath>
      </m:oMathPara>
    </w:p>
    <w:p w14:paraId="607F9985" w14:textId="77777777" w:rsidR="00392EFF" w:rsidRPr="00DA6A99" w:rsidRDefault="00392EFF" w:rsidP="00CA7786">
      <w:pPr>
        <w:pStyle w:val="Prrafodelista"/>
        <w:ind w:left="567"/>
        <w:contextualSpacing w:val="0"/>
        <w:rPr>
          <w:rFonts w:cs="Arial"/>
          <w:sz w:val="22"/>
          <w:szCs w:val="22"/>
        </w:rPr>
      </w:pPr>
    </w:p>
    <w:p w14:paraId="1A316EFE" w14:textId="77777777" w:rsidR="00392EFF" w:rsidRPr="00DA6A99" w:rsidRDefault="00392EFF" w:rsidP="00CA7786">
      <w:pPr>
        <w:ind w:left="426"/>
        <w:rPr>
          <w:rFonts w:cs="Arial"/>
          <w:sz w:val="22"/>
          <w:szCs w:val="22"/>
        </w:rPr>
      </w:pPr>
      <w:r w:rsidRPr="00DA6A99">
        <w:rPr>
          <w:rFonts w:cs="Arial"/>
          <w:sz w:val="22"/>
          <w:szCs w:val="22"/>
        </w:rPr>
        <w:t>Donde,</w:t>
      </w:r>
    </w:p>
    <w:p w14:paraId="757BBA6C" w14:textId="77777777" w:rsidR="00392EFF" w:rsidRPr="00DA6A99" w:rsidRDefault="00392EFF" w:rsidP="00CA7786">
      <w:pPr>
        <w:rPr>
          <w:rFonts w:cs="Arial"/>
          <w:sz w:val="22"/>
          <w:szCs w:val="22"/>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13"/>
      </w:tblGrid>
      <w:tr w:rsidR="00392EFF" w:rsidRPr="00DA6A99" w14:paraId="140130AA" w14:textId="77777777" w:rsidTr="00DB06C4">
        <w:tc>
          <w:tcPr>
            <w:tcW w:w="1418" w:type="dxa"/>
            <w:hideMark/>
          </w:tcPr>
          <w:p w14:paraId="26ABAB43" w14:textId="6AECC6AB" w:rsidR="00392EFF" w:rsidRPr="00DA6A99" w:rsidRDefault="005C56C4" w:rsidP="00CA7786">
            <w:pPr>
              <w:tabs>
                <w:tab w:val="left" w:pos="0"/>
                <w:tab w:val="left" w:pos="284"/>
              </w:tabs>
              <w:jc w:val="right"/>
              <w:rPr>
                <w:rFonts w:cs="Arial"/>
                <w:color w:val="000000" w:themeColor="text1"/>
                <w:sz w:val="22"/>
                <w:szCs w:val="22"/>
                <w:lang w:val="es-CO"/>
              </w:rPr>
            </w:pPr>
            <m:oMath>
              <m:sSub>
                <m:sSubPr>
                  <m:ctrlPr>
                    <w:rPr>
                      <w:rFonts w:ascii="Cambria Math" w:hAnsi="Cambria Math" w:cs="Arial"/>
                      <w:i/>
                      <w:color w:val="000000" w:themeColor="text1"/>
                      <w:sz w:val="22"/>
                      <w:szCs w:val="22"/>
                    </w:rPr>
                  </m:ctrlPr>
                </m:sSubPr>
                <m:e>
                  <m:r>
                    <w:rPr>
                      <w:rFonts w:ascii="Cambria Math" w:hAnsi="Cambria Math" w:cs="Arial"/>
                      <w:color w:val="000000" w:themeColor="text1"/>
                      <w:sz w:val="22"/>
                      <w:szCs w:val="22"/>
                      <w:lang w:val="es-CO"/>
                    </w:rPr>
                    <m:t>p</m:t>
                  </m:r>
                </m:e>
                <m:sub>
                  <m:r>
                    <w:rPr>
                      <w:rFonts w:ascii="Cambria Math" w:hAnsi="Cambria Math" w:cs="Arial"/>
                      <w:color w:val="000000" w:themeColor="text1"/>
                      <w:sz w:val="22"/>
                      <w:szCs w:val="22"/>
                    </w:rPr>
                    <m:t>l</m:t>
                  </m:r>
                </m:sub>
              </m:sSub>
              <m:r>
                <w:rPr>
                  <w:rFonts w:ascii="Cambria Math" w:hAnsi="Cambria Math" w:cs="Arial"/>
                  <w:color w:val="000000" w:themeColor="text1"/>
                  <w:sz w:val="22"/>
                  <w:szCs w:val="22"/>
                  <w:lang w:val="es-CO"/>
                </w:rPr>
                <m:t>:</m:t>
              </m:r>
            </m:oMath>
            <w:r w:rsidR="00392EFF" w:rsidRPr="00DA6A99">
              <w:rPr>
                <w:rFonts w:cs="Arial"/>
                <w:color w:val="000000" w:themeColor="text1"/>
                <w:sz w:val="22"/>
                <w:szCs w:val="22"/>
                <w:lang w:val="es-CO"/>
              </w:rPr>
              <w:t xml:space="preserve"> </w:t>
            </w:r>
          </w:p>
        </w:tc>
        <w:tc>
          <w:tcPr>
            <w:tcW w:w="7513" w:type="dxa"/>
          </w:tcPr>
          <w:p w14:paraId="22D5DDB8" w14:textId="72F2884E" w:rsidR="00392EFF" w:rsidRPr="00DA6A99" w:rsidRDefault="00392EFF" w:rsidP="00CA7786">
            <w:pPr>
              <w:tabs>
                <w:tab w:val="left" w:pos="0"/>
                <w:tab w:val="left" w:pos="284"/>
              </w:tabs>
              <w:rPr>
                <w:rFonts w:cs="Arial"/>
                <w:sz w:val="22"/>
                <w:szCs w:val="22"/>
              </w:rPr>
            </w:pPr>
            <w:r w:rsidRPr="00DA6A99">
              <w:rPr>
                <w:rFonts w:cs="Arial"/>
                <w:sz w:val="22"/>
                <w:szCs w:val="22"/>
              </w:rPr>
              <w:t xml:space="preserve">Precio promedio ponderado de las compras realizadas por el comercializador a través de contratos pague lo contratado al 75% resultantes de convocatorias públicas, </w:t>
            </w:r>
            <w:r w:rsidR="00A30EA2" w:rsidRPr="00DA6A99">
              <w:rPr>
                <w:rFonts w:cs="Arial"/>
                <w:sz w:val="22"/>
                <w:szCs w:val="22"/>
              </w:rPr>
              <w:t xml:space="preserve">respaldados con tecnología </w:t>
            </w:r>
            <w:r w:rsidR="00A30EA2" w:rsidRPr="00DA6A99">
              <w:rPr>
                <w:rFonts w:ascii="Times New Roman" w:hAnsi="Times New Roman"/>
                <w:i/>
                <w:sz w:val="22"/>
                <w:szCs w:val="22"/>
                <w:lang w:val="es-ES"/>
              </w:rPr>
              <w:t>l</w:t>
            </w:r>
            <w:r w:rsidRPr="00DA6A99">
              <w:rPr>
                <w:rFonts w:cs="Arial"/>
                <w:sz w:val="22"/>
                <w:szCs w:val="22"/>
              </w:rPr>
              <w:t>.</w:t>
            </w:r>
          </w:p>
          <w:p w14:paraId="01A78E0D" w14:textId="77777777" w:rsidR="00392EFF" w:rsidRPr="00DA6A99" w:rsidRDefault="00392EFF" w:rsidP="00CA7786">
            <w:pPr>
              <w:tabs>
                <w:tab w:val="left" w:pos="0"/>
                <w:tab w:val="left" w:pos="284"/>
              </w:tabs>
              <w:rPr>
                <w:rFonts w:cs="Arial"/>
                <w:sz w:val="22"/>
                <w:szCs w:val="22"/>
              </w:rPr>
            </w:pPr>
          </w:p>
        </w:tc>
      </w:tr>
      <w:tr w:rsidR="00392EFF" w:rsidRPr="00DA6A99" w14:paraId="7EE5E8B9" w14:textId="77777777" w:rsidTr="00DB06C4">
        <w:tc>
          <w:tcPr>
            <w:tcW w:w="1418" w:type="dxa"/>
          </w:tcPr>
          <w:p w14:paraId="0CB4961F" w14:textId="23E5E75F" w:rsidR="00392EFF" w:rsidRPr="00DA6A99" w:rsidRDefault="005063CF" w:rsidP="00CA7786">
            <w:pPr>
              <w:tabs>
                <w:tab w:val="left" w:pos="0"/>
                <w:tab w:val="left" w:pos="284"/>
              </w:tabs>
              <w:jc w:val="right"/>
              <w:rPr>
                <w:rFonts w:cs="Arial"/>
                <w:color w:val="000000" w:themeColor="text1"/>
                <w:sz w:val="22"/>
                <w:szCs w:val="22"/>
              </w:rPr>
            </w:pPr>
            <m:oMath>
              <m:r>
                <w:rPr>
                  <w:rFonts w:ascii="Cambria Math" w:hAnsi="Cambria Math" w:cs="Arial"/>
                  <w:color w:val="000000" w:themeColor="text1"/>
                  <w:sz w:val="22"/>
                  <w:szCs w:val="22"/>
                  <w:lang w:val="es-CO"/>
                </w:rPr>
                <m:t xml:space="preserve">Mc: </m:t>
              </m:r>
            </m:oMath>
            <w:r w:rsidR="00392EFF" w:rsidRPr="00DA6A99">
              <w:rPr>
                <w:rFonts w:cs="Arial"/>
                <w:color w:val="000000" w:themeColor="text1"/>
                <w:sz w:val="22"/>
                <w:szCs w:val="22"/>
                <w:lang w:val="es-CO"/>
              </w:rPr>
              <w:t xml:space="preserve"> </w:t>
            </w:r>
          </w:p>
        </w:tc>
        <w:tc>
          <w:tcPr>
            <w:tcW w:w="7513" w:type="dxa"/>
          </w:tcPr>
          <w:p w14:paraId="06EFD043" w14:textId="4C0484BA" w:rsidR="00392EFF" w:rsidRPr="00DA6A99" w:rsidRDefault="00392EFF" w:rsidP="00CA7786">
            <w:pPr>
              <w:tabs>
                <w:tab w:val="left" w:pos="0"/>
                <w:tab w:val="left" w:pos="284"/>
              </w:tabs>
              <w:rPr>
                <w:rFonts w:cs="Arial"/>
                <w:sz w:val="22"/>
                <w:szCs w:val="22"/>
              </w:rPr>
            </w:pPr>
            <w:r w:rsidRPr="00DA6A99">
              <w:rPr>
                <w:rFonts w:cs="Arial"/>
                <w:sz w:val="22"/>
                <w:szCs w:val="22"/>
              </w:rPr>
              <w:t>Costo promedio ponderado por energía, expresado en pesos por kilovatio hora (COP/kWh), de todos los contratos resultantes de las convocatorias públicas a las que hace referencia la Resolución CREG 130 de 2019 o aquella que la modifique, sustituya o adicione.</w:t>
            </w:r>
          </w:p>
          <w:p w14:paraId="39153D85" w14:textId="77777777" w:rsidR="00392EFF" w:rsidRPr="00DA6A99" w:rsidRDefault="00392EFF" w:rsidP="00CA7786">
            <w:pPr>
              <w:tabs>
                <w:tab w:val="left" w:pos="0"/>
                <w:tab w:val="left" w:pos="284"/>
              </w:tabs>
              <w:rPr>
                <w:rFonts w:cs="Arial"/>
                <w:sz w:val="22"/>
                <w:szCs w:val="22"/>
              </w:rPr>
            </w:pPr>
          </w:p>
        </w:tc>
      </w:tr>
      <w:tr w:rsidR="00392EFF" w:rsidRPr="00DA6A99" w14:paraId="0F0CCB99" w14:textId="77777777" w:rsidTr="00DB06C4">
        <w:tc>
          <w:tcPr>
            <w:tcW w:w="1418" w:type="dxa"/>
          </w:tcPr>
          <w:p w14:paraId="551DFBCA" w14:textId="3CF6E238" w:rsidR="00392EFF" w:rsidRPr="00DA6A99" w:rsidRDefault="005C56C4" w:rsidP="00CA7786">
            <w:pPr>
              <w:tabs>
                <w:tab w:val="left" w:pos="0"/>
                <w:tab w:val="left" w:pos="284"/>
              </w:tabs>
              <w:jc w:val="right"/>
              <w:rPr>
                <w:rFonts w:cs="Arial"/>
                <w:color w:val="000000" w:themeColor="text1"/>
                <w:sz w:val="22"/>
                <w:szCs w:val="22"/>
                <w:lang w:val="es-CO"/>
              </w:rPr>
            </w:pP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sl</m:t>
                  </m:r>
                </m:sub>
              </m:sSub>
            </m:oMath>
            <w:r w:rsidR="00392EFF" w:rsidRPr="00DA6A99">
              <w:rPr>
                <w:rFonts w:cs="Arial"/>
                <w:sz w:val="22"/>
                <w:szCs w:val="22"/>
              </w:rPr>
              <w:t>:</w:t>
            </w:r>
          </w:p>
        </w:tc>
        <w:tc>
          <w:tcPr>
            <w:tcW w:w="7513" w:type="dxa"/>
          </w:tcPr>
          <w:p w14:paraId="7A515483" w14:textId="35FC9FAB" w:rsidR="00392EFF" w:rsidRPr="00DA6A99" w:rsidRDefault="00392EFF" w:rsidP="00CA7786">
            <w:pPr>
              <w:tabs>
                <w:tab w:val="left" w:pos="0"/>
                <w:tab w:val="left" w:pos="284"/>
              </w:tabs>
              <w:rPr>
                <w:rFonts w:cs="Arial"/>
                <w:sz w:val="22"/>
                <w:szCs w:val="22"/>
              </w:rPr>
            </w:pPr>
            <w:r w:rsidRPr="00DA6A99">
              <w:rPr>
                <w:rFonts w:cs="Arial"/>
                <w:sz w:val="22"/>
                <w:szCs w:val="22"/>
              </w:rPr>
              <w:t xml:space="preserve">Precio del contrato firme al 75% </w:t>
            </w:r>
            <w:r w:rsidR="005E0FE0" w:rsidRPr="00DA6A99">
              <w:rPr>
                <w:rFonts w:cs="Arial"/>
                <w:i/>
                <w:sz w:val="22"/>
                <w:szCs w:val="22"/>
                <w:lang w:val="es-ES"/>
              </w:rPr>
              <w:t>s</w:t>
            </w:r>
            <w:r w:rsidR="005E0FE0" w:rsidRPr="00DA6A99">
              <w:rPr>
                <w:rFonts w:cs="Arial"/>
                <w:sz w:val="22"/>
                <w:szCs w:val="22"/>
                <w:lang w:val="es-ES"/>
              </w:rPr>
              <w:t xml:space="preserve"> respaldado con tecnología </w:t>
            </w:r>
            <w:r w:rsidR="005E0FE0" w:rsidRPr="00DA6A99">
              <w:rPr>
                <w:rFonts w:ascii="Times New Roman" w:hAnsi="Times New Roman"/>
                <w:i/>
                <w:sz w:val="22"/>
                <w:szCs w:val="22"/>
                <w:lang w:val="es-ES"/>
              </w:rPr>
              <w:t>l</w:t>
            </w:r>
            <w:r w:rsidRPr="00DA6A99">
              <w:rPr>
                <w:rFonts w:cs="Arial"/>
                <w:sz w:val="22"/>
                <w:szCs w:val="22"/>
              </w:rPr>
              <w:t>.</w:t>
            </w:r>
          </w:p>
          <w:p w14:paraId="1D242785" w14:textId="77777777" w:rsidR="00392EFF" w:rsidRPr="00DA6A99" w:rsidRDefault="00392EFF" w:rsidP="00CA7786">
            <w:pPr>
              <w:tabs>
                <w:tab w:val="left" w:pos="0"/>
                <w:tab w:val="left" w:pos="284"/>
              </w:tabs>
              <w:rPr>
                <w:rFonts w:cs="Arial"/>
                <w:sz w:val="22"/>
                <w:szCs w:val="22"/>
              </w:rPr>
            </w:pPr>
          </w:p>
        </w:tc>
      </w:tr>
      <w:tr w:rsidR="00392EFF" w:rsidRPr="00DA6A99" w14:paraId="2D029779" w14:textId="77777777" w:rsidTr="00DB06C4">
        <w:tc>
          <w:tcPr>
            <w:tcW w:w="1418" w:type="dxa"/>
          </w:tcPr>
          <w:p w14:paraId="78EB5B7C" w14:textId="3EB35969" w:rsidR="00392EFF" w:rsidRPr="00DA6A99" w:rsidRDefault="005C56C4" w:rsidP="00CA7786">
            <w:pPr>
              <w:tabs>
                <w:tab w:val="left" w:pos="0"/>
                <w:tab w:val="left" w:pos="284"/>
              </w:tabs>
              <w:jc w:val="right"/>
              <w:rPr>
                <w:rFonts w:cs="Arial"/>
                <w:color w:val="000000" w:themeColor="text1"/>
                <w:sz w:val="22"/>
                <w:szCs w:val="22"/>
              </w:rPr>
            </w:pPr>
            <m:oMathPara>
              <m:oMathParaPr>
                <m:jc m:val="right"/>
              </m:oMathParaPr>
              <m:oMath>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sl</m:t>
                    </m:r>
                  </m:sub>
                </m:sSub>
                <m:r>
                  <w:rPr>
                    <w:rFonts w:ascii="Cambria Math" w:hAnsi="Cambria Math" w:cs="Arial"/>
                    <w:sz w:val="22"/>
                    <w:szCs w:val="22"/>
                  </w:rPr>
                  <m:t>:</m:t>
                </m:r>
              </m:oMath>
            </m:oMathPara>
          </w:p>
        </w:tc>
        <w:tc>
          <w:tcPr>
            <w:tcW w:w="7513" w:type="dxa"/>
          </w:tcPr>
          <w:p w14:paraId="78219902" w14:textId="33F1AA22" w:rsidR="00392EFF" w:rsidRPr="00DA6A99" w:rsidRDefault="00392EFF" w:rsidP="00CA7786">
            <w:pPr>
              <w:tabs>
                <w:tab w:val="left" w:pos="0"/>
                <w:tab w:val="left" w:pos="284"/>
              </w:tabs>
              <w:rPr>
                <w:rFonts w:cs="Arial"/>
                <w:sz w:val="22"/>
                <w:szCs w:val="22"/>
              </w:rPr>
            </w:pPr>
            <w:r w:rsidRPr="00DA6A99">
              <w:rPr>
                <w:rFonts w:cs="Arial"/>
                <w:sz w:val="22"/>
                <w:szCs w:val="22"/>
                <w:lang w:val="es-ES"/>
              </w:rPr>
              <w:t xml:space="preserve">Cantidad de energía cubierta por el comercializador mediante el contrato firme al 75% </w:t>
            </w:r>
            <w:r w:rsidR="00D53B4C" w:rsidRPr="00DA6A99">
              <w:rPr>
                <w:rFonts w:cs="Arial"/>
                <w:i/>
                <w:sz w:val="22"/>
                <w:szCs w:val="22"/>
                <w:lang w:val="es-ES"/>
              </w:rPr>
              <w:t>s</w:t>
            </w:r>
            <w:r w:rsidR="00D53B4C" w:rsidRPr="00DA6A99">
              <w:rPr>
                <w:rFonts w:cs="Arial"/>
                <w:sz w:val="22"/>
                <w:szCs w:val="22"/>
                <w:lang w:val="es-ES"/>
              </w:rPr>
              <w:t xml:space="preserve"> respaldado</w:t>
            </w:r>
            <w:r w:rsidRPr="00DA6A99">
              <w:rPr>
                <w:rFonts w:cs="Arial"/>
                <w:sz w:val="22"/>
                <w:szCs w:val="22"/>
                <w:lang w:val="es-ES"/>
              </w:rPr>
              <w:t xml:space="preserve"> con </w:t>
            </w:r>
            <w:r w:rsidR="00D53B4C" w:rsidRPr="00DA6A99">
              <w:rPr>
                <w:rFonts w:cs="Arial"/>
                <w:sz w:val="22"/>
                <w:szCs w:val="22"/>
                <w:lang w:val="es-ES"/>
              </w:rPr>
              <w:t xml:space="preserve">tecnología </w:t>
            </w:r>
            <w:r w:rsidR="00D53B4C" w:rsidRPr="00DA6A99">
              <w:rPr>
                <w:rFonts w:ascii="Times New Roman" w:hAnsi="Times New Roman"/>
                <w:i/>
                <w:sz w:val="22"/>
                <w:szCs w:val="22"/>
                <w:lang w:val="es-ES"/>
              </w:rPr>
              <w:t>l</w:t>
            </w:r>
            <w:r w:rsidRPr="00DA6A99">
              <w:rPr>
                <w:rFonts w:cs="Arial"/>
                <w:sz w:val="22"/>
                <w:szCs w:val="22"/>
              </w:rPr>
              <w:t>.</w:t>
            </w:r>
          </w:p>
          <w:p w14:paraId="3BF7D065" w14:textId="77777777" w:rsidR="00392EFF" w:rsidRPr="00DA6A99" w:rsidRDefault="00392EFF" w:rsidP="00CA7786">
            <w:pPr>
              <w:tabs>
                <w:tab w:val="left" w:pos="0"/>
                <w:tab w:val="left" w:pos="284"/>
              </w:tabs>
              <w:rPr>
                <w:rFonts w:cs="Arial"/>
                <w:sz w:val="22"/>
                <w:szCs w:val="22"/>
              </w:rPr>
            </w:pPr>
          </w:p>
        </w:tc>
      </w:tr>
      <w:tr w:rsidR="00392EFF" w:rsidRPr="00DA6A99" w14:paraId="42AE95C1" w14:textId="77777777" w:rsidTr="00DB06C4">
        <w:tc>
          <w:tcPr>
            <w:tcW w:w="1418" w:type="dxa"/>
          </w:tcPr>
          <w:p w14:paraId="5779BC32" w14:textId="3CE53AF8" w:rsidR="00392EFF" w:rsidRPr="00DA6A99" w:rsidRDefault="005C56C4" w:rsidP="00CA7786">
            <w:pPr>
              <w:tabs>
                <w:tab w:val="left" w:pos="0"/>
                <w:tab w:val="left" w:pos="284"/>
              </w:tabs>
              <w:jc w:val="right"/>
              <w:rPr>
                <w:rFonts w:cs="Arial"/>
                <w:i/>
                <w:sz w:val="22"/>
                <w:szCs w:val="22"/>
              </w:rPr>
            </w:pPr>
            <m:oMathPara>
              <m:oMathParaPr>
                <m:jc m:val="right"/>
              </m:oMathPara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l</m:t>
                    </m:r>
                  </m:sub>
                </m:sSub>
                <m:r>
                  <w:rPr>
                    <w:rFonts w:ascii="Cambria Math" w:hAnsi="Cambria Math" w:cs="Arial"/>
                    <w:sz w:val="22"/>
                    <w:szCs w:val="22"/>
                  </w:rPr>
                  <m:t>:</m:t>
                </m:r>
              </m:oMath>
            </m:oMathPara>
          </w:p>
        </w:tc>
        <w:tc>
          <w:tcPr>
            <w:tcW w:w="7513" w:type="dxa"/>
          </w:tcPr>
          <w:p w14:paraId="7435AFB0" w14:textId="408F30AA" w:rsidR="00392EFF" w:rsidRPr="00DA6A99" w:rsidRDefault="00392EFF" w:rsidP="00CA7786">
            <w:pPr>
              <w:tabs>
                <w:tab w:val="left" w:pos="0"/>
                <w:tab w:val="left" w:pos="284"/>
              </w:tabs>
              <w:rPr>
                <w:rFonts w:cs="Arial"/>
                <w:sz w:val="22"/>
                <w:szCs w:val="22"/>
              </w:rPr>
            </w:pPr>
            <w:r w:rsidRPr="00DA6A99">
              <w:rPr>
                <w:rFonts w:cs="Arial"/>
                <w:sz w:val="22"/>
                <w:szCs w:val="22"/>
                <w:lang w:val="es-ES"/>
              </w:rPr>
              <w:t xml:space="preserve">Número de contratos pague lo contratado al 75% resultantes de convocatorias públicas, </w:t>
            </w:r>
            <w:r w:rsidR="00D53B4C" w:rsidRPr="00DA6A99">
              <w:rPr>
                <w:rFonts w:cs="Arial"/>
                <w:sz w:val="22"/>
                <w:szCs w:val="22"/>
                <w:lang w:val="es-ES"/>
              </w:rPr>
              <w:t>respaldados</w:t>
            </w:r>
            <w:r w:rsidRPr="00DA6A99">
              <w:rPr>
                <w:rFonts w:cs="Arial"/>
                <w:sz w:val="22"/>
                <w:szCs w:val="22"/>
                <w:lang w:val="es-ES"/>
              </w:rPr>
              <w:t xml:space="preserve"> con </w:t>
            </w:r>
            <w:r w:rsidR="00D53B4C" w:rsidRPr="00DA6A99">
              <w:rPr>
                <w:rFonts w:cs="Arial"/>
                <w:sz w:val="22"/>
                <w:szCs w:val="22"/>
                <w:lang w:val="es-ES"/>
              </w:rPr>
              <w:t xml:space="preserve">tecnología </w:t>
            </w:r>
            <w:r w:rsidR="00D53B4C" w:rsidRPr="00DA6A99">
              <w:rPr>
                <w:rFonts w:ascii="Times New Roman" w:hAnsi="Times New Roman"/>
                <w:i/>
                <w:sz w:val="22"/>
                <w:szCs w:val="22"/>
                <w:lang w:val="es-ES"/>
              </w:rPr>
              <w:t>l</w:t>
            </w:r>
            <w:r w:rsidRPr="00DA6A99">
              <w:rPr>
                <w:rFonts w:cs="Arial"/>
                <w:sz w:val="22"/>
                <w:szCs w:val="22"/>
              </w:rPr>
              <w:t>.</w:t>
            </w:r>
          </w:p>
          <w:p w14:paraId="4AA1F7DC" w14:textId="77777777" w:rsidR="00392EFF" w:rsidRPr="00DA6A99" w:rsidRDefault="00392EFF" w:rsidP="00CA7786">
            <w:pPr>
              <w:tabs>
                <w:tab w:val="left" w:pos="0"/>
                <w:tab w:val="left" w:pos="284"/>
              </w:tabs>
              <w:rPr>
                <w:rFonts w:cs="Arial"/>
                <w:sz w:val="22"/>
                <w:szCs w:val="22"/>
              </w:rPr>
            </w:pPr>
          </w:p>
        </w:tc>
      </w:tr>
      <w:tr w:rsidR="00392EFF" w:rsidRPr="00DA6A99" w14:paraId="360CEBBE" w14:textId="77777777" w:rsidTr="00DB06C4">
        <w:tc>
          <w:tcPr>
            <w:tcW w:w="1418" w:type="dxa"/>
          </w:tcPr>
          <w:p w14:paraId="3EB3D6FE" w14:textId="67CE58C3" w:rsidR="00392EFF" w:rsidRPr="00DA6A99" w:rsidRDefault="005C56C4" w:rsidP="00CA7786">
            <w:pPr>
              <w:tabs>
                <w:tab w:val="left" w:pos="0"/>
                <w:tab w:val="left" w:pos="284"/>
              </w:tabs>
              <w:jc w:val="right"/>
              <w:rPr>
                <w:rFonts w:cs="Arial"/>
                <w:i/>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l</m:t>
                  </m:r>
                </m:sub>
              </m:sSub>
            </m:oMath>
            <w:r w:rsidR="00392EFF" w:rsidRPr="00DA6A99">
              <w:rPr>
                <w:rFonts w:cs="Arial"/>
                <w:sz w:val="22"/>
                <w:szCs w:val="22"/>
              </w:rPr>
              <w:t>:</w:t>
            </w:r>
          </w:p>
        </w:tc>
        <w:tc>
          <w:tcPr>
            <w:tcW w:w="7513" w:type="dxa"/>
          </w:tcPr>
          <w:p w14:paraId="3731AD19" w14:textId="77777777" w:rsidR="00392EFF" w:rsidRPr="00DA6A99" w:rsidRDefault="00392EFF" w:rsidP="00CA7786">
            <w:pPr>
              <w:tabs>
                <w:tab w:val="left" w:pos="0"/>
                <w:tab w:val="left" w:pos="284"/>
              </w:tabs>
              <w:rPr>
                <w:rFonts w:cs="Arial"/>
                <w:sz w:val="22"/>
                <w:szCs w:val="22"/>
              </w:rPr>
            </w:pPr>
            <w:r w:rsidRPr="00DA6A99">
              <w:rPr>
                <w:rFonts w:cs="Arial"/>
                <w:sz w:val="22"/>
                <w:szCs w:val="22"/>
                <w:lang w:val="es-ES"/>
              </w:rPr>
              <w:t xml:space="preserve">Energía cubierta por el comercializador mediante contratos pague lo contratado al 75% resultantes de convocatorias públicas, </w:t>
            </w:r>
            <w:r w:rsidR="005063CF" w:rsidRPr="00DA6A99">
              <w:rPr>
                <w:rFonts w:cs="Arial"/>
                <w:sz w:val="22"/>
                <w:szCs w:val="22"/>
                <w:lang w:val="es-ES"/>
              </w:rPr>
              <w:t>respaldados</w:t>
            </w:r>
            <w:r w:rsidRPr="00DA6A99">
              <w:rPr>
                <w:rFonts w:cs="Arial"/>
                <w:sz w:val="22"/>
                <w:szCs w:val="22"/>
                <w:lang w:val="es-ES"/>
              </w:rPr>
              <w:t xml:space="preserve"> con </w:t>
            </w:r>
            <w:r w:rsidR="005063CF" w:rsidRPr="00DA6A99">
              <w:rPr>
                <w:rFonts w:cs="Arial"/>
                <w:sz w:val="22"/>
                <w:szCs w:val="22"/>
                <w:lang w:val="es-ES"/>
              </w:rPr>
              <w:t xml:space="preserve">tecnología </w:t>
            </w:r>
            <w:r w:rsidR="005063CF" w:rsidRPr="00DA6A99">
              <w:rPr>
                <w:rFonts w:ascii="Times New Roman" w:hAnsi="Times New Roman"/>
                <w:i/>
                <w:sz w:val="22"/>
                <w:szCs w:val="22"/>
                <w:lang w:val="es-ES"/>
              </w:rPr>
              <w:t>l</w:t>
            </w:r>
            <w:r w:rsidRPr="00DA6A99">
              <w:rPr>
                <w:rFonts w:cs="Arial"/>
                <w:sz w:val="22"/>
                <w:szCs w:val="22"/>
              </w:rPr>
              <w:t>.</w:t>
            </w:r>
          </w:p>
          <w:p w14:paraId="144BABDD" w14:textId="1E8E339B" w:rsidR="00392EFF" w:rsidRPr="00DA6A99" w:rsidRDefault="00392EFF" w:rsidP="00CA7786">
            <w:pPr>
              <w:tabs>
                <w:tab w:val="left" w:pos="0"/>
                <w:tab w:val="left" w:pos="284"/>
              </w:tabs>
              <w:rPr>
                <w:rFonts w:cs="Arial"/>
                <w:sz w:val="22"/>
                <w:szCs w:val="22"/>
              </w:rPr>
            </w:pPr>
          </w:p>
        </w:tc>
      </w:tr>
      <w:tr w:rsidR="008B318D" w:rsidRPr="00DA6A99" w14:paraId="0BE65468" w14:textId="77777777" w:rsidTr="00DB06C4">
        <w:tc>
          <w:tcPr>
            <w:tcW w:w="1418" w:type="dxa"/>
          </w:tcPr>
          <w:p w14:paraId="5F37F003" w14:textId="77777777" w:rsidR="008B318D" w:rsidRPr="00DA6A99" w:rsidRDefault="008B318D" w:rsidP="00CA7786">
            <w:pPr>
              <w:tabs>
                <w:tab w:val="left" w:pos="0"/>
                <w:tab w:val="left" w:pos="284"/>
              </w:tabs>
              <w:jc w:val="right"/>
              <w:rPr>
                <w:rFonts w:cs="Arial"/>
                <w:i/>
                <w:sz w:val="22"/>
                <w:szCs w:val="22"/>
                <w:lang w:val="es-ES"/>
              </w:rPr>
            </w:pPr>
            <w:r w:rsidRPr="00DA6A99">
              <w:rPr>
                <w:rFonts w:ascii="Times New Roman" w:hAnsi="Times New Roman"/>
                <w:i/>
                <w:sz w:val="22"/>
                <w:szCs w:val="22"/>
                <w:lang w:val="es-ES"/>
              </w:rPr>
              <w:t>l</w:t>
            </w:r>
            <w:r w:rsidRPr="00DA6A99">
              <w:rPr>
                <w:rFonts w:cs="Arial"/>
                <w:i/>
                <w:sz w:val="22"/>
                <w:szCs w:val="22"/>
                <w:lang w:val="es-ES"/>
              </w:rPr>
              <w:t>:</w:t>
            </w:r>
          </w:p>
        </w:tc>
        <w:tc>
          <w:tcPr>
            <w:tcW w:w="7513" w:type="dxa"/>
          </w:tcPr>
          <w:p w14:paraId="33ECFDEA" w14:textId="4CBADC3B" w:rsidR="008B318D" w:rsidRPr="00DA6A99" w:rsidRDefault="008B318D" w:rsidP="00CA7786">
            <w:pPr>
              <w:tabs>
                <w:tab w:val="left" w:pos="0"/>
                <w:tab w:val="left" w:pos="284"/>
              </w:tabs>
              <w:rPr>
                <w:rFonts w:cs="Arial"/>
                <w:sz w:val="22"/>
                <w:szCs w:val="22"/>
                <w:lang w:val="es-ES"/>
              </w:rPr>
            </w:pPr>
            <w:r w:rsidRPr="00DA6A99">
              <w:rPr>
                <w:rFonts w:cs="Arial"/>
                <w:sz w:val="22"/>
                <w:szCs w:val="22"/>
                <w:lang w:val="es-ES"/>
              </w:rPr>
              <w:t xml:space="preserve">Cuando los contratos se encuentran respaldados con </w:t>
            </w:r>
            <w:r w:rsidR="007A335F" w:rsidRPr="00DA6A99">
              <w:rPr>
                <w:rFonts w:cs="Arial"/>
                <w:sz w:val="22"/>
                <w:szCs w:val="22"/>
                <w:lang w:val="es-ES"/>
              </w:rPr>
              <w:t>generación</w:t>
            </w:r>
            <w:r w:rsidRPr="00DA6A99">
              <w:rPr>
                <w:rFonts w:cs="Arial"/>
                <w:sz w:val="22"/>
                <w:szCs w:val="22"/>
                <w:lang w:val="es-ES"/>
              </w:rPr>
              <w:t xml:space="preserve"> no térmica, el identificador </w:t>
            </w:r>
            <w:r w:rsidRPr="00DA6A99">
              <w:rPr>
                <w:rFonts w:ascii="Times New Roman" w:hAnsi="Times New Roman"/>
                <w:i/>
                <w:sz w:val="22"/>
                <w:szCs w:val="22"/>
                <w:lang w:val="es-ES"/>
              </w:rPr>
              <w:t>l</w:t>
            </w:r>
            <w:r w:rsidRPr="00DA6A99">
              <w:rPr>
                <w:rFonts w:cs="Arial"/>
                <w:sz w:val="22"/>
                <w:szCs w:val="22"/>
                <w:lang w:val="es-ES"/>
              </w:rPr>
              <w:t xml:space="preserve"> es 4. Cuando los contratos se encuentran respaldados con </w:t>
            </w:r>
            <w:r w:rsidR="007A335F" w:rsidRPr="00DA6A99">
              <w:rPr>
                <w:rFonts w:cs="Arial"/>
                <w:sz w:val="22"/>
                <w:szCs w:val="22"/>
                <w:lang w:val="es-ES"/>
              </w:rPr>
              <w:t>generación</w:t>
            </w:r>
            <w:r w:rsidRPr="00DA6A99">
              <w:rPr>
                <w:rFonts w:cs="Arial"/>
                <w:sz w:val="22"/>
                <w:szCs w:val="22"/>
                <w:lang w:val="es-ES"/>
              </w:rPr>
              <w:t xml:space="preserve"> térmicas, el identificador </w:t>
            </w:r>
            <w:r w:rsidRPr="00DA6A99">
              <w:rPr>
                <w:rFonts w:ascii="Times New Roman" w:hAnsi="Times New Roman"/>
                <w:i/>
                <w:sz w:val="22"/>
                <w:szCs w:val="22"/>
                <w:lang w:val="es-ES"/>
              </w:rPr>
              <w:t>l</w:t>
            </w:r>
            <w:r w:rsidRPr="00DA6A99">
              <w:rPr>
                <w:rFonts w:cs="Arial"/>
                <w:sz w:val="22"/>
                <w:szCs w:val="22"/>
                <w:lang w:val="es-ES"/>
              </w:rPr>
              <w:t xml:space="preserve"> </w:t>
            </w:r>
            <w:r w:rsidR="00B21C63" w:rsidRPr="00DA6A99">
              <w:rPr>
                <w:rFonts w:cs="Arial"/>
                <w:sz w:val="22"/>
                <w:szCs w:val="22"/>
                <w:lang w:val="es-ES"/>
              </w:rPr>
              <w:t>es 5</w:t>
            </w:r>
            <w:r w:rsidRPr="00DA6A99">
              <w:rPr>
                <w:rFonts w:cs="Arial"/>
                <w:sz w:val="22"/>
                <w:szCs w:val="22"/>
                <w:lang w:val="es-ES"/>
              </w:rPr>
              <w:t>.</w:t>
            </w:r>
          </w:p>
          <w:p w14:paraId="7FFF9AE6" w14:textId="239E500B" w:rsidR="008B318D" w:rsidRPr="00DA6A99" w:rsidRDefault="008B318D" w:rsidP="00CA7786">
            <w:pPr>
              <w:tabs>
                <w:tab w:val="left" w:pos="0"/>
                <w:tab w:val="left" w:pos="284"/>
              </w:tabs>
              <w:rPr>
                <w:rFonts w:cs="Arial"/>
                <w:sz w:val="22"/>
                <w:szCs w:val="22"/>
                <w:lang w:val="es-ES"/>
              </w:rPr>
            </w:pPr>
          </w:p>
        </w:tc>
      </w:tr>
      <w:tr w:rsidR="008B318D" w:rsidRPr="00DA6A99" w14:paraId="4AD86E5B" w14:textId="77777777" w:rsidTr="00DB06C4">
        <w:tc>
          <w:tcPr>
            <w:tcW w:w="1418" w:type="dxa"/>
          </w:tcPr>
          <w:p w14:paraId="1D30E974" w14:textId="53AF8964" w:rsidR="008B318D" w:rsidRPr="00DA6A99" w:rsidRDefault="008005AF" w:rsidP="00CA7786">
            <w:pPr>
              <w:tabs>
                <w:tab w:val="left" w:pos="0"/>
                <w:tab w:val="left" w:pos="284"/>
              </w:tabs>
              <w:jc w:val="right"/>
              <w:rPr>
                <w:rFonts w:cs="Arial"/>
                <w:sz w:val="22"/>
                <w:szCs w:val="22"/>
              </w:rPr>
            </w:pPr>
            <m:oMath>
              <m:r>
                <w:rPr>
                  <w:rFonts w:ascii="Cambria Math" w:hAnsi="Cambria Math" w:cs="Arial"/>
                  <w:sz w:val="22"/>
                  <w:szCs w:val="22"/>
                </w:rPr>
                <m:t>preci</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l</m:t>
                  </m:r>
                </m:sub>
              </m:sSub>
            </m:oMath>
            <w:r w:rsidR="004A75D6" w:rsidRPr="00DA6A99">
              <w:rPr>
                <w:rFonts w:cs="Arial"/>
                <w:sz w:val="22"/>
                <w:szCs w:val="22"/>
              </w:rPr>
              <w:t>:</w:t>
            </w:r>
          </w:p>
        </w:tc>
        <w:tc>
          <w:tcPr>
            <w:tcW w:w="7513" w:type="dxa"/>
          </w:tcPr>
          <w:p w14:paraId="04A05006" w14:textId="2FF56224" w:rsidR="004A75D6" w:rsidRPr="00DA6A99" w:rsidRDefault="004A75D6" w:rsidP="00CA7786">
            <w:pPr>
              <w:tabs>
                <w:tab w:val="left" w:pos="0"/>
                <w:tab w:val="left" w:pos="284"/>
              </w:tabs>
              <w:rPr>
                <w:rFonts w:cs="Arial"/>
                <w:sz w:val="22"/>
                <w:szCs w:val="22"/>
                <w:lang w:val="es-ES"/>
              </w:rPr>
            </w:pPr>
            <w:r w:rsidRPr="00DA6A99">
              <w:rPr>
                <w:rFonts w:cs="Arial"/>
                <w:sz w:val="22"/>
                <w:szCs w:val="22"/>
                <w:lang w:val="es-ES"/>
              </w:rPr>
              <w:t xml:space="preserve">Para contratos respaldados con tecnología </w:t>
            </w:r>
            <w:r w:rsidR="002342D0" w:rsidRPr="00DA6A99">
              <w:rPr>
                <w:rFonts w:cs="Arial"/>
                <w:sz w:val="22"/>
                <w:szCs w:val="22"/>
                <w:lang w:val="es-ES"/>
              </w:rPr>
              <w:t>no térmica (</w:t>
            </w:r>
            <w:r w:rsidR="00C42674" w:rsidRPr="00DA6A99">
              <w:rPr>
                <w:rFonts w:ascii="Times New Roman" w:hAnsi="Times New Roman"/>
                <w:i/>
                <w:sz w:val="22"/>
                <w:szCs w:val="22"/>
                <w:lang w:val="es-ES"/>
              </w:rPr>
              <w:t>l</w:t>
            </w:r>
            <w:r w:rsidR="00C42674" w:rsidRPr="00DA6A99">
              <w:rPr>
                <w:rFonts w:cs="Arial"/>
                <w:sz w:val="22"/>
                <w:szCs w:val="22"/>
                <w:lang w:val="es-ES"/>
              </w:rPr>
              <w:t>=4)</w:t>
            </w:r>
            <w:r w:rsidRPr="00DA6A99">
              <w:rPr>
                <w:rFonts w:cs="Arial"/>
                <w:sz w:val="22"/>
                <w:szCs w:val="22"/>
                <w:lang w:val="es-ES"/>
              </w:rPr>
              <w:t xml:space="preserve"> e</w:t>
            </w:r>
            <w:r w:rsidR="00A6097C" w:rsidRPr="00DA6A99">
              <w:rPr>
                <w:rFonts w:cs="Arial"/>
                <w:sz w:val="22"/>
                <w:szCs w:val="22"/>
                <w:lang w:val="es-ES"/>
              </w:rPr>
              <w:t>ste</w:t>
            </w:r>
            <w:r w:rsidRPr="00DA6A99">
              <w:rPr>
                <w:rFonts w:cs="Arial"/>
                <w:sz w:val="22"/>
                <w:szCs w:val="22"/>
                <w:lang w:val="es-ES"/>
              </w:rPr>
              <w:t xml:space="preserve"> precio es </w:t>
            </w:r>
            <w:r w:rsidRPr="00DA6A99">
              <w:rPr>
                <w:rFonts w:cs="Arial"/>
                <w:b/>
                <w:sz w:val="22"/>
                <w:szCs w:val="22"/>
                <w:lang w:val="es-ES"/>
              </w:rPr>
              <w:t>1.5*Mc</w:t>
            </w:r>
            <w:r w:rsidR="00C42674" w:rsidRPr="00DA6A99">
              <w:rPr>
                <w:rFonts w:cs="Arial"/>
                <w:sz w:val="22"/>
                <w:szCs w:val="22"/>
                <w:lang w:val="es-ES"/>
              </w:rPr>
              <w:t>. Para contratos respaldados con tecnología térmica (</w:t>
            </w:r>
            <w:r w:rsidR="00C42674" w:rsidRPr="00DA6A99">
              <w:rPr>
                <w:rFonts w:ascii="Times New Roman" w:hAnsi="Times New Roman"/>
                <w:i/>
                <w:sz w:val="22"/>
                <w:szCs w:val="22"/>
                <w:lang w:val="es-ES"/>
              </w:rPr>
              <w:t>l</w:t>
            </w:r>
            <w:r w:rsidR="00C42674" w:rsidRPr="00DA6A99">
              <w:rPr>
                <w:rFonts w:cs="Arial"/>
                <w:sz w:val="22"/>
                <w:szCs w:val="22"/>
                <w:lang w:val="es-ES"/>
              </w:rPr>
              <w:t>=</w:t>
            </w:r>
            <w:r w:rsidR="00744142" w:rsidRPr="00DA6A99">
              <w:rPr>
                <w:rFonts w:cs="Arial"/>
                <w:sz w:val="22"/>
                <w:szCs w:val="22"/>
                <w:lang w:val="es-ES"/>
              </w:rPr>
              <w:t>5</w:t>
            </w:r>
            <w:r w:rsidR="00C42674" w:rsidRPr="00DA6A99">
              <w:rPr>
                <w:rFonts w:cs="Arial"/>
                <w:sz w:val="22"/>
                <w:szCs w:val="22"/>
                <w:lang w:val="es-ES"/>
              </w:rPr>
              <w:t xml:space="preserve">) es el </w:t>
            </w:r>
            <w:r w:rsidR="00C42674" w:rsidRPr="00DA6A99">
              <w:rPr>
                <w:rFonts w:cs="Arial"/>
                <w:b/>
                <w:sz w:val="22"/>
                <w:szCs w:val="22"/>
                <w:lang w:val="es-ES"/>
              </w:rPr>
              <w:t xml:space="preserve">promedio simple entre el Mc y el precio de </w:t>
            </w:r>
            <w:r w:rsidR="00744142" w:rsidRPr="00DA6A99">
              <w:rPr>
                <w:rFonts w:cs="Arial"/>
                <w:b/>
                <w:sz w:val="22"/>
                <w:szCs w:val="22"/>
                <w:lang w:val="es-ES"/>
              </w:rPr>
              <w:t>escasez</w:t>
            </w:r>
            <w:r w:rsidR="00C42674" w:rsidRPr="00DA6A99">
              <w:rPr>
                <w:rFonts w:cs="Arial"/>
                <w:sz w:val="22"/>
                <w:szCs w:val="22"/>
                <w:lang w:val="es-ES"/>
              </w:rPr>
              <w:t xml:space="preserve"> </w:t>
            </w:r>
            <w:r w:rsidR="00744142" w:rsidRPr="00DA6A99">
              <w:rPr>
                <w:rFonts w:cs="Arial"/>
                <w:sz w:val="22"/>
                <w:szCs w:val="22"/>
                <w:lang w:val="es-ES"/>
              </w:rPr>
              <w:t>del anexo 1 numeral 1.4 de la Res CREG 071 de 2006.</w:t>
            </w:r>
          </w:p>
          <w:p w14:paraId="7878BC30" w14:textId="77777777" w:rsidR="008B318D" w:rsidRPr="00DA6A99" w:rsidRDefault="008B318D" w:rsidP="00CA7786">
            <w:pPr>
              <w:tabs>
                <w:tab w:val="left" w:pos="0"/>
                <w:tab w:val="left" w:pos="284"/>
              </w:tabs>
              <w:rPr>
                <w:rFonts w:cs="Arial"/>
                <w:sz w:val="22"/>
                <w:szCs w:val="22"/>
                <w:lang w:val="es-ES"/>
              </w:rPr>
            </w:pPr>
          </w:p>
        </w:tc>
      </w:tr>
    </w:tbl>
    <w:p w14:paraId="35CAFDE0" w14:textId="77777777" w:rsidR="00D61243" w:rsidRPr="00DA6A99" w:rsidRDefault="00D61243" w:rsidP="00CA7786">
      <w:pPr>
        <w:rPr>
          <w:rFonts w:cs="Arial"/>
          <w:sz w:val="22"/>
          <w:szCs w:val="22"/>
          <w:lang w:val="es-ES"/>
        </w:rPr>
      </w:pPr>
    </w:p>
    <w:p w14:paraId="0271FCAD" w14:textId="168230FF" w:rsidR="005063CF" w:rsidRPr="00DA6A99" w:rsidRDefault="005063CF" w:rsidP="00CA7786">
      <w:pPr>
        <w:rPr>
          <w:rFonts w:cs="Arial"/>
          <w:sz w:val="22"/>
          <w:szCs w:val="22"/>
          <w:lang w:val="es-ES"/>
        </w:rPr>
      </w:pPr>
      <w:r w:rsidRPr="00DA6A99">
        <w:rPr>
          <w:rFonts w:cs="Arial"/>
          <w:sz w:val="22"/>
          <w:szCs w:val="22"/>
          <w:lang w:val="es-ES"/>
        </w:rPr>
        <w:t xml:space="preserve">Para facilitar la lectura y comprensión de la regla anterior, en </w:t>
      </w:r>
      <w:r w:rsidR="00F546F3" w:rsidRPr="00DA6A99">
        <w:rPr>
          <w:rFonts w:cs="Arial"/>
          <w:sz w:val="22"/>
          <w:szCs w:val="22"/>
          <w:lang w:val="es-ES"/>
        </w:rPr>
        <w:t>el proyecto de</w:t>
      </w:r>
      <w:r w:rsidRPr="00DA6A99">
        <w:rPr>
          <w:rFonts w:cs="Arial"/>
          <w:sz w:val="22"/>
          <w:szCs w:val="22"/>
          <w:lang w:val="es-ES"/>
        </w:rPr>
        <w:t xml:space="preserve"> resolución que acompaña el presente documento se presentan por separado las fórmulas para contratos respaldados con generación “térmica” y “no térmica”.</w:t>
      </w:r>
    </w:p>
    <w:p w14:paraId="1C9486E6" w14:textId="77777777" w:rsidR="008C5FBD" w:rsidRPr="00DA6A99" w:rsidRDefault="008C5FBD" w:rsidP="00CA7786">
      <w:pPr>
        <w:rPr>
          <w:rFonts w:cs="Arial"/>
          <w:sz w:val="22"/>
          <w:szCs w:val="22"/>
          <w:lang w:val="es-ES"/>
        </w:rPr>
      </w:pPr>
    </w:p>
    <w:p w14:paraId="6A765FC0" w14:textId="0E988B22" w:rsidR="004A058B" w:rsidRPr="00DA6A99" w:rsidRDefault="003F2DA9" w:rsidP="00CA7786">
      <w:pPr>
        <w:pStyle w:val="Ttulo2"/>
        <w:numPr>
          <w:ilvl w:val="1"/>
          <w:numId w:val="19"/>
        </w:numPr>
        <w:spacing w:after="0"/>
        <w:rPr>
          <w:rFonts w:cs="Arial"/>
          <w:sz w:val="22"/>
          <w:szCs w:val="22"/>
        </w:rPr>
      </w:pPr>
      <w:bookmarkStart w:id="21" w:name="_Ref144812840"/>
      <w:bookmarkStart w:id="22" w:name="_Toc144899069"/>
      <w:r w:rsidRPr="00DA6A99">
        <w:rPr>
          <w:rFonts w:eastAsiaTheme="majorEastAsia" w:cs="Arial"/>
          <w:sz w:val="22"/>
          <w:szCs w:val="22"/>
        </w:rPr>
        <w:t>Flexibilización de la senda de compras propias</w:t>
      </w:r>
      <w:bookmarkEnd w:id="21"/>
      <w:bookmarkEnd w:id="22"/>
    </w:p>
    <w:p w14:paraId="2F3381B7" w14:textId="77777777" w:rsidR="00CB1406" w:rsidRPr="00DA6A99" w:rsidRDefault="00CB1406" w:rsidP="00CA7786">
      <w:pPr>
        <w:rPr>
          <w:rFonts w:cs="Arial"/>
          <w:sz w:val="22"/>
          <w:szCs w:val="22"/>
          <w:lang w:val="es-ES"/>
        </w:rPr>
      </w:pPr>
    </w:p>
    <w:p w14:paraId="25C8B51B" w14:textId="7F8BBF36" w:rsidR="004A058B" w:rsidRPr="00DA6A99" w:rsidRDefault="001157E3" w:rsidP="00CA7786">
      <w:pPr>
        <w:rPr>
          <w:rFonts w:cs="Arial"/>
          <w:sz w:val="22"/>
          <w:szCs w:val="22"/>
          <w:lang w:val="es-ES"/>
        </w:rPr>
      </w:pPr>
      <w:r w:rsidRPr="00DA6A99">
        <w:rPr>
          <w:rFonts w:cs="Arial"/>
          <w:sz w:val="22"/>
          <w:szCs w:val="22"/>
          <w:lang w:val="es-ES"/>
        </w:rPr>
        <w:t xml:space="preserve">En línea con la anterior medida y con el fin de </w:t>
      </w:r>
      <w:r w:rsidR="006B72D5" w:rsidRPr="00DA6A99">
        <w:rPr>
          <w:rFonts w:cs="Arial"/>
          <w:sz w:val="22"/>
          <w:szCs w:val="22"/>
          <w:lang w:val="es-ES"/>
        </w:rPr>
        <w:t xml:space="preserve">incrementar la oferta de energía en convocatorias públicas </w:t>
      </w:r>
      <w:r w:rsidR="0072457B" w:rsidRPr="00DA6A99">
        <w:rPr>
          <w:rFonts w:cs="Arial"/>
          <w:sz w:val="22"/>
          <w:szCs w:val="22"/>
          <w:lang w:val="es-ES"/>
        </w:rPr>
        <w:t>que sean adelantadas para cubrir a la demanda regulada</w:t>
      </w:r>
      <w:r w:rsidR="006B72D5" w:rsidRPr="00DA6A99">
        <w:rPr>
          <w:rFonts w:cs="Arial"/>
          <w:sz w:val="22"/>
          <w:szCs w:val="22"/>
          <w:lang w:val="es-ES"/>
        </w:rPr>
        <w:t xml:space="preserve"> </w:t>
      </w:r>
      <w:r w:rsidR="0072457B" w:rsidRPr="00DA6A99">
        <w:rPr>
          <w:rFonts w:cs="Arial"/>
          <w:sz w:val="22"/>
          <w:szCs w:val="22"/>
          <w:lang w:val="es-ES"/>
        </w:rPr>
        <w:t>durante</w:t>
      </w:r>
      <w:r w:rsidR="006B72D5" w:rsidRPr="00DA6A99">
        <w:rPr>
          <w:rFonts w:cs="Arial"/>
          <w:sz w:val="22"/>
          <w:szCs w:val="22"/>
          <w:lang w:val="es-ES"/>
        </w:rPr>
        <w:t xml:space="preserve"> </w:t>
      </w:r>
      <w:r w:rsidR="006B72D5" w:rsidRPr="00DA6A99">
        <w:rPr>
          <w:rFonts w:cs="Arial"/>
          <w:sz w:val="22"/>
          <w:szCs w:val="22"/>
          <w:lang w:val="es-ES"/>
        </w:rPr>
        <w:lastRenderedPageBreak/>
        <w:t xml:space="preserve">los </w:t>
      </w:r>
      <w:r w:rsidR="00B556D1" w:rsidRPr="00DA6A99">
        <w:rPr>
          <w:rFonts w:cs="Arial"/>
          <w:sz w:val="22"/>
          <w:szCs w:val="22"/>
          <w:lang w:val="es-ES"/>
        </w:rPr>
        <w:t>próximos meses</w:t>
      </w:r>
      <w:r w:rsidR="00E90886" w:rsidRPr="00DA6A99">
        <w:rPr>
          <w:rFonts w:cs="Arial"/>
          <w:sz w:val="22"/>
          <w:szCs w:val="22"/>
          <w:lang w:val="es-ES"/>
        </w:rPr>
        <w:t>, se p</w:t>
      </w:r>
      <w:r w:rsidR="003D0B39" w:rsidRPr="00DA6A99">
        <w:rPr>
          <w:rFonts w:cs="Arial"/>
          <w:sz w:val="22"/>
          <w:szCs w:val="22"/>
          <w:lang w:val="es-ES"/>
        </w:rPr>
        <w:t>ropone flexibilizar parcialmente la</w:t>
      </w:r>
      <w:r w:rsidR="002C286F" w:rsidRPr="00DA6A99">
        <w:rPr>
          <w:rFonts w:cs="Arial"/>
          <w:sz w:val="22"/>
          <w:szCs w:val="22"/>
          <w:lang w:val="es-ES"/>
        </w:rPr>
        <w:t xml:space="preserve"> </w:t>
      </w:r>
      <w:r w:rsidR="001D2CAE" w:rsidRPr="00DA6A99">
        <w:rPr>
          <w:rFonts w:cs="Arial"/>
          <w:sz w:val="22"/>
          <w:szCs w:val="22"/>
          <w:lang w:val="es-ES"/>
        </w:rPr>
        <w:t xml:space="preserve">senda de compras propias establecida actualmente en </w:t>
      </w:r>
      <w:r w:rsidR="004D6961" w:rsidRPr="00DA6A99">
        <w:rPr>
          <w:rFonts w:cs="Arial"/>
          <w:sz w:val="22"/>
          <w:szCs w:val="22"/>
          <w:lang w:val="es-ES"/>
        </w:rPr>
        <w:t xml:space="preserve">el artículo </w:t>
      </w:r>
      <w:r w:rsidR="00AA52DD" w:rsidRPr="00DA6A99">
        <w:rPr>
          <w:rFonts w:cs="Arial"/>
          <w:sz w:val="22"/>
          <w:szCs w:val="22"/>
          <w:lang w:val="es-ES"/>
        </w:rPr>
        <w:t>19 de la Resolución CREG 130 de 2019</w:t>
      </w:r>
      <w:r w:rsidR="003F0304" w:rsidRPr="00DA6A99">
        <w:rPr>
          <w:rFonts w:cs="Arial"/>
          <w:sz w:val="22"/>
          <w:szCs w:val="22"/>
          <w:lang w:val="es-ES"/>
        </w:rPr>
        <w:t>.</w:t>
      </w:r>
    </w:p>
    <w:p w14:paraId="41A6F269" w14:textId="77777777" w:rsidR="003F0304" w:rsidRPr="00DA6A99" w:rsidRDefault="003F0304" w:rsidP="00CA7786">
      <w:pPr>
        <w:rPr>
          <w:rFonts w:cs="Arial"/>
          <w:sz w:val="22"/>
          <w:szCs w:val="22"/>
          <w:lang w:val="es-ES"/>
        </w:rPr>
      </w:pPr>
    </w:p>
    <w:p w14:paraId="0BBEABC0" w14:textId="0BB40232" w:rsidR="003F0304" w:rsidRPr="00DA6A99" w:rsidRDefault="004F3FC1" w:rsidP="00CA7786">
      <w:pPr>
        <w:rPr>
          <w:rFonts w:cs="Arial"/>
          <w:sz w:val="22"/>
          <w:szCs w:val="22"/>
          <w:lang w:val="es-ES"/>
        </w:rPr>
      </w:pPr>
      <w:r w:rsidRPr="00DA6A99">
        <w:rPr>
          <w:rFonts w:cs="Arial"/>
          <w:sz w:val="22"/>
          <w:szCs w:val="22"/>
          <w:lang w:val="es-ES"/>
        </w:rPr>
        <w:t xml:space="preserve">Se propone </w:t>
      </w:r>
      <w:r w:rsidR="00382FAF" w:rsidRPr="00DA6A99">
        <w:rPr>
          <w:rFonts w:cs="Arial"/>
          <w:sz w:val="22"/>
          <w:szCs w:val="22"/>
          <w:lang w:val="es-ES"/>
        </w:rPr>
        <w:t xml:space="preserve">de manera </w:t>
      </w:r>
      <w:r w:rsidR="008744F0" w:rsidRPr="00DA6A99">
        <w:rPr>
          <w:rFonts w:cs="Arial"/>
          <w:b/>
          <w:sz w:val="22"/>
          <w:szCs w:val="22"/>
          <w:u w:val="single"/>
          <w:lang w:val="es-ES"/>
        </w:rPr>
        <w:t>transitoria</w:t>
      </w:r>
      <w:r w:rsidRPr="00DA6A99">
        <w:rPr>
          <w:rFonts w:cs="Arial"/>
          <w:sz w:val="22"/>
          <w:szCs w:val="22"/>
          <w:lang w:val="es-ES"/>
        </w:rPr>
        <w:t xml:space="preserve"> que, como máximo, </w:t>
      </w:r>
      <w:r w:rsidR="00CE3E11" w:rsidRPr="00DA6A99">
        <w:rPr>
          <w:rFonts w:cs="Arial"/>
          <w:sz w:val="22"/>
          <w:szCs w:val="22"/>
          <w:lang w:val="es-ES"/>
        </w:rPr>
        <w:t xml:space="preserve">los comercializadores puedan cubrir con compras propias </w:t>
      </w:r>
      <w:r w:rsidR="008662BB" w:rsidRPr="00DA6A99">
        <w:rPr>
          <w:rFonts w:cs="Arial"/>
          <w:sz w:val="22"/>
          <w:szCs w:val="22"/>
          <w:lang w:val="es-ES"/>
        </w:rPr>
        <w:t xml:space="preserve">hasta el 30% de la demanda regulada que aún no se encuentra cubierta por contratos resultantes de convocatorias públicas, de subastas administradas por el Ministerio de Minas y Energía o del mecanismo administrado por </w:t>
      </w:r>
      <w:proofErr w:type="spellStart"/>
      <w:r w:rsidR="008662BB" w:rsidRPr="00DA6A99">
        <w:rPr>
          <w:rFonts w:cs="Arial"/>
          <w:sz w:val="22"/>
          <w:szCs w:val="22"/>
          <w:lang w:val="es-ES"/>
        </w:rPr>
        <w:t>Derivex</w:t>
      </w:r>
      <w:proofErr w:type="spellEnd"/>
      <w:r w:rsidR="008662BB" w:rsidRPr="00DA6A99">
        <w:rPr>
          <w:rFonts w:cs="Arial"/>
          <w:sz w:val="22"/>
          <w:szCs w:val="22"/>
          <w:lang w:val="es-ES"/>
        </w:rPr>
        <w:t xml:space="preserve"> y la Cámara de Riesgo Central de Contraparte (CRCC).</w:t>
      </w:r>
    </w:p>
    <w:p w14:paraId="44DD7037" w14:textId="77777777" w:rsidR="008662BB" w:rsidRPr="00DA6A99" w:rsidRDefault="008662BB" w:rsidP="00CA7786">
      <w:pPr>
        <w:rPr>
          <w:rFonts w:cs="Arial"/>
          <w:sz w:val="22"/>
          <w:szCs w:val="22"/>
          <w:lang w:val="es-ES"/>
        </w:rPr>
      </w:pPr>
    </w:p>
    <w:p w14:paraId="3264C299" w14:textId="4C5C293D" w:rsidR="008662BB" w:rsidRPr="00DA6A99" w:rsidRDefault="003E7215" w:rsidP="00CA7786">
      <w:pPr>
        <w:rPr>
          <w:rFonts w:cs="Arial"/>
          <w:sz w:val="22"/>
          <w:szCs w:val="22"/>
          <w:lang w:val="es-ES"/>
        </w:rPr>
      </w:pPr>
      <w:r w:rsidRPr="00DA6A99">
        <w:rPr>
          <w:rFonts w:cs="Arial"/>
          <w:sz w:val="22"/>
          <w:szCs w:val="22"/>
          <w:lang w:val="es-ES"/>
        </w:rPr>
        <w:t>Esto permitiría que generadores o comercializadores integrados con comercializadores que adelantan convocatorias públicas, puedan ofrecer cantidades por encima del 20% (</w:t>
      </w:r>
      <w:r w:rsidR="009966ED" w:rsidRPr="00DA6A99">
        <w:rPr>
          <w:rFonts w:cs="Arial"/>
          <w:sz w:val="22"/>
          <w:szCs w:val="22"/>
          <w:lang w:val="es-ES"/>
        </w:rPr>
        <w:t xml:space="preserve">límite vigente en la senda de compras propias), específicamente para incrementar la cobertura de </w:t>
      </w:r>
      <w:r w:rsidR="000C3DE4" w:rsidRPr="00DA6A99">
        <w:rPr>
          <w:rFonts w:cs="Arial"/>
          <w:sz w:val="22"/>
          <w:szCs w:val="22"/>
          <w:lang w:val="es-ES"/>
        </w:rPr>
        <w:t>demanda regulada durante los próximos meses</w:t>
      </w:r>
      <w:r w:rsidR="004A4209" w:rsidRPr="00DA6A99">
        <w:rPr>
          <w:rFonts w:cs="Arial"/>
          <w:sz w:val="22"/>
          <w:szCs w:val="22"/>
          <w:lang w:val="es-ES"/>
        </w:rPr>
        <w:t xml:space="preserve">. Todo con el propósito de </w:t>
      </w:r>
      <w:r w:rsidR="006E5157" w:rsidRPr="00DA6A99">
        <w:rPr>
          <w:rFonts w:cs="Arial"/>
          <w:sz w:val="22"/>
          <w:szCs w:val="22"/>
          <w:lang w:val="es-ES"/>
        </w:rPr>
        <w:t xml:space="preserve">evitar su exposición a </w:t>
      </w:r>
      <w:r w:rsidR="00A70E4C" w:rsidRPr="00DA6A99">
        <w:rPr>
          <w:rFonts w:cs="Arial"/>
          <w:sz w:val="22"/>
          <w:szCs w:val="22"/>
          <w:lang w:val="es-ES"/>
        </w:rPr>
        <w:t>eventuales incrementos sustanciales en el precio de la bolsa, dada la expectativa de ocurrencia de</w:t>
      </w:r>
      <w:r w:rsidR="000D6FE1" w:rsidRPr="00DA6A99">
        <w:rPr>
          <w:rFonts w:cs="Arial"/>
          <w:sz w:val="22"/>
          <w:szCs w:val="22"/>
          <w:lang w:val="es-ES"/>
        </w:rPr>
        <w:t>l Fenómeno del Niño.</w:t>
      </w:r>
    </w:p>
    <w:p w14:paraId="665A491F" w14:textId="77777777" w:rsidR="004469CD" w:rsidRPr="00DA6A99" w:rsidRDefault="004469CD" w:rsidP="00CA7786">
      <w:pPr>
        <w:rPr>
          <w:rFonts w:cs="Arial"/>
          <w:sz w:val="22"/>
          <w:szCs w:val="22"/>
          <w:lang w:val="es-ES"/>
        </w:rPr>
      </w:pPr>
    </w:p>
    <w:p w14:paraId="078F2E48" w14:textId="45749601" w:rsidR="004469CD" w:rsidRPr="00DA6A99" w:rsidRDefault="004469CD" w:rsidP="00CA7786">
      <w:pPr>
        <w:rPr>
          <w:rFonts w:cs="Arial"/>
          <w:sz w:val="22"/>
          <w:szCs w:val="22"/>
          <w:lang w:val="es-ES"/>
        </w:rPr>
      </w:pPr>
      <w:r w:rsidRPr="00DA6A99">
        <w:rPr>
          <w:rFonts w:cs="Arial"/>
          <w:sz w:val="22"/>
          <w:szCs w:val="22"/>
          <w:lang w:val="es-ES"/>
        </w:rPr>
        <w:t xml:space="preserve">En todo caso, </w:t>
      </w:r>
      <w:r w:rsidR="00640F3A" w:rsidRPr="00DA6A99">
        <w:rPr>
          <w:rFonts w:cs="Arial"/>
          <w:sz w:val="22"/>
          <w:szCs w:val="22"/>
          <w:lang w:val="es-ES"/>
        </w:rPr>
        <w:t>se obligaría a quienes se acojan a esta flexibilización a</w:t>
      </w:r>
      <w:r w:rsidR="003B7F6F" w:rsidRPr="00DA6A99">
        <w:rPr>
          <w:rFonts w:cs="Arial"/>
          <w:sz w:val="22"/>
          <w:szCs w:val="22"/>
          <w:lang w:val="es-ES"/>
        </w:rPr>
        <w:t>:</w:t>
      </w:r>
      <w:r w:rsidR="005C7360" w:rsidRPr="00DA6A99">
        <w:rPr>
          <w:rFonts w:cs="Arial"/>
          <w:sz w:val="22"/>
          <w:szCs w:val="22"/>
          <w:lang w:val="es-ES"/>
        </w:rPr>
        <w:t xml:space="preserve"> </w:t>
      </w:r>
      <w:r w:rsidR="003B7F6F" w:rsidRPr="00DA6A99">
        <w:rPr>
          <w:rFonts w:cs="Arial"/>
          <w:sz w:val="22"/>
          <w:szCs w:val="22"/>
          <w:lang w:val="es-ES"/>
        </w:rPr>
        <w:t>(i)</w:t>
      </w:r>
      <w:r w:rsidR="005C7360" w:rsidRPr="00DA6A99">
        <w:rPr>
          <w:rFonts w:cs="Arial"/>
          <w:sz w:val="22"/>
          <w:szCs w:val="22"/>
          <w:lang w:val="es-ES"/>
        </w:rPr>
        <w:t xml:space="preserve"> dar cumplimiento al límite del 10% para compras propias establecido en el artículo 18 de la Resolución CREG 130 de 2019</w:t>
      </w:r>
      <w:r w:rsidR="003B7F6F" w:rsidRPr="00DA6A99">
        <w:rPr>
          <w:rFonts w:cs="Arial"/>
          <w:sz w:val="22"/>
          <w:szCs w:val="22"/>
          <w:lang w:val="es-ES"/>
        </w:rPr>
        <w:t>,</w:t>
      </w:r>
      <w:r w:rsidR="005C7360" w:rsidRPr="00DA6A99">
        <w:rPr>
          <w:rFonts w:cs="Arial"/>
          <w:sz w:val="22"/>
          <w:szCs w:val="22"/>
          <w:lang w:val="es-ES"/>
        </w:rPr>
        <w:t xml:space="preserve"> </w:t>
      </w:r>
      <w:r w:rsidR="00687A48" w:rsidRPr="00DA6A99">
        <w:rPr>
          <w:rFonts w:cs="Arial"/>
          <w:sz w:val="22"/>
          <w:szCs w:val="22"/>
          <w:lang w:val="es-ES"/>
        </w:rPr>
        <w:t xml:space="preserve">y </w:t>
      </w:r>
      <w:r w:rsidR="003B7F6F" w:rsidRPr="00DA6A99">
        <w:rPr>
          <w:rFonts w:cs="Arial"/>
          <w:sz w:val="22"/>
          <w:szCs w:val="22"/>
          <w:lang w:val="es-ES"/>
        </w:rPr>
        <w:t>(</w:t>
      </w:r>
      <w:proofErr w:type="spellStart"/>
      <w:r w:rsidR="003B7F6F" w:rsidRPr="00DA6A99">
        <w:rPr>
          <w:rFonts w:cs="Arial"/>
          <w:sz w:val="22"/>
          <w:szCs w:val="22"/>
          <w:lang w:val="es-ES"/>
        </w:rPr>
        <w:t>ii</w:t>
      </w:r>
      <w:proofErr w:type="spellEnd"/>
      <w:r w:rsidR="003B7F6F" w:rsidRPr="00DA6A99">
        <w:rPr>
          <w:rFonts w:cs="Arial"/>
          <w:sz w:val="22"/>
          <w:szCs w:val="22"/>
          <w:lang w:val="es-ES"/>
        </w:rPr>
        <w:t>)</w:t>
      </w:r>
      <w:r w:rsidR="00640F3A" w:rsidRPr="00DA6A99">
        <w:rPr>
          <w:rFonts w:cs="Arial"/>
          <w:sz w:val="22"/>
          <w:szCs w:val="22"/>
          <w:lang w:val="es-ES"/>
        </w:rPr>
        <w:t xml:space="preserve"> retornar para el año 2025 </w:t>
      </w:r>
      <w:r w:rsidR="0023436D" w:rsidRPr="00DA6A99">
        <w:rPr>
          <w:rFonts w:cs="Arial"/>
          <w:sz w:val="22"/>
          <w:szCs w:val="22"/>
          <w:lang w:val="es-ES"/>
        </w:rPr>
        <w:t>a la senda</w:t>
      </w:r>
      <w:r w:rsidR="005C7360" w:rsidRPr="00DA6A99">
        <w:rPr>
          <w:rFonts w:cs="Arial"/>
          <w:sz w:val="22"/>
          <w:szCs w:val="22"/>
          <w:lang w:val="es-ES"/>
        </w:rPr>
        <w:t xml:space="preserve"> originalmente establecida en el artículo 19 </w:t>
      </w:r>
      <w:r w:rsidR="003B7F6F" w:rsidRPr="00DA6A99">
        <w:rPr>
          <w:rFonts w:cs="Arial"/>
          <w:sz w:val="22"/>
          <w:szCs w:val="22"/>
          <w:lang w:val="es-ES"/>
        </w:rPr>
        <w:t>de la misma resolución.</w:t>
      </w:r>
    </w:p>
    <w:p w14:paraId="15A2EBE8" w14:textId="77777777" w:rsidR="00ED6293" w:rsidRPr="00DA6A99" w:rsidRDefault="00ED6293" w:rsidP="00CA7786">
      <w:pPr>
        <w:rPr>
          <w:rFonts w:cs="Arial"/>
          <w:sz w:val="22"/>
          <w:szCs w:val="22"/>
          <w:lang w:val="es-ES"/>
        </w:rPr>
      </w:pPr>
    </w:p>
    <w:p w14:paraId="207022AB" w14:textId="321EA91F" w:rsidR="00ED6293" w:rsidRPr="00DA6A99" w:rsidRDefault="00ED6293" w:rsidP="00CA7786">
      <w:pPr>
        <w:rPr>
          <w:rFonts w:cs="Arial"/>
          <w:sz w:val="22"/>
          <w:szCs w:val="22"/>
          <w:lang w:val="es-ES"/>
        </w:rPr>
      </w:pPr>
      <w:r w:rsidRPr="00DA6A99">
        <w:rPr>
          <w:rFonts w:cs="Arial"/>
          <w:sz w:val="22"/>
          <w:szCs w:val="22"/>
          <w:lang w:val="es-ES"/>
        </w:rPr>
        <w:t>Es importante señalar en este punto que</w:t>
      </w:r>
      <w:r w:rsidR="00BA1677" w:rsidRPr="00DA6A99">
        <w:rPr>
          <w:rFonts w:cs="Arial"/>
          <w:sz w:val="22"/>
          <w:szCs w:val="22"/>
          <w:lang w:val="es-ES"/>
        </w:rPr>
        <w:t xml:space="preserve"> esta Comisión no encuentra conveniente para el mercado</w:t>
      </w:r>
      <w:r w:rsidR="00153788" w:rsidRPr="00DA6A99">
        <w:rPr>
          <w:rFonts w:cs="Arial"/>
          <w:sz w:val="22"/>
          <w:szCs w:val="22"/>
          <w:lang w:val="es-ES"/>
        </w:rPr>
        <w:t xml:space="preserve"> una flexibilización mayor de la senda de compras propias</w:t>
      </w:r>
      <w:r w:rsidR="00C56FD6" w:rsidRPr="00DA6A99">
        <w:rPr>
          <w:rFonts w:cs="Arial"/>
          <w:sz w:val="22"/>
          <w:szCs w:val="22"/>
          <w:lang w:val="es-ES"/>
        </w:rPr>
        <w:t xml:space="preserve">, pues </w:t>
      </w:r>
      <w:r w:rsidR="00A56530" w:rsidRPr="00DA6A99">
        <w:rPr>
          <w:rFonts w:cs="Arial"/>
          <w:sz w:val="22"/>
          <w:szCs w:val="22"/>
          <w:lang w:val="es-ES"/>
        </w:rPr>
        <w:t>una proporción de compras propias muy elevadas reduce la posibilidad de que comercializadores no integrados reciban</w:t>
      </w:r>
      <w:r w:rsidR="006D15FB" w:rsidRPr="00DA6A99">
        <w:rPr>
          <w:rFonts w:cs="Arial"/>
          <w:sz w:val="22"/>
          <w:szCs w:val="22"/>
          <w:lang w:val="es-ES"/>
        </w:rPr>
        <w:t xml:space="preserve"> suficientes</w:t>
      </w:r>
      <w:r w:rsidR="00A56530" w:rsidRPr="00DA6A99">
        <w:rPr>
          <w:rFonts w:cs="Arial"/>
          <w:sz w:val="22"/>
          <w:szCs w:val="22"/>
          <w:lang w:val="es-ES"/>
        </w:rPr>
        <w:t xml:space="preserve"> </w:t>
      </w:r>
      <w:r w:rsidR="00082356" w:rsidRPr="00DA6A99">
        <w:rPr>
          <w:rFonts w:cs="Arial"/>
          <w:sz w:val="22"/>
          <w:szCs w:val="22"/>
          <w:lang w:val="es-ES"/>
        </w:rPr>
        <w:t>ofertas</w:t>
      </w:r>
      <w:r w:rsidR="006D15FB" w:rsidRPr="00DA6A99">
        <w:rPr>
          <w:rFonts w:cs="Arial"/>
          <w:sz w:val="22"/>
          <w:szCs w:val="22"/>
          <w:lang w:val="es-ES"/>
        </w:rPr>
        <w:t xml:space="preserve"> en sus convocatorias.</w:t>
      </w:r>
    </w:p>
    <w:p w14:paraId="1DBCF464" w14:textId="77777777" w:rsidR="000D6FE1" w:rsidRPr="00DA6A99" w:rsidRDefault="000D6FE1" w:rsidP="00CA7786">
      <w:pPr>
        <w:rPr>
          <w:rFonts w:cs="Arial"/>
          <w:sz w:val="22"/>
          <w:szCs w:val="22"/>
          <w:lang w:val="es-ES"/>
        </w:rPr>
      </w:pPr>
    </w:p>
    <w:p w14:paraId="5FA91F57" w14:textId="1BA9AE1D" w:rsidR="000D6FE1" w:rsidRPr="00DA6A99" w:rsidRDefault="000D6FE1" w:rsidP="00CA7786">
      <w:pPr>
        <w:pStyle w:val="Ttulo2"/>
        <w:numPr>
          <w:ilvl w:val="1"/>
          <w:numId w:val="19"/>
        </w:numPr>
        <w:spacing w:after="0"/>
        <w:rPr>
          <w:rFonts w:cs="Arial"/>
          <w:sz w:val="22"/>
          <w:szCs w:val="22"/>
        </w:rPr>
      </w:pPr>
      <w:bookmarkStart w:id="23" w:name="_Toc144899070"/>
      <w:r w:rsidRPr="00DA6A99">
        <w:rPr>
          <w:rFonts w:cs="Arial"/>
          <w:sz w:val="22"/>
          <w:szCs w:val="22"/>
        </w:rPr>
        <w:t xml:space="preserve">Temporalidad de las medidas de </w:t>
      </w:r>
      <w:r w:rsidR="00BD5981" w:rsidRPr="00DA6A99">
        <w:rPr>
          <w:rFonts w:cs="Arial"/>
          <w:sz w:val="22"/>
          <w:szCs w:val="22"/>
        </w:rPr>
        <w:t>f</w:t>
      </w:r>
      <w:r w:rsidRPr="00DA6A99">
        <w:rPr>
          <w:rFonts w:cs="Arial"/>
          <w:sz w:val="22"/>
          <w:szCs w:val="22"/>
        </w:rPr>
        <w:t>lexibilización</w:t>
      </w:r>
      <w:r w:rsidR="00BD5981" w:rsidRPr="00DA6A99">
        <w:rPr>
          <w:rFonts w:cs="Arial"/>
          <w:sz w:val="22"/>
          <w:szCs w:val="22"/>
        </w:rPr>
        <w:t xml:space="preserve"> regulatoria</w:t>
      </w:r>
      <w:r w:rsidR="00A82519" w:rsidRPr="00DA6A99">
        <w:rPr>
          <w:rFonts w:cs="Arial"/>
          <w:sz w:val="22"/>
          <w:szCs w:val="22"/>
        </w:rPr>
        <w:t>,</w:t>
      </w:r>
      <w:r w:rsidR="00F6485C" w:rsidRPr="00DA6A99">
        <w:rPr>
          <w:rFonts w:cs="Arial"/>
          <w:sz w:val="22"/>
          <w:szCs w:val="22"/>
        </w:rPr>
        <w:t xml:space="preserve"> duración máxima de los contratos resultantes de su aplicación</w:t>
      </w:r>
      <w:r w:rsidR="00A82519" w:rsidRPr="00DA6A99">
        <w:rPr>
          <w:rFonts w:cs="Arial"/>
          <w:sz w:val="22"/>
          <w:szCs w:val="22"/>
        </w:rPr>
        <w:t xml:space="preserve"> y exclusión en el cálculo del Mc</w:t>
      </w:r>
      <w:bookmarkEnd w:id="23"/>
    </w:p>
    <w:p w14:paraId="1DAFA4EF" w14:textId="77777777" w:rsidR="00BD5981" w:rsidRPr="00DA6A99" w:rsidRDefault="00BD5981" w:rsidP="00CA7786">
      <w:pPr>
        <w:rPr>
          <w:rFonts w:cs="Arial"/>
          <w:sz w:val="22"/>
          <w:szCs w:val="22"/>
          <w:lang w:val="es-ES"/>
        </w:rPr>
      </w:pPr>
    </w:p>
    <w:p w14:paraId="0696D049" w14:textId="66739712" w:rsidR="00BD5981" w:rsidRPr="00DA6A99" w:rsidRDefault="00BD5981" w:rsidP="00CA7786">
      <w:pPr>
        <w:rPr>
          <w:rFonts w:cs="Arial"/>
          <w:sz w:val="22"/>
          <w:szCs w:val="22"/>
          <w:lang w:val="es-ES"/>
        </w:rPr>
      </w:pPr>
      <w:r w:rsidRPr="00DA6A99">
        <w:rPr>
          <w:rFonts w:cs="Arial"/>
          <w:sz w:val="22"/>
          <w:szCs w:val="22"/>
          <w:lang w:val="es-ES"/>
        </w:rPr>
        <w:t xml:space="preserve">Se debe reiterar en este punto que el </w:t>
      </w:r>
      <w:r w:rsidR="00A73D6F" w:rsidRPr="00DA6A99">
        <w:rPr>
          <w:rFonts w:cs="Arial"/>
          <w:sz w:val="22"/>
          <w:szCs w:val="22"/>
          <w:lang w:val="es-ES"/>
        </w:rPr>
        <w:t xml:space="preserve">propósito principal de las medidas </w:t>
      </w:r>
      <w:r w:rsidR="0073154B" w:rsidRPr="00DA6A99">
        <w:rPr>
          <w:rFonts w:cs="Arial"/>
          <w:sz w:val="22"/>
          <w:szCs w:val="22"/>
          <w:lang w:val="es-ES"/>
        </w:rPr>
        <w:t xml:space="preserve">de flexibilización regulatoria propuestas en los numerales </w:t>
      </w:r>
      <w:r w:rsidR="00E52C62" w:rsidRPr="00DA6A99">
        <w:rPr>
          <w:rFonts w:cs="Arial"/>
          <w:sz w:val="22"/>
          <w:szCs w:val="22"/>
          <w:lang w:val="es-ES"/>
        </w:rPr>
        <w:fldChar w:fldCharType="begin"/>
      </w:r>
      <w:r w:rsidR="00E52C62" w:rsidRPr="00DA6A99">
        <w:rPr>
          <w:rFonts w:cs="Arial"/>
          <w:sz w:val="22"/>
          <w:szCs w:val="22"/>
          <w:lang w:val="es-ES"/>
        </w:rPr>
        <w:instrText xml:space="preserve"> REF _Ref144812837 \r \h </w:instrText>
      </w:r>
      <w:r w:rsidR="005063CF" w:rsidRPr="00DA6A99">
        <w:rPr>
          <w:rFonts w:cs="Arial"/>
          <w:sz w:val="22"/>
          <w:szCs w:val="22"/>
          <w:lang w:val="es-ES"/>
        </w:rPr>
        <w:instrText xml:space="preserve"> \* MERGEFORMAT </w:instrText>
      </w:r>
      <w:r w:rsidR="00E52C62" w:rsidRPr="00DA6A99">
        <w:rPr>
          <w:rFonts w:cs="Arial"/>
          <w:sz w:val="22"/>
          <w:szCs w:val="22"/>
          <w:lang w:val="es-ES"/>
        </w:rPr>
      </w:r>
      <w:r w:rsidR="00E52C62" w:rsidRPr="00DA6A99">
        <w:rPr>
          <w:rFonts w:cs="Arial"/>
          <w:sz w:val="22"/>
          <w:szCs w:val="22"/>
          <w:lang w:val="es-ES"/>
        </w:rPr>
        <w:fldChar w:fldCharType="separate"/>
      </w:r>
      <w:r w:rsidR="00E52C62" w:rsidRPr="00DA6A99">
        <w:rPr>
          <w:rFonts w:cs="Arial"/>
          <w:sz w:val="22"/>
          <w:szCs w:val="22"/>
          <w:lang w:val="es-ES"/>
        </w:rPr>
        <w:t>2.2.2</w:t>
      </w:r>
      <w:r w:rsidR="00E52C62" w:rsidRPr="00DA6A99">
        <w:rPr>
          <w:rFonts w:cs="Arial"/>
          <w:sz w:val="22"/>
          <w:szCs w:val="22"/>
          <w:lang w:val="es-ES"/>
        </w:rPr>
        <w:fldChar w:fldCharType="end"/>
      </w:r>
      <w:r w:rsidR="00E52C62" w:rsidRPr="00DA6A99">
        <w:rPr>
          <w:rFonts w:cs="Arial"/>
          <w:sz w:val="22"/>
          <w:szCs w:val="22"/>
          <w:lang w:val="es-ES"/>
        </w:rPr>
        <w:t xml:space="preserve"> y </w:t>
      </w:r>
      <w:r w:rsidR="00E52C62" w:rsidRPr="00DA6A99">
        <w:rPr>
          <w:rFonts w:cs="Arial"/>
          <w:sz w:val="22"/>
          <w:szCs w:val="22"/>
          <w:lang w:val="es-ES"/>
        </w:rPr>
        <w:fldChar w:fldCharType="begin"/>
      </w:r>
      <w:r w:rsidR="00E52C62" w:rsidRPr="00DA6A99">
        <w:rPr>
          <w:rFonts w:cs="Arial"/>
          <w:sz w:val="22"/>
          <w:szCs w:val="22"/>
          <w:lang w:val="es-ES"/>
        </w:rPr>
        <w:instrText xml:space="preserve"> REF _Ref144812840 \r \h </w:instrText>
      </w:r>
      <w:r w:rsidR="005063CF" w:rsidRPr="00DA6A99">
        <w:rPr>
          <w:rFonts w:cs="Arial"/>
          <w:sz w:val="22"/>
          <w:szCs w:val="22"/>
          <w:lang w:val="es-ES"/>
        </w:rPr>
        <w:instrText xml:space="preserve"> \* MERGEFORMAT </w:instrText>
      </w:r>
      <w:r w:rsidR="00E52C62" w:rsidRPr="00DA6A99">
        <w:rPr>
          <w:rFonts w:cs="Arial"/>
          <w:sz w:val="22"/>
          <w:szCs w:val="22"/>
          <w:lang w:val="es-ES"/>
        </w:rPr>
      </w:r>
      <w:r w:rsidR="00E52C62" w:rsidRPr="00DA6A99">
        <w:rPr>
          <w:rFonts w:cs="Arial"/>
          <w:sz w:val="22"/>
          <w:szCs w:val="22"/>
          <w:lang w:val="es-ES"/>
        </w:rPr>
        <w:fldChar w:fldCharType="separate"/>
      </w:r>
      <w:r w:rsidR="00E52C62" w:rsidRPr="00DA6A99">
        <w:rPr>
          <w:rFonts w:cs="Arial"/>
          <w:sz w:val="22"/>
          <w:szCs w:val="22"/>
          <w:lang w:val="es-ES"/>
        </w:rPr>
        <w:t>2.2.3</w:t>
      </w:r>
      <w:r w:rsidR="00E52C62" w:rsidRPr="00DA6A99">
        <w:rPr>
          <w:rFonts w:cs="Arial"/>
          <w:sz w:val="22"/>
          <w:szCs w:val="22"/>
          <w:lang w:val="es-ES"/>
        </w:rPr>
        <w:fldChar w:fldCharType="end"/>
      </w:r>
      <w:r w:rsidR="00E52C62" w:rsidRPr="00DA6A99">
        <w:rPr>
          <w:rFonts w:cs="Arial"/>
          <w:sz w:val="22"/>
          <w:szCs w:val="22"/>
          <w:lang w:val="es-ES"/>
        </w:rPr>
        <w:t>,</w:t>
      </w:r>
      <w:r w:rsidR="0073154B" w:rsidRPr="00DA6A99">
        <w:rPr>
          <w:rFonts w:cs="Arial"/>
          <w:sz w:val="22"/>
          <w:szCs w:val="22"/>
          <w:lang w:val="es-ES"/>
        </w:rPr>
        <w:t xml:space="preserve"> </w:t>
      </w:r>
      <w:r w:rsidR="00006BBA" w:rsidRPr="00DA6A99">
        <w:rPr>
          <w:rFonts w:cs="Arial"/>
          <w:sz w:val="22"/>
          <w:szCs w:val="22"/>
          <w:lang w:val="es-ES"/>
        </w:rPr>
        <w:t>es el de incrementar la cobertura de demanda regulada para los meses en los cuales existe una</w:t>
      </w:r>
      <w:r w:rsidR="00E52C62" w:rsidRPr="00DA6A99">
        <w:rPr>
          <w:rFonts w:cs="Arial"/>
          <w:sz w:val="22"/>
          <w:szCs w:val="22"/>
          <w:lang w:val="es-ES"/>
        </w:rPr>
        <w:t xml:space="preserve"> </w:t>
      </w:r>
      <w:r w:rsidR="006E4F76" w:rsidRPr="00DA6A99">
        <w:rPr>
          <w:rFonts w:cs="Arial"/>
          <w:sz w:val="22"/>
          <w:szCs w:val="22"/>
          <w:lang w:val="es-ES"/>
        </w:rPr>
        <w:t>expectativa de ocurrencia de</w:t>
      </w:r>
      <w:r w:rsidR="00F60551" w:rsidRPr="00DA6A99">
        <w:rPr>
          <w:rFonts w:cs="Arial"/>
          <w:sz w:val="22"/>
          <w:szCs w:val="22"/>
          <w:lang w:val="es-ES"/>
        </w:rPr>
        <w:t>l Fenómeno del Niño. Lo anterior, toda vez que es previsible que</w:t>
      </w:r>
      <w:r w:rsidR="00E10850" w:rsidRPr="00DA6A99">
        <w:rPr>
          <w:rFonts w:cs="Arial"/>
          <w:sz w:val="22"/>
          <w:szCs w:val="22"/>
          <w:lang w:val="es-ES"/>
        </w:rPr>
        <w:t>, ante tal coyuntura,</w:t>
      </w:r>
      <w:r w:rsidR="00F60551" w:rsidRPr="00DA6A99">
        <w:rPr>
          <w:rFonts w:cs="Arial"/>
          <w:sz w:val="22"/>
          <w:szCs w:val="22"/>
          <w:lang w:val="es-ES"/>
        </w:rPr>
        <w:t xml:space="preserve"> </w:t>
      </w:r>
      <w:r w:rsidR="00E10850" w:rsidRPr="00DA6A99">
        <w:rPr>
          <w:rFonts w:cs="Arial"/>
          <w:sz w:val="22"/>
          <w:szCs w:val="22"/>
          <w:lang w:val="es-ES"/>
        </w:rPr>
        <w:t xml:space="preserve">se presenten </w:t>
      </w:r>
      <w:r w:rsidR="00336EC0" w:rsidRPr="00DA6A99">
        <w:rPr>
          <w:rFonts w:cs="Arial"/>
          <w:sz w:val="22"/>
          <w:szCs w:val="22"/>
          <w:lang w:val="es-ES"/>
        </w:rPr>
        <w:t>incrementos</w:t>
      </w:r>
      <w:r w:rsidR="00E10850" w:rsidRPr="00DA6A99">
        <w:rPr>
          <w:rFonts w:cs="Arial"/>
          <w:sz w:val="22"/>
          <w:szCs w:val="22"/>
          <w:lang w:val="es-ES"/>
        </w:rPr>
        <w:t xml:space="preserve"> sustanciales en el precio de bolsa, tal y como se ha observado en </w:t>
      </w:r>
      <w:r w:rsidR="00336EC0" w:rsidRPr="00DA6A99">
        <w:rPr>
          <w:rFonts w:cs="Arial"/>
          <w:sz w:val="22"/>
          <w:szCs w:val="22"/>
          <w:lang w:val="es-ES"/>
        </w:rPr>
        <w:t>épocas de baja hidrología.</w:t>
      </w:r>
    </w:p>
    <w:p w14:paraId="237C79BE" w14:textId="77777777" w:rsidR="00336EC0" w:rsidRPr="00DA6A99" w:rsidRDefault="00336EC0" w:rsidP="00CA7786">
      <w:pPr>
        <w:rPr>
          <w:rFonts w:cs="Arial"/>
          <w:sz w:val="22"/>
          <w:szCs w:val="22"/>
          <w:lang w:val="es-ES"/>
        </w:rPr>
      </w:pPr>
    </w:p>
    <w:p w14:paraId="2B89DE96" w14:textId="5F708080" w:rsidR="00E11DCF" w:rsidRPr="00DA6A99" w:rsidRDefault="00336EC0" w:rsidP="00CA7786">
      <w:pPr>
        <w:rPr>
          <w:rFonts w:cs="Arial"/>
          <w:sz w:val="22"/>
          <w:szCs w:val="22"/>
          <w:lang w:val="es-ES"/>
        </w:rPr>
      </w:pPr>
      <w:r w:rsidRPr="00DA6A99">
        <w:rPr>
          <w:rFonts w:cs="Arial"/>
          <w:sz w:val="22"/>
          <w:szCs w:val="22"/>
          <w:lang w:val="es-ES"/>
        </w:rPr>
        <w:t>Por tal razón, se propone limitar</w:t>
      </w:r>
      <w:r w:rsidR="00877AB7" w:rsidRPr="00DA6A99">
        <w:rPr>
          <w:rFonts w:cs="Arial"/>
          <w:sz w:val="22"/>
          <w:szCs w:val="22"/>
          <w:lang w:val="es-ES"/>
        </w:rPr>
        <w:t xml:space="preserve"> a seis (6) meses</w:t>
      </w:r>
      <w:r w:rsidRPr="00DA6A99">
        <w:rPr>
          <w:rFonts w:cs="Arial"/>
          <w:sz w:val="22"/>
          <w:szCs w:val="22"/>
          <w:lang w:val="es-ES"/>
        </w:rPr>
        <w:t xml:space="preserve"> la </w:t>
      </w:r>
      <w:r w:rsidR="00E342B7" w:rsidRPr="00DA6A99">
        <w:rPr>
          <w:rFonts w:cs="Arial"/>
          <w:sz w:val="22"/>
          <w:szCs w:val="22"/>
          <w:lang w:val="es-ES"/>
        </w:rPr>
        <w:t>duración de</w:t>
      </w:r>
      <w:r w:rsidR="00877AB7" w:rsidRPr="00DA6A99">
        <w:rPr>
          <w:rFonts w:cs="Arial"/>
          <w:sz w:val="22"/>
          <w:szCs w:val="22"/>
          <w:lang w:val="es-ES"/>
        </w:rPr>
        <w:t xml:space="preserve">l periodo durante el cual podrán suscribirse contratos </w:t>
      </w:r>
      <w:r w:rsidR="00C94FF8" w:rsidRPr="00DA6A99">
        <w:rPr>
          <w:rFonts w:cs="Arial"/>
          <w:sz w:val="22"/>
          <w:szCs w:val="22"/>
          <w:lang w:val="es-ES"/>
        </w:rPr>
        <w:t>pague lo contratado al 75%</w:t>
      </w:r>
      <w:r w:rsidR="00877AB7" w:rsidRPr="00DA6A99">
        <w:rPr>
          <w:rFonts w:cs="Arial"/>
          <w:sz w:val="22"/>
          <w:szCs w:val="22"/>
          <w:lang w:val="es-ES"/>
        </w:rPr>
        <w:t xml:space="preserve"> y</w:t>
      </w:r>
      <w:r w:rsidR="00C94FF8" w:rsidRPr="00DA6A99">
        <w:rPr>
          <w:rFonts w:cs="Arial"/>
          <w:sz w:val="22"/>
          <w:szCs w:val="22"/>
          <w:lang w:val="es-ES"/>
        </w:rPr>
        <w:t xml:space="preserve"> s</w:t>
      </w:r>
      <w:r w:rsidR="00376AD2" w:rsidRPr="00DA6A99">
        <w:rPr>
          <w:rFonts w:cs="Arial"/>
          <w:sz w:val="22"/>
          <w:szCs w:val="22"/>
          <w:lang w:val="es-ES"/>
        </w:rPr>
        <w:t xml:space="preserve">e podrá </w:t>
      </w:r>
      <w:r w:rsidR="005F5721" w:rsidRPr="00DA6A99">
        <w:rPr>
          <w:rFonts w:cs="Arial"/>
          <w:sz w:val="22"/>
          <w:szCs w:val="22"/>
          <w:lang w:val="es-ES"/>
        </w:rPr>
        <w:t>superar el límite de compras propias vigente</w:t>
      </w:r>
      <w:r w:rsidR="002927AE" w:rsidRPr="00DA6A99">
        <w:rPr>
          <w:rFonts w:cs="Arial"/>
          <w:sz w:val="22"/>
          <w:szCs w:val="22"/>
          <w:lang w:val="es-ES"/>
        </w:rPr>
        <w:t xml:space="preserve">. Asimismo, se propone que </w:t>
      </w:r>
      <w:r w:rsidR="00276E8B" w:rsidRPr="00DA6A99">
        <w:rPr>
          <w:rFonts w:cs="Arial"/>
          <w:sz w:val="22"/>
          <w:szCs w:val="22"/>
          <w:lang w:val="es-ES"/>
        </w:rPr>
        <w:t xml:space="preserve">la vigencia de tales contrataciones no sea superior a un (1) año, sin superar en todo caso el 31 de </w:t>
      </w:r>
      <w:proofErr w:type="spellStart"/>
      <w:r w:rsidR="006073A8" w:rsidRPr="00DA6A99">
        <w:rPr>
          <w:rFonts w:cs="Arial"/>
          <w:sz w:val="22"/>
          <w:szCs w:val="22"/>
          <w:lang w:val="es-ES"/>
        </w:rPr>
        <w:t>e</w:t>
      </w:r>
      <w:r w:rsidR="00276E8B" w:rsidRPr="00DA6A99">
        <w:rPr>
          <w:rFonts w:cs="Arial"/>
          <w:sz w:val="22"/>
          <w:szCs w:val="22"/>
          <w:lang w:val="es-ES"/>
        </w:rPr>
        <w:t>bre</w:t>
      </w:r>
      <w:proofErr w:type="spellEnd"/>
      <w:r w:rsidR="00276E8B" w:rsidRPr="00DA6A99">
        <w:rPr>
          <w:rFonts w:cs="Arial"/>
          <w:sz w:val="22"/>
          <w:szCs w:val="22"/>
          <w:lang w:val="es-ES"/>
        </w:rPr>
        <w:t xml:space="preserve"> de 202</w:t>
      </w:r>
      <w:r w:rsidR="00B14531" w:rsidRPr="00DA6A99">
        <w:rPr>
          <w:rFonts w:cs="Arial"/>
          <w:sz w:val="22"/>
          <w:szCs w:val="22"/>
          <w:lang w:val="es-ES"/>
        </w:rPr>
        <w:t>4</w:t>
      </w:r>
      <w:r w:rsidR="00276E8B" w:rsidRPr="00DA6A99">
        <w:rPr>
          <w:rFonts w:cs="Arial"/>
          <w:sz w:val="22"/>
          <w:szCs w:val="22"/>
          <w:lang w:val="es-ES"/>
        </w:rPr>
        <w:t>.</w:t>
      </w:r>
    </w:p>
    <w:p w14:paraId="50C58C2B" w14:textId="77777777" w:rsidR="00A82519" w:rsidRPr="00DA6A99" w:rsidRDefault="00A82519" w:rsidP="00CA7786">
      <w:pPr>
        <w:rPr>
          <w:rFonts w:cs="Arial"/>
          <w:sz w:val="22"/>
          <w:szCs w:val="22"/>
          <w:lang w:val="es-ES"/>
        </w:rPr>
      </w:pPr>
    </w:p>
    <w:p w14:paraId="11C2CBC6" w14:textId="321E5F5F" w:rsidR="00A82519" w:rsidRPr="00DA6A99" w:rsidRDefault="00A82519" w:rsidP="00CA7786">
      <w:pPr>
        <w:rPr>
          <w:rFonts w:cs="Arial"/>
          <w:sz w:val="22"/>
          <w:szCs w:val="22"/>
          <w:lang w:val="es-ES"/>
        </w:rPr>
      </w:pPr>
      <w:r w:rsidRPr="00DA6A99">
        <w:rPr>
          <w:rFonts w:cs="Arial"/>
          <w:sz w:val="22"/>
          <w:szCs w:val="22"/>
          <w:lang w:val="es-ES"/>
        </w:rPr>
        <w:t xml:space="preserve">En todo caso, es importante resaltar que los contratos resultantes de la </w:t>
      </w:r>
      <w:r w:rsidR="00EA0540" w:rsidRPr="00DA6A99">
        <w:rPr>
          <w:rFonts w:cs="Arial"/>
          <w:sz w:val="22"/>
          <w:szCs w:val="22"/>
          <w:lang w:val="es-ES"/>
        </w:rPr>
        <w:t xml:space="preserve">flexibilización regulatoria </w:t>
      </w:r>
      <w:r w:rsidR="00BC5C22" w:rsidRPr="00DA6A99">
        <w:rPr>
          <w:rFonts w:cs="Arial"/>
          <w:sz w:val="22"/>
          <w:szCs w:val="22"/>
          <w:lang w:val="es-ES"/>
        </w:rPr>
        <w:t>descrita</w:t>
      </w:r>
      <w:r w:rsidR="00EA0540" w:rsidRPr="00DA6A99">
        <w:rPr>
          <w:rFonts w:cs="Arial"/>
          <w:sz w:val="22"/>
          <w:szCs w:val="22"/>
          <w:lang w:val="es-ES"/>
        </w:rPr>
        <w:t xml:space="preserve"> en los numerales </w:t>
      </w:r>
      <w:r w:rsidR="00EA0540" w:rsidRPr="00DA6A99">
        <w:rPr>
          <w:rFonts w:cs="Arial"/>
          <w:sz w:val="22"/>
          <w:szCs w:val="22"/>
          <w:lang w:val="es-ES"/>
        </w:rPr>
        <w:fldChar w:fldCharType="begin"/>
      </w:r>
      <w:r w:rsidR="00EA0540" w:rsidRPr="00DA6A99">
        <w:rPr>
          <w:rFonts w:cs="Arial"/>
          <w:sz w:val="22"/>
          <w:szCs w:val="22"/>
          <w:lang w:val="es-ES"/>
        </w:rPr>
        <w:instrText xml:space="preserve"> REF _Ref144812837 \r \h </w:instrText>
      </w:r>
      <w:r w:rsidR="005063CF" w:rsidRPr="00DA6A99">
        <w:rPr>
          <w:rFonts w:cs="Arial"/>
          <w:sz w:val="22"/>
          <w:szCs w:val="22"/>
          <w:lang w:val="es-ES"/>
        </w:rPr>
        <w:instrText xml:space="preserve"> \* MERGEFORMAT </w:instrText>
      </w:r>
      <w:r w:rsidR="00EA0540" w:rsidRPr="00DA6A99">
        <w:rPr>
          <w:rFonts w:cs="Arial"/>
          <w:sz w:val="22"/>
          <w:szCs w:val="22"/>
          <w:lang w:val="es-ES"/>
        </w:rPr>
      </w:r>
      <w:r w:rsidR="00EA0540" w:rsidRPr="00DA6A99">
        <w:rPr>
          <w:rFonts w:cs="Arial"/>
          <w:sz w:val="22"/>
          <w:szCs w:val="22"/>
          <w:lang w:val="es-ES"/>
        </w:rPr>
        <w:fldChar w:fldCharType="separate"/>
      </w:r>
      <w:r w:rsidR="00EA0540" w:rsidRPr="00DA6A99">
        <w:rPr>
          <w:rFonts w:cs="Arial"/>
          <w:sz w:val="22"/>
          <w:szCs w:val="22"/>
          <w:lang w:val="es-ES"/>
        </w:rPr>
        <w:t>2.2.2</w:t>
      </w:r>
      <w:r w:rsidR="00EA0540" w:rsidRPr="00DA6A99">
        <w:rPr>
          <w:rFonts w:cs="Arial"/>
          <w:sz w:val="22"/>
          <w:szCs w:val="22"/>
          <w:lang w:val="es-ES"/>
        </w:rPr>
        <w:fldChar w:fldCharType="end"/>
      </w:r>
      <w:r w:rsidR="00EA0540" w:rsidRPr="00DA6A99">
        <w:rPr>
          <w:rFonts w:cs="Arial"/>
          <w:sz w:val="22"/>
          <w:szCs w:val="22"/>
          <w:lang w:val="es-ES"/>
        </w:rPr>
        <w:t xml:space="preserve"> y </w:t>
      </w:r>
      <w:r w:rsidR="00EA0540" w:rsidRPr="00DA6A99">
        <w:rPr>
          <w:rFonts w:cs="Arial"/>
          <w:sz w:val="22"/>
          <w:szCs w:val="22"/>
          <w:lang w:val="es-ES"/>
        </w:rPr>
        <w:fldChar w:fldCharType="begin"/>
      </w:r>
      <w:r w:rsidR="00EA0540" w:rsidRPr="00DA6A99">
        <w:rPr>
          <w:rFonts w:cs="Arial"/>
          <w:sz w:val="22"/>
          <w:szCs w:val="22"/>
          <w:lang w:val="es-ES"/>
        </w:rPr>
        <w:instrText xml:space="preserve"> REF _Ref144812840 \r \h </w:instrText>
      </w:r>
      <w:r w:rsidR="005063CF" w:rsidRPr="00DA6A99">
        <w:rPr>
          <w:rFonts w:cs="Arial"/>
          <w:sz w:val="22"/>
          <w:szCs w:val="22"/>
          <w:lang w:val="es-ES"/>
        </w:rPr>
        <w:instrText xml:space="preserve"> \* MERGEFORMAT </w:instrText>
      </w:r>
      <w:r w:rsidR="00EA0540" w:rsidRPr="00DA6A99">
        <w:rPr>
          <w:rFonts w:cs="Arial"/>
          <w:sz w:val="22"/>
          <w:szCs w:val="22"/>
          <w:lang w:val="es-ES"/>
        </w:rPr>
      </w:r>
      <w:r w:rsidR="00EA0540" w:rsidRPr="00DA6A99">
        <w:rPr>
          <w:rFonts w:cs="Arial"/>
          <w:sz w:val="22"/>
          <w:szCs w:val="22"/>
          <w:lang w:val="es-ES"/>
        </w:rPr>
        <w:fldChar w:fldCharType="separate"/>
      </w:r>
      <w:r w:rsidR="00EA0540" w:rsidRPr="00DA6A99">
        <w:rPr>
          <w:rFonts w:cs="Arial"/>
          <w:sz w:val="22"/>
          <w:szCs w:val="22"/>
          <w:lang w:val="es-ES"/>
        </w:rPr>
        <w:t>2.2.3</w:t>
      </w:r>
      <w:r w:rsidR="00EA0540" w:rsidRPr="00DA6A99">
        <w:rPr>
          <w:rFonts w:cs="Arial"/>
          <w:sz w:val="22"/>
          <w:szCs w:val="22"/>
          <w:lang w:val="es-ES"/>
        </w:rPr>
        <w:fldChar w:fldCharType="end"/>
      </w:r>
      <w:r w:rsidR="00EA0540" w:rsidRPr="00DA6A99">
        <w:rPr>
          <w:rFonts w:cs="Arial"/>
          <w:sz w:val="22"/>
          <w:szCs w:val="22"/>
          <w:lang w:val="es-ES"/>
        </w:rPr>
        <w:t xml:space="preserve">, </w:t>
      </w:r>
      <w:r w:rsidRPr="00DA6A99">
        <w:rPr>
          <w:rFonts w:cs="Arial"/>
          <w:sz w:val="22"/>
          <w:szCs w:val="22"/>
          <w:lang w:val="es-ES"/>
        </w:rPr>
        <w:t xml:space="preserve">no cumplen con los estándares regulatorios de largo plazo establecidos en la Resolución CREG 130 de 2019. </w:t>
      </w:r>
      <w:r w:rsidR="00BF26E9" w:rsidRPr="00DA6A99">
        <w:rPr>
          <w:rFonts w:cs="Arial"/>
          <w:sz w:val="22"/>
          <w:szCs w:val="22"/>
          <w:lang w:val="es-ES"/>
        </w:rPr>
        <w:t>La propuesta de permitir su</w:t>
      </w:r>
      <w:r w:rsidRPr="00DA6A99">
        <w:rPr>
          <w:rFonts w:cs="Arial"/>
          <w:sz w:val="22"/>
          <w:szCs w:val="22"/>
          <w:lang w:val="es-ES"/>
        </w:rPr>
        <w:t xml:space="preserve"> incorporación </w:t>
      </w:r>
      <w:r w:rsidRPr="00DA6A99">
        <w:rPr>
          <w:rFonts w:cs="Arial"/>
          <w:b/>
          <w:sz w:val="22"/>
          <w:szCs w:val="22"/>
          <w:u w:val="single"/>
          <w:lang w:val="es-ES"/>
        </w:rPr>
        <w:t>transitoria</w:t>
      </w:r>
      <w:r w:rsidRPr="00DA6A99">
        <w:rPr>
          <w:rFonts w:cs="Arial"/>
          <w:sz w:val="22"/>
          <w:szCs w:val="22"/>
          <w:lang w:val="es-ES"/>
        </w:rPr>
        <w:t xml:space="preserve"> en el portafolio de los comercializadores obedece a la necesidad puntual de incrementar la cobertura de los usuarios regulados frente a eventuales incrementos sustanciales en el precio de la bolsa para los meses en los cuales se presente el Fenómeno del Niño.</w:t>
      </w:r>
    </w:p>
    <w:p w14:paraId="7910272B" w14:textId="77777777" w:rsidR="00A82519" w:rsidRPr="00DA6A99" w:rsidRDefault="00A82519" w:rsidP="00CA7786">
      <w:pPr>
        <w:rPr>
          <w:rFonts w:cs="Arial"/>
          <w:sz w:val="22"/>
          <w:szCs w:val="22"/>
          <w:lang w:val="es-ES"/>
        </w:rPr>
      </w:pPr>
    </w:p>
    <w:p w14:paraId="7BBB9E52" w14:textId="012206D5" w:rsidR="00A82519" w:rsidRPr="00DA6A99" w:rsidRDefault="00A82519" w:rsidP="00CA7786">
      <w:pPr>
        <w:rPr>
          <w:rFonts w:cs="Arial"/>
          <w:sz w:val="22"/>
          <w:szCs w:val="22"/>
          <w:lang w:val="es-ES"/>
        </w:rPr>
      </w:pPr>
      <w:r w:rsidRPr="00DA6A99">
        <w:rPr>
          <w:rFonts w:cs="Arial"/>
          <w:sz w:val="22"/>
          <w:szCs w:val="22"/>
          <w:lang w:val="es-ES"/>
        </w:rPr>
        <w:lastRenderedPageBreak/>
        <w:t xml:space="preserve">Por lo anterior, los precios resultantes de estos contratos no </w:t>
      </w:r>
      <w:r w:rsidR="003A192E" w:rsidRPr="00DA6A99">
        <w:rPr>
          <w:rFonts w:cs="Arial"/>
          <w:sz w:val="22"/>
          <w:szCs w:val="22"/>
          <w:lang w:val="es-ES"/>
        </w:rPr>
        <w:t>serían</w:t>
      </w:r>
      <w:r w:rsidRPr="00DA6A99">
        <w:rPr>
          <w:rFonts w:cs="Arial"/>
          <w:sz w:val="22"/>
          <w:szCs w:val="22"/>
          <w:lang w:val="es-ES"/>
        </w:rPr>
        <w:t xml:space="preserve"> incorporados en el cálculo de la variable Mc</w:t>
      </w:r>
      <w:r w:rsidR="002E2F9B" w:rsidRPr="00DA6A99">
        <w:rPr>
          <w:rFonts w:cs="Arial"/>
          <w:sz w:val="22"/>
          <w:szCs w:val="22"/>
          <w:lang w:val="es-ES"/>
        </w:rPr>
        <w:t xml:space="preserve"> en el componente G de generación</w:t>
      </w:r>
      <w:r w:rsidRPr="00DA6A99">
        <w:rPr>
          <w:rFonts w:cs="Arial"/>
          <w:sz w:val="22"/>
          <w:szCs w:val="22"/>
          <w:lang w:val="es-ES"/>
        </w:rPr>
        <w:t>, pues se distorsionaría la señal de precio de largo plazo que se busca recoger</w:t>
      </w:r>
      <w:r w:rsidR="002E2F9B" w:rsidRPr="00DA6A99">
        <w:rPr>
          <w:rFonts w:cs="Arial"/>
          <w:sz w:val="22"/>
          <w:szCs w:val="22"/>
          <w:lang w:val="es-ES"/>
        </w:rPr>
        <w:t xml:space="preserve"> a través de tal parámetro</w:t>
      </w:r>
      <w:r w:rsidRPr="00DA6A99">
        <w:rPr>
          <w:rFonts w:cs="Arial"/>
          <w:sz w:val="22"/>
          <w:szCs w:val="22"/>
          <w:lang w:val="es-ES"/>
        </w:rPr>
        <w:t>.</w:t>
      </w:r>
    </w:p>
    <w:p w14:paraId="67B599CF" w14:textId="77777777" w:rsidR="00A82519" w:rsidRPr="00DA6A99" w:rsidRDefault="00A82519" w:rsidP="00CA7786">
      <w:pPr>
        <w:rPr>
          <w:rFonts w:cs="Arial"/>
          <w:sz w:val="22"/>
          <w:szCs w:val="22"/>
          <w:lang w:val="es-ES"/>
        </w:rPr>
      </w:pPr>
    </w:p>
    <w:p w14:paraId="0DF680B9" w14:textId="58C7F2A3" w:rsidR="003F2DA9" w:rsidRPr="00DA6A99" w:rsidRDefault="00F402DC" w:rsidP="00CA7786">
      <w:pPr>
        <w:pStyle w:val="Ttulo2"/>
        <w:numPr>
          <w:ilvl w:val="1"/>
          <w:numId w:val="19"/>
        </w:numPr>
        <w:spacing w:after="0"/>
        <w:rPr>
          <w:rFonts w:cs="Arial"/>
          <w:sz w:val="22"/>
          <w:szCs w:val="22"/>
        </w:rPr>
      </w:pPr>
      <w:bookmarkStart w:id="24" w:name="_Toc144899071"/>
      <w:r w:rsidRPr="00DA6A99">
        <w:rPr>
          <w:rFonts w:cs="Arial"/>
          <w:sz w:val="22"/>
          <w:szCs w:val="22"/>
        </w:rPr>
        <w:t>P</w:t>
      </w:r>
      <w:r w:rsidR="003F2DA9" w:rsidRPr="00DA6A99">
        <w:rPr>
          <w:rFonts w:cs="Arial"/>
          <w:sz w:val="22"/>
          <w:szCs w:val="22"/>
        </w:rPr>
        <w:t xml:space="preserve">articipación </w:t>
      </w:r>
      <w:r w:rsidRPr="00DA6A99">
        <w:rPr>
          <w:rFonts w:cs="Arial"/>
          <w:sz w:val="22"/>
          <w:szCs w:val="22"/>
        </w:rPr>
        <w:t xml:space="preserve">vinculante </w:t>
      </w:r>
      <w:r w:rsidR="003F2DA9" w:rsidRPr="00DA6A99">
        <w:rPr>
          <w:rFonts w:cs="Arial"/>
          <w:sz w:val="22"/>
          <w:szCs w:val="22"/>
        </w:rPr>
        <w:t>de los generadores</w:t>
      </w:r>
      <w:r w:rsidRPr="00DA6A99">
        <w:rPr>
          <w:rFonts w:cs="Arial"/>
          <w:sz w:val="22"/>
          <w:szCs w:val="22"/>
        </w:rPr>
        <w:t xml:space="preserve"> en convocatorias públicas</w:t>
      </w:r>
      <w:bookmarkEnd w:id="24"/>
    </w:p>
    <w:p w14:paraId="4E84D32D" w14:textId="77777777" w:rsidR="00F6485C" w:rsidRPr="00DA6A99" w:rsidRDefault="00F6485C" w:rsidP="00CA7786">
      <w:pPr>
        <w:rPr>
          <w:rFonts w:cs="Arial"/>
          <w:sz w:val="22"/>
          <w:szCs w:val="22"/>
          <w:lang w:val="es-ES"/>
        </w:rPr>
      </w:pPr>
    </w:p>
    <w:p w14:paraId="7C0F6EE6" w14:textId="56AA6E9C" w:rsidR="00F6485C" w:rsidRPr="00DA6A99" w:rsidRDefault="00F6485C" w:rsidP="00CA7786">
      <w:pPr>
        <w:rPr>
          <w:rFonts w:cs="Arial"/>
          <w:sz w:val="22"/>
          <w:szCs w:val="22"/>
          <w:lang w:val="es-ES"/>
        </w:rPr>
      </w:pPr>
      <w:r w:rsidRPr="00DA6A99">
        <w:rPr>
          <w:rFonts w:cs="Arial"/>
          <w:sz w:val="22"/>
          <w:szCs w:val="22"/>
          <w:lang w:val="es-ES"/>
        </w:rPr>
        <w:t xml:space="preserve">Como se indicó </w:t>
      </w:r>
      <w:r w:rsidR="00C94AD1" w:rsidRPr="00DA6A99">
        <w:rPr>
          <w:rFonts w:cs="Arial"/>
          <w:sz w:val="22"/>
          <w:szCs w:val="22"/>
          <w:lang w:val="es-ES"/>
        </w:rPr>
        <w:t xml:space="preserve">al inicio del presente documento, </w:t>
      </w:r>
      <w:r w:rsidR="00D37DA1" w:rsidRPr="00DA6A99">
        <w:rPr>
          <w:rFonts w:cs="Arial"/>
          <w:sz w:val="22"/>
          <w:szCs w:val="22"/>
          <w:lang w:val="es-ES"/>
        </w:rPr>
        <w:t>durante las épocas de baja hidrología (i.e. Fenómeno del Niño)</w:t>
      </w:r>
      <w:r w:rsidR="000D416F" w:rsidRPr="00DA6A99">
        <w:rPr>
          <w:rFonts w:cs="Arial"/>
          <w:sz w:val="22"/>
          <w:szCs w:val="22"/>
          <w:lang w:val="es-ES"/>
        </w:rPr>
        <w:t xml:space="preserve"> los precios de la bolsa </w:t>
      </w:r>
      <w:r w:rsidR="00BD40D8" w:rsidRPr="00DA6A99">
        <w:rPr>
          <w:rFonts w:cs="Arial"/>
          <w:sz w:val="22"/>
          <w:szCs w:val="22"/>
          <w:lang w:val="es-ES"/>
        </w:rPr>
        <w:t xml:space="preserve">de energía </w:t>
      </w:r>
      <w:r w:rsidR="00530852" w:rsidRPr="00DA6A99">
        <w:rPr>
          <w:rFonts w:cs="Arial"/>
          <w:sz w:val="22"/>
          <w:szCs w:val="22"/>
          <w:lang w:val="es-ES"/>
        </w:rPr>
        <w:t xml:space="preserve">se ubican </w:t>
      </w:r>
      <w:r w:rsidR="00870976" w:rsidRPr="00DA6A99">
        <w:rPr>
          <w:rFonts w:cs="Arial"/>
          <w:sz w:val="22"/>
          <w:szCs w:val="22"/>
          <w:lang w:val="es-ES"/>
        </w:rPr>
        <w:t xml:space="preserve">muy por encima del </w:t>
      </w:r>
      <w:r w:rsidR="005867E0" w:rsidRPr="00DA6A99">
        <w:rPr>
          <w:rFonts w:cs="Arial"/>
          <w:sz w:val="22"/>
          <w:szCs w:val="22"/>
          <w:lang w:val="es-ES"/>
        </w:rPr>
        <w:t>precio promedio</w:t>
      </w:r>
      <w:r w:rsidR="00870976" w:rsidRPr="00DA6A99">
        <w:rPr>
          <w:rFonts w:cs="Arial"/>
          <w:sz w:val="22"/>
          <w:szCs w:val="22"/>
          <w:lang w:val="es-ES"/>
        </w:rPr>
        <w:t xml:space="preserve"> </w:t>
      </w:r>
      <w:r w:rsidR="00EB05C2" w:rsidRPr="00DA6A99">
        <w:rPr>
          <w:rFonts w:cs="Arial"/>
          <w:sz w:val="22"/>
          <w:szCs w:val="22"/>
          <w:lang w:val="es-ES"/>
        </w:rPr>
        <w:t>de contratos provenientes de convocatorias públicas</w:t>
      </w:r>
      <w:r w:rsidR="00B95F47" w:rsidRPr="00DA6A99">
        <w:rPr>
          <w:rFonts w:cs="Arial"/>
          <w:sz w:val="22"/>
          <w:szCs w:val="22"/>
          <w:lang w:val="es-ES"/>
        </w:rPr>
        <w:t>.</w:t>
      </w:r>
    </w:p>
    <w:p w14:paraId="277E7711" w14:textId="77777777" w:rsidR="001D7420" w:rsidRPr="00DA6A99" w:rsidRDefault="001D7420" w:rsidP="00CA7786">
      <w:pPr>
        <w:rPr>
          <w:rFonts w:cs="Arial"/>
          <w:sz w:val="22"/>
          <w:szCs w:val="22"/>
          <w:lang w:val="es-ES"/>
        </w:rPr>
      </w:pPr>
    </w:p>
    <w:p w14:paraId="607D18CE" w14:textId="75ED2B81" w:rsidR="001D7420" w:rsidRPr="00DA6A99" w:rsidRDefault="001D7420" w:rsidP="00CA7786">
      <w:pPr>
        <w:rPr>
          <w:rFonts w:cs="Arial"/>
          <w:sz w:val="22"/>
          <w:szCs w:val="22"/>
          <w:lang w:val="es-ES"/>
        </w:rPr>
      </w:pPr>
      <w:r w:rsidRPr="00DA6A99">
        <w:rPr>
          <w:rFonts w:cs="Arial"/>
          <w:sz w:val="22"/>
          <w:szCs w:val="22"/>
          <w:lang w:val="es-ES"/>
        </w:rPr>
        <w:t xml:space="preserve">Así, es previsible que quienes tienen energía disponible prefieran </w:t>
      </w:r>
      <w:r w:rsidR="00CE0880" w:rsidRPr="00DA6A99">
        <w:rPr>
          <w:rFonts w:cs="Arial"/>
          <w:sz w:val="22"/>
          <w:szCs w:val="22"/>
          <w:lang w:val="es-ES"/>
        </w:rPr>
        <w:t>venderla en</w:t>
      </w:r>
      <w:r w:rsidR="00BD40D8" w:rsidRPr="00DA6A99">
        <w:rPr>
          <w:rFonts w:cs="Arial"/>
          <w:sz w:val="22"/>
          <w:szCs w:val="22"/>
          <w:lang w:val="es-ES"/>
        </w:rPr>
        <w:t xml:space="preserve"> la bolsa de energía y no en convocatorias públicas</w:t>
      </w:r>
      <w:r w:rsidR="00AF66AE" w:rsidRPr="00DA6A99">
        <w:rPr>
          <w:rFonts w:cs="Arial"/>
          <w:sz w:val="22"/>
          <w:szCs w:val="22"/>
          <w:lang w:val="es-ES"/>
        </w:rPr>
        <w:t>. Es decir, no existen incentivos de mercado que lleven a que un vendedor racional, por iniciativa propia, le dé prioridad a participar en convocatorias adelantadas por comercializadores</w:t>
      </w:r>
      <w:r w:rsidR="000042E5" w:rsidRPr="00DA6A99">
        <w:rPr>
          <w:rFonts w:cs="Arial"/>
          <w:sz w:val="22"/>
          <w:szCs w:val="22"/>
          <w:lang w:val="es-ES"/>
        </w:rPr>
        <w:t xml:space="preserve">, en lugar de </w:t>
      </w:r>
      <w:r w:rsidR="00740017" w:rsidRPr="00DA6A99">
        <w:rPr>
          <w:rFonts w:cs="Arial"/>
          <w:sz w:val="22"/>
          <w:szCs w:val="22"/>
          <w:lang w:val="es-ES"/>
        </w:rPr>
        <w:t>buscar la venta de su energía en el mercado spot</w:t>
      </w:r>
      <w:r w:rsidR="003C1D1F" w:rsidRPr="00DA6A99">
        <w:rPr>
          <w:rFonts w:cs="Arial"/>
          <w:sz w:val="22"/>
          <w:szCs w:val="22"/>
          <w:lang w:val="es-ES"/>
        </w:rPr>
        <w:t>, donde obtendría una mayor ganancia.</w:t>
      </w:r>
    </w:p>
    <w:p w14:paraId="367008CF" w14:textId="77777777" w:rsidR="003C1D1F" w:rsidRPr="00DA6A99" w:rsidRDefault="003C1D1F" w:rsidP="00CA7786">
      <w:pPr>
        <w:rPr>
          <w:rFonts w:cs="Arial"/>
          <w:sz w:val="22"/>
          <w:szCs w:val="22"/>
          <w:lang w:val="es-ES"/>
        </w:rPr>
      </w:pPr>
    </w:p>
    <w:p w14:paraId="221F19E5" w14:textId="531094B8" w:rsidR="00802E06" w:rsidRPr="00DA6A99" w:rsidRDefault="003C1D1F" w:rsidP="00CA7786">
      <w:pPr>
        <w:rPr>
          <w:rFonts w:cs="Arial"/>
          <w:sz w:val="22"/>
          <w:szCs w:val="22"/>
          <w:lang w:val="es-ES"/>
        </w:rPr>
      </w:pPr>
      <w:r w:rsidRPr="00DA6A99">
        <w:rPr>
          <w:rFonts w:cs="Arial"/>
          <w:sz w:val="22"/>
          <w:szCs w:val="22"/>
          <w:lang w:val="es-ES"/>
        </w:rPr>
        <w:t xml:space="preserve">Por lo anterior, </w:t>
      </w:r>
      <w:r w:rsidR="001B1DA8" w:rsidRPr="00DA6A99">
        <w:rPr>
          <w:rFonts w:cs="Arial"/>
          <w:sz w:val="22"/>
          <w:szCs w:val="22"/>
          <w:lang w:val="es-ES"/>
        </w:rPr>
        <w:t>se encuentra</w:t>
      </w:r>
      <w:r w:rsidRPr="00DA6A99">
        <w:rPr>
          <w:rFonts w:cs="Arial"/>
          <w:sz w:val="22"/>
          <w:szCs w:val="22"/>
          <w:lang w:val="es-ES"/>
        </w:rPr>
        <w:t xml:space="preserve"> necesario</w:t>
      </w:r>
      <w:r w:rsidR="001B1DA8" w:rsidRPr="00DA6A99">
        <w:rPr>
          <w:rFonts w:cs="Arial"/>
          <w:sz w:val="22"/>
          <w:szCs w:val="22"/>
          <w:lang w:val="es-ES"/>
        </w:rPr>
        <w:t xml:space="preserve"> que</w:t>
      </w:r>
      <w:r w:rsidR="00A9428E" w:rsidRPr="00DA6A99">
        <w:rPr>
          <w:rFonts w:cs="Arial"/>
          <w:sz w:val="22"/>
          <w:szCs w:val="22"/>
          <w:lang w:val="es-ES"/>
        </w:rPr>
        <w:t xml:space="preserve">, de manera </w:t>
      </w:r>
      <w:r w:rsidR="00A9428E" w:rsidRPr="00DA6A99">
        <w:rPr>
          <w:rFonts w:cs="Arial"/>
          <w:b/>
          <w:sz w:val="22"/>
          <w:szCs w:val="22"/>
          <w:u w:val="single"/>
          <w:lang w:val="es-ES"/>
        </w:rPr>
        <w:t>transitoria</w:t>
      </w:r>
      <w:r w:rsidR="001B1DA8" w:rsidRPr="00DA6A99">
        <w:rPr>
          <w:rFonts w:cs="Arial"/>
          <w:sz w:val="22"/>
          <w:szCs w:val="22"/>
          <w:lang w:val="es-ES"/>
        </w:rPr>
        <w:t>,</w:t>
      </w:r>
      <w:r w:rsidR="002377EA" w:rsidRPr="00DA6A99">
        <w:rPr>
          <w:rFonts w:cs="Arial"/>
          <w:sz w:val="22"/>
          <w:szCs w:val="22"/>
          <w:lang w:val="es-ES"/>
        </w:rPr>
        <w:t xml:space="preserve"> </w:t>
      </w:r>
      <w:r w:rsidR="001B1DA8" w:rsidRPr="00DA6A99">
        <w:rPr>
          <w:rFonts w:cs="Arial"/>
          <w:sz w:val="22"/>
          <w:szCs w:val="22"/>
          <w:lang w:val="es-ES"/>
        </w:rPr>
        <w:t>se haga</w:t>
      </w:r>
      <w:r w:rsidR="004E1438" w:rsidRPr="00DA6A99">
        <w:rPr>
          <w:rFonts w:cs="Arial"/>
          <w:sz w:val="22"/>
          <w:szCs w:val="22"/>
          <w:lang w:val="es-ES"/>
        </w:rPr>
        <w:t xml:space="preserve"> vinculante</w:t>
      </w:r>
      <w:r w:rsidR="004B653C" w:rsidRPr="00DA6A99">
        <w:rPr>
          <w:rFonts w:cs="Arial"/>
          <w:sz w:val="22"/>
          <w:szCs w:val="22"/>
          <w:lang w:val="es-ES"/>
        </w:rPr>
        <w:t xml:space="preserve"> </w:t>
      </w:r>
      <w:r w:rsidR="001B1DA8" w:rsidRPr="00DA6A99">
        <w:rPr>
          <w:rFonts w:cs="Arial"/>
          <w:sz w:val="22"/>
          <w:szCs w:val="22"/>
          <w:lang w:val="es-ES"/>
        </w:rPr>
        <w:t>l</w:t>
      </w:r>
      <w:r w:rsidR="004E1438" w:rsidRPr="00DA6A99">
        <w:rPr>
          <w:rFonts w:cs="Arial"/>
          <w:sz w:val="22"/>
          <w:szCs w:val="22"/>
          <w:lang w:val="es-ES"/>
        </w:rPr>
        <w:t>a</w:t>
      </w:r>
      <w:r w:rsidR="004B653C" w:rsidRPr="00DA6A99">
        <w:rPr>
          <w:rFonts w:cs="Arial"/>
          <w:sz w:val="22"/>
          <w:szCs w:val="22"/>
          <w:lang w:val="es-ES"/>
        </w:rPr>
        <w:t xml:space="preserve"> </w:t>
      </w:r>
      <w:r w:rsidR="004E1438" w:rsidRPr="00DA6A99">
        <w:rPr>
          <w:rFonts w:cs="Arial"/>
          <w:sz w:val="22"/>
          <w:szCs w:val="22"/>
          <w:lang w:val="es-ES"/>
        </w:rPr>
        <w:t>participación de</w:t>
      </w:r>
      <w:r w:rsidR="004B653C" w:rsidRPr="00DA6A99">
        <w:rPr>
          <w:rFonts w:cs="Arial"/>
          <w:sz w:val="22"/>
          <w:szCs w:val="22"/>
          <w:lang w:val="es-ES"/>
        </w:rPr>
        <w:t xml:space="preserve"> los </w:t>
      </w:r>
      <w:r w:rsidR="00FC6A84" w:rsidRPr="00DA6A99">
        <w:rPr>
          <w:rFonts w:cs="Arial"/>
          <w:sz w:val="22"/>
          <w:szCs w:val="22"/>
          <w:lang w:val="es-ES"/>
        </w:rPr>
        <w:t>generadores</w:t>
      </w:r>
      <w:r w:rsidR="004E1438" w:rsidRPr="00DA6A99">
        <w:rPr>
          <w:rFonts w:cs="Arial"/>
          <w:sz w:val="22"/>
          <w:szCs w:val="22"/>
          <w:lang w:val="es-ES"/>
        </w:rPr>
        <w:t>,</w:t>
      </w:r>
      <w:r w:rsidR="00837EBC" w:rsidRPr="00DA6A99">
        <w:rPr>
          <w:rFonts w:cs="Arial"/>
          <w:sz w:val="22"/>
          <w:szCs w:val="22"/>
          <w:lang w:val="es-ES"/>
        </w:rPr>
        <w:t xml:space="preserve"> de manera efectiva y competitiva</w:t>
      </w:r>
      <w:r w:rsidR="004E1438" w:rsidRPr="00DA6A99">
        <w:rPr>
          <w:rFonts w:cs="Arial"/>
          <w:sz w:val="22"/>
          <w:szCs w:val="22"/>
          <w:lang w:val="es-ES"/>
        </w:rPr>
        <w:t>,</w:t>
      </w:r>
      <w:r w:rsidR="00837EBC" w:rsidRPr="00DA6A99">
        <w:rPr>
          <w:rFonts w:cs="Arial"/>
          <w:sz w:val="22"/>
          <w:szCs w:val="22"/>
          <w:lang w:val="es-ES"/>
        </w:rPr>
        <w:t xml:space="preserve"> en </w:t>
      </w:r>
      <w:r w:rsidR="00EB22ED" w:rsidRPr="00DA6A99">
        <w:rPr>
          <w:rFonts w:cs="Arial"/>
          <w:sz w:val="22"/>
          <w:szCs w:val="22"/>
          <w:lang w:val="es-ES"/>
        </w:rPr>
        <w:t>las convocatorias públicas que adelanten los comercializadores para incrementar la cobertura de demanda regulada a través de contratos.</w:t>
      </w:r>
      <w:r w:rsidR="00476DF1" w:rsidRPr="00DA6A99">
        <w:rPr>
          <w:rFonts w:cs="Arial"/>
          <w:sz w:val="22"/>
          <w:szCs w:val="22"/>
          <w:lang w:val="es-ES"/>
        </w:rPr>
        <w:t xml:space="preserve"> De lo contrario,</w:t>
      </w:r>
      <w:r w:rsidR="004D2630" w:rsidRPr="00DA6A99">
        <w:rPr>
          <w:rFonts w:cs="Arial"/>
          <w:sz w:val="22"/>
          <w:szCs w:val="22"/>
          <w:lang w:val="es-ES"/>
        </w:rPr>
        <w:t xml:space="preserve"> aún con las flexibilizaciones regulatorias transitorias que se proponen en esta oportunidad,</w:t>
      </w:r>
      <w:r w:rsidR="00476DF1" w:rsidRPr="00DA6A99">
        <w:rPr>
          <w:rFonts w:cs="Arial"/>
          <w:sz w:val="22"/>
          <w:szCs w:val="22"/>
          <w:lang w:val="es-ES"/>
        </w:rPr>
        <w:t xml:space="preserve"> seguiría presentándose un alto número de convocatorias desiertas</w:t>
      </w:r>
      <w:r w:rsidR="004D2630" w:rsidRPr="00DA6A99">
        <w:rPr>
          <w:rFonts w:cs="Arial"/>
          <w:sz w:val="22"/>
          <w:szCs w:val="22"/>
          <w:lang w:val="es-ES"/>
        </w:rPr>
        <w:t xml:space="preserve"> por falta de participación por el lado de la oferta.</w:t>
      </w:r>
    </w:p>
    <w:p w14:paraId="13BB42F6" w14:textId="77777777" w:rsidR="00086ADD" w:rsidRDefault="00086ADD" w:rsidP="00CA7786">
      <w:pPr>
        <w:rPr>
          <w:rFonts w:cs="Arial"/>
          <w:sz w:val="22"/>
          <w:szCs w:val="22"/>
          <w:lang w:val="es-ES"/>
        </w:rPr>
      </w:pPr>
    </w:p>
    <w:p w14:paraId="3BF913A7" w14:textId="77777777" w:rsidR="005B357E" w:rsidRPr="00DA6A99" w:rsidRDefault="005B357E" w:rsidP="00CA7786">
      <w:pPr>
        <w:rPr>
          <w:rFonts w:cs="Arial"/>
          <w:sz w:val="22"/>
          <w:szCs w:val="22"/>
          <w:lang w:val="es-ES"/>
        </w:rPr>
      </w:pPr>
    </w:p>
    <w:p w14:paraId="543547CB" w14:textId="67B15EB6" w:rsidR="00086ADD" w:rsidRPr="00DA6A99" w:rsidRDefault="00E60213" w:rsidP="00CA7786">
      <w:pPr>
        <w:pStyle w:val="Ttulo1"/>
        <w:spacing w:after="0"/>
        <w:rPr>
          <w:sz w:val="22"/>
          <w:szCs w:val="22"/>
          <w:lang w:val="es-ES"/>
        </w:rPr>
      </w:pPr>
      <w:bookmarkStart w:id="25" w:name="_Toc144899072"/>
      <w:r w:rsidRPr="00DA6A99">
        <w:rPr>
          <w:sz w:val="22"/>
          <w:szCs w:val="22"/>
          <w:lang w:val="es-ES"/>
        </w:rPr>
        <w:t>CONSULTA PÚBLICA</w:t>
      </w:r>
      <w:bookmarkEnd w:id="25"/>
    </w:p>
    <w:p w14:paraId="1597B24D" w14:textId="77777777" w:rsidR="00355853" w:rsidRPr="00DA6A99" w:rsidRDefault="00355853" w:rsidP="00CA7786">
      <w:pPr>
        <w:rPr>
          <w:sz w:val="22"/>
          <w:szCs w:val="22"/>
          <w:lang w:val="es-ES"/>
        </w:rPr>
      </w:pPr>
    </w:p>
    <w:p w14:paraId="16DFAD43" w14:textId="299245F4" w:rsidR="00E60213" w:rsidRPr="00DA6A99" w:rsidRDefault="00E60213" w:rsidP="00CA7786">
      <w:pPr>
        <w:rPr>
          <w:sz w:val="22"/>
          <w:szCs w:val="22"/>
          <w:lang w:val="es-ES"/>
        </w:rPr>
      </w:pPr>
      <w:r w:rsidRPr="00DA6A99">
        <w:rPr>
          <w:sz w:val="22"/>
          <w:szCs w:val="22"/>
          <w:lang w:val="es-ES"/>
        </w:rPr>
        <w:t>La propuesta regulatoria</w:t>
      </w:r>
      <w:r w:rsidR="0096125C" w:rsidRPr="00DA6A99">
        <w:rPr>
          <w:sz w:val="22"/>
          <w:szCs w:val="22"/>
          <w:lang w:val="es-ES"/>
        </w:rPr>
        <w:t xml:space="preserve"> desarrollada en </w:t>
      </w:r>
      <w:r w:rsidR="001547D2" w:rsidRPr="00DA6A99">
        <w:rPr>
          <w:sz w:val="22"/>
          <w:szCs w:val="22"/>
          <w:lang w:val="es-ES"/>
        </w:rPr>
        <w:t>este</w:t>
      </w:r>
      <w:r w:rsidR="0096125C" w:rsidRPr="00DA6A99">
        <w:rPr>
          <w:sz w:val="22"/>
          <w:szCs w:val="22"/>
          <w:lang w:val="es-ES"/>
        </w:rPr>
        <w:t xml:space="preserve"> documento y recogida en el proyecto resolución que lo acompaña,</w:t>
      </w:r>
      <w:r w:rsidRPr="00DA6A99">
        <w:rPr>
          <w:sz w:val="22"/>
          <w:szCs w:val="22"/>
          <w:lang w:val="es-ES"/>
        </w:rPr>
        <w:t xml:space="preserve"> se presenta para comentarios de los interesados durante un plazo de 15 días calendario desde su publicación en la página web de </w:t>
      </w:r>
      <w:r w:rsidR="00355853" w:rsidRPr="00DA6A99">
        <w:rPr>
          <w:sz w:val="22"/>
          <w:szCs w:val="22"/>
          <w:lang w:val="es-ES"/>
        </w:rPr>
        <w:t>la CREG.</w:t>
      </w:r>
    </w:p>
    <w:p w14:paraId="5E9B30CE" w14:textId="77777777" w:rsidR="00802E06" w:rsidRPr="00DA6A99" w:rsidRDefault="00802E06" w:rsidP="00CA7786">
      <w:pPr>
        <w:rPr>
          <w:rFonts w:cs="Arial"/>
          <w:sz w:val="22"/>
          <w:szCs w:val="22"/>
        </w:rPr>
      </w:pPr>
    </w:p>
    <w:p w14:paraId="25CE966A" w14:textId="77777777" w:rsidR="00802E06" w:rsidRPr="00DA6A99" w:rsidRDefault="00802E06" w:rsidP="00CA7786">
      <w:pPr>
        <w:rPr>
          <w:rFonts w:cs="Arial"/>
          <w:sz w:val="22"/>
          <w:szCs w:val="22"/>
        </w:rPr>
      </w:pPr>
    </w:p>
    <w:p w14:paraId="50CCD169" w14:textId="77777777" w:rsidR="00802E06" w:rsidRPr="00DA6A99" w:rsidRDefault="00802E06" w:rsidP="00CA7786">
      <w:pPr>
        <w:rPr>
          <w:rFonts w:cs="Arial"/>
          <w:sz w:val="22"/>
          <w:szCs w:val="22"/>
        </w:rPr>
      </w:pPr>
    </w:p>
    <w:p w14:paraId="4A3CEA42" w14:textId="77777777" w:rsidR="00802E06" w:rsidRPr="00DA6A99" w:rsidRDefault="00802E06" w:rsidP="00CA7786">
      <w:pPr>
        <w:rPr>
          <w:rFonts w:cs="Arial"/>
          <w:sz w:val="22"/>
          <w:szCs w:val="22"/>
        </w:rPr>
      </w:pPr>
    </w:p>
    <w:p w14:paraId="2BDBBD8C" w14:textId="77777777" w:rsidR="00802E06" w:rsidRPr="00DA6A99" w:rsidRDefault="00802E06" w:rsidP="00CA7786">
      <w:pPr>
        <w:rPr>
          <w:rFonts w:cs="Arial"/>
          <w:sz w:val="22"/>
          <w:szCs w:val="22"/>
        </w:rPr>
      </w:pPr>
    </w:p>
    <w:p w14:paraId="4E6D784A" w14:textId="77777777" w:rsidR="00020441" w:rsidRPr="00DA6A99" w:rsidRDefault="00020441" w:rsidP="00CA7786">
      <w:pPr>
        <w:rPr>
          <w:rFonts w:cs="Arial"/>
          <w:sz w:val="22"/>
          <w:szCs w:val="22"/>
        </w:rPr>
      </w:pPr>
    </w:p>
    <w:p w14:paraId="20805774" w14:textId="1B5C7C92" w:rsidR="00020441" w:rsidRPr="00DA6A99" w:rsidRDefault="00020441" w:rsidP="00CA7786">
      <w:pPr>
        <w:ind w:right="51"/>
        <w:rPr>
          <w:rFonts w:cs="Arial"/>
          <w:sz w:val="22"/>
          <w:szCs w:val="22"/>
        </w:rPr>
      </w:pPr>
    </w:p>
    <w:sectPr w:rsidR="00020441" w:rsidRPr="00DA6A99" w:rsidSect="0077100C">
      <w:headerReference w:type="default" r:id="rId23"/>
      <w:footerReference w:type="default" r:id="rId24"/>
      <w:pgSz w:w="12242" w:h="15842" w:code="1"/>
      <w:pgMar w:top="1701" w:right="1701" w:bottom="1701" w:left="170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D145" w14:textId="77777777" w:rsidR="00963A0D" w:rsidRDefault="00963A0D">
      <w:r>
        <w:separator/>
      </w:r>
    </w:p>
  </w:endnote>
  <w:endnote w:type="continuationSeparator" w:id="0">
    <w:p w14:paraId="5D7D835D" w14:textId="77777777" w:rsidR="00963A0D" w:rsidRDefault="00963A0D">
      <w:r>
        <w:continuationSeparator/>
      </w:r>
    </w:p>
  </w:endnote>
  <w:endnote w:type="continuationNotice" w:id="1">
    <w:p w14:paraId="40A755DE" w14:textId="77777777" w:rsidR="00963A0D" w:rsidRDefault="00963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0D82" w14:textId="77777777" w:rsidR="0077100C" w:rsidRPr="0077100C" w:rsidRDefault="0077100C">
    <w:pPr>
      <w:pStyle w:val="Piedepgina"/>
      <w:jc w:val="right"/>
      <w:rPr>
        <w:sz w:val="18"/>
        <w:szCs w:val="18"/>
      </w:rPr>
    </w:pPr>
    <w:r w:rsidRPr="0077100C">
      <w:rPr>
        <w:sz w:val="18"/>
        <w:szCs w:val="18"/>
      </w:rPr>
      <w:fldChar w:fldCharType="begin"/>
    </w:r>
    <w:r w:rsidRPr="0077100C">
      <w:rPr>
        <w:sz w:val="18"/>
        <w:szCs w:val="18"/>
      </w:rPr>
      <w:instrText>PAGE   \* MERGEFORMAT</w:instrText>
    </w:r>
    <w:r w:rsidRPr="0077100C">
      <w:rPr>
        <w:sz w:val="18"/>
        <w:szCs w:val="18"/>
      </w:rPr>
      <w:fldChar w:fldCharType="separate"/>
    </w:r>
    <w:r w:rsidR="00717554" w:rsidRPr="00717554">
      <w:rPr>
        <w:noProof/>
        <w:sz w:val="18"/>
        <w:szCs w:val="18"/>
        <w:lang w:val="es-ES"/>
      </w:rPr>
      <w:t>4</w:t>
    </w:r>
    <w:r w:rsidRPr="0077100C">
      <w:rPr>
        <w:sz w:val="18"/>
        <w:szCs w:val="18"/>
      </w:rPr>
      <w:fldChar w:fldCharType="end"/>
    </w:r>
  </w:p>
  <w:p w14:paraId="530D0E6C" w14:textId="77777777" w:rsidR="0065711F" w:rsidRDefault="0065711F">
    <w:pPr>
      <w:pStyle w:val="Piedepgina"/>
      <w:rPr>
        <w:sz w:val="16"/>
        <w:lang w:val="es-CO"/>
      </w:rPr>
    </w:pPr>
  </w:p>
  <w:p w14:paraId="0F6B1156" w14:textId="4A6E01CA" w:rsidR="00020441" w:rsidRDefault="00623301">
    <w:pPr>
      <w:pStyle w:val="Piedepgina"/>
      <w:rPr>
        <w:sz w:val="16"/>
        <w:lang w:val="es-CO"/>
      </w:rPr>
    </w:pPr>
    <w:r>
      <w:rPr>
        <w:sz w:val="16"/>
        <w:lang w:val="es-CO"/>
      </w:rPr>
      <w:t xml:space="preserve">D - 901 022 DE 2023 </w:t>
    </w:r>
    <w:r w:rsidR="0065711F" w:rsidRPr="0065711F">
      <w:rPr>
        <w:sz w:val="16"/>
        <w:lang w:val="es-CO"/>
      </w:rPr>
      <w:t>MEDIDAS PARA FACILITAR LAS COMPRAS DE ENERGÍA ELÉCTRICA A TRAVÉS DE CONVOCATORIAS PÚBLICAS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67B3" w14:textId="77777777" w:rsidR="00963A0D" w:rsidRDefault="00963A0D">
      <w:r>
        <w:separator/>
      </w:r>
    </w:p>
  </w:footnote>
  <w:footnote w:type="continuationSeparator" w:id="0">
    <w:p w14:paraId="771C0475" w14:textId="77777777" w:rsidR="00963A0D" w:rsidRDefault="00963A0D">
      <w:r>
        <w:continuationSeparator/>
      </w:r>
    </w:p>
  </w:footnote>
  <w:footnote w:type="continuationNotice" w:id="1">
    <w:p w14:paraId="2CBBC501" w14:textId="77777777" w:rsidR="00963A0D" w:rsidRDefault="00963A0D"/>
  </w:footnote>
  <w:footnote w:id="2">
    <w:p w14:paraId="38FD2A21" w14:textId="27C06D55" w:rsidR="001C116D" w:rsidRPr="00ED760B" w:rsidRDefault="001C116D">
      <w:pPr>
        <w:pStyle w:val="Textonotapie"/>
        <w:rPr>
          <w:lang w:val="es-CO"/>
        </w:rPr>
      </w:pPr>
      <w:r w:rsidRPr="00ED760B">
        <w:rPr>
          <w:rStyle w:val="Refdenotaalpie"/>
        </w:rPr>
        <w:footnoteRef/>
      </w:r>
      <w:r w:rsidRPr="00ED760B">
        <w:t xml:space="preserve"> Por el cual se modifica y adiciona el Decreto 1073 de 2015, Único Reglamentario del Sector Administrativo de Minas y Energía, y se establecen políticas y lineamientos para promover la eficiencia y la competitividad del servicio público domiciliario de energía eléctrica</w:t>
      </w:r>
      <w:r w:rsidR="0002652F" w:rsidRPr="00ED760B">
        <w:t>.</w:t>
      </w:r>
    </w:p>
  </w:footnote>
  <w:footnote w:id="3">
    <w:p w14:paraId="639E5DB8" w14:textId="16D342A5" w:rsidR="007273B0" w:rsidRDefault="007273B0" w:rsidP="007273B0">
      <w:pPr>
        <w:pStyle w:val="Textonotapie"/>
        <w:rPr>
          <w:lang w:val="es-CO"/>
        </w:rPr>
      </w:pPr>
      <w:r w:rsidRPr="00ED760B">
        <w:rPr>
          <w:rStyle w:val="Refdenotaalpie"/>
        </w:rPr>
        <w:footnoteRef/>
      </w:r>
      <w:r w:rsidRPr="00ED760B">
        <w:t xml:space="preserve"> </w:t>
      </w:r>
      <w:r w:rsidR="00740459" w:rsidRPr="00ED760B">
        <w:t>La</w:t>
      </w:r>
      <w:r w:rsidR="00740459" w:rsidRPr="00ED760B">
        <w:rPr>
          <w:lang w:val="es-CO"/>
        </w:rPr>
        <w:t xml:space="preserve"> CREG lideró estas </w:t>
      </w:r>
      <w:r w:rsidR="00EC51DE" w:rsidRPr="00ED760B">
        <w:rPr>
          <w:lang w:val="es-CO"/>
        </w:rPr>
        <w:t>mesas de trab</w:t>
      </w:r>
      <w:r w:rsidR="001A0627" w:rsidRPr="00ED760B">
        <w:rPr>
          <w:lang w:val="es-CO"/>
        </w:rPr>
        <w:t>a</w:t>
      </w:r>
      <w:r w:rsidR="00EC51DE" w:rsidRPr="00ED760B">
        <w:rPr>
          <w:lang w:val="es-CO"/>
        </w:rPr>
        <w:t xml:space="preserve">jo </w:t>
      </w:r>
      <w:r w:rsidR="001A0627" w:rsidRPr="00ED760B">
        <w:rPr>
          <w:rFonts w:cs="Arial"/>
        </w:rPr>
        <w:t xml:space="preserve">entre julio y agosto de 2023 </w:t>
      </w:r>
      <w:r w:rsidR="00862724" w:rsidRPr="00ED760B">
        <w:rPr>
          <w:rFonts w:cs="Arial"/>
        </w:rPr>
        <w:t xml:space="preserve">y dichos espacios contaron con la participación de </w:t>
      </w:r>
      <w:r w:rsidRPr="00ED760B">
        <w:t xml:space="preserve">empresas y organismos </w:t>
      </w:r>
      <w:r w:rsidR="00862724" w:rsidRPr="00ED760B">
        <w:t xml:space="preserve">como </w:t>
      </w:r>
      <w:r w:rsidRPr="00ED760B">
        <w:t>la Asociación Colombiana de Comercializadores de Energía (ACCE), AIR-E, Electrificadora del Huila (</w:t>
      </w:r>
      <w:proofErr w:type="spellStart"/>
      <w:r w:rsidRPr="00ED760B">
        <w:t>Electrohuila</w:t>
      </w:r>
      <w:proofErr w:type="spellEnd"/>
      <w:r w:rsidRPr="00ED760B">
        <w:t xml:space="preserve">), </w:t>
      </w:r>
      <w:r w:rsidRPr="00ED760B">
        <w:rPr>
          <w:lang w:val="es-CO"/>
        </w:rPr>
        <w:t xml:space="preserve">Empresas Públicas de Medellín (EPM), ENEL, </w:t>
      </w:r>
      <w:proofErr w:type="spellStart"/>
      <w:r w:rsidRPr="00ED760B">
        <w:rPr>
          <w:lang w:val="es-CO"/>
        </w:rPr>
        <w:t>Vatia</w:t>
      </w:r>
      <w:proofErr w:type="spellEnd"/>
      <w:r w:rsidRPr="00ED760B">
        <w:rPr>
          <w:lang w:val="es-CO"/>
        </w:rPr>
        <w:t xml:space="preserve"> y XM. S.A.</w:t>
      </w:r>
    </w:p>
    <w:p w14:paraId="0F331959" w14:textId="77777777" w:rsidR="00ED760B" w:rsidRPr="00ED760B" w:rsidRDefault="00ED760B" w:rsidP="007273B0">
      <w:pPr>
        <w:pStyle w:val="Textonotapie"/>
        <w:rPr>
          <w:lang w:val="es-CO"/>
        </w:rPr>
      </w:pPr>
    </w:p>
  </w:footnote>
  <w:footnote w:id="4">
    <w:p w14:paraId="4D298890" w14:textId="28DE7F59" w:rsidR="00547EE7" w:rsidRDefault="00547EE7" w:rsidP="00547EE7">
      <w:pPr>
        <w:pStyle w:val="Textonotapie"/>
      </w:pPr>
      <w:r w:rsidRPr="00ED760B">
        <w:rPr>
          <w:rStyle w:val="Refdenotaalpie"/>
        </w:rPr>
        <w:footnoteRef/>
      </w:r>
      <w:r w:rsidRPr="00ED760B">
        <w:t xml:space="preserve"> La importancia del contrato en el proceso de intercambio social explica el cuerpo legal – en parte dispositivo - que regula el derecho de los contratos con el fin de promover y afianzar el cumplimiento de los derechos y obligaciones que de ellos nacen, con lo cual se previene la inestabilidad de los mercados y se estimula el aumento de las transacciones gracias a la </w:t>
      </w:r>
      <w:proofErr w:type="spellStart"/>
      <w:r w:rsidRPr="00ED760B">
        <w:t>mavor</w:t>
      </w:r>
      <w:proofErr w:type="spellEnd"/>
      <w:r w:rsidRPr="00ED760B">
        <w:t xml:space="preserve"> certidumbre v a la reducción de los costos que su ordenada v uniforme formulación y ejecución aparejan”. (Corte Constitucional, Sentencia T-240 de 1993; Magistrado Ponente Dr. Eduardo Cifuentes Muñoz; reiterada en sentencia T-231/96; Eduardo Cifuentes Muñoz)</w:t>
      </w:r>
      <w:r w:rsidR="00ED760B">
        <w:t>.</w:t>
      </w:r>
    </w:p>
    <w:p w14:paraId="6F7F6F6F" w14:textId="77777777" w:rsidR="00ED760B" w:rsidRPr="00ED760B" w:rsidRDefault="00ED760B" w:rsidP="00547EE7">
      <w:pPr>
        <w:pStyle w:val="Textonotapie"/>
        <w:rPr>
          <w:lang w:val="es-CO"/>
        </w:rPr>
      </w:pPr>
    </w:p>
  </w:footnote>
  <w:footnote w:id="5">
    <w:p w14:paraId="7C1A6039" w14:textId="1BF10F76" w:rsidR="00944782" w:rsidRDefault="00944782">
      <w:pPr>
        <w:pStyle w:val="Textonotapie"/>
      </w:pPr>
      <w:r w:rsidRPr="00ED760B">
        <w:rPr>
          <w:rStyle w:val="Refdenotaalpie"/>
        </w:rPr>
        <w:footnoteRef/>
      </w:r>
      <w:r w:rsidRPr="00ED760B">
        <w:t xml:space="preserve"> </w:t>
      </w:r>
      <w:r w:rsidR="000366C5" w:rsidRPr="00ED760B">
        <w:t>Respecto de los beneficios de la contratación estandarizada, plantea FARINA Juan Manuel, entre otros</w:t>
      </w:r>
      <w:r w:rsidR="0026443C" w:rsidRPr="00ED760B">
        <w:t>,</w:t>
      </w:r>
      <w:r w:rsidR="000366C5" w:rsidRPr="00ED760B">
        <w:t xml:space="preserve"> </w:t>
      </w:r>
      <w:r w:rsidR="0026443C" w:rsidRPr="00ED760B">
        <w:t>la</w:t>
      </w:r>
      <w:r w:rsidR="000366C5" w:rsidRPr="00ED760B">
        <w:t xml:space="preserve"> celeridad en las contrataciones; facilitar la racionalización de la empresa; la seguridad jurídica; el ahorro de costos; posibilitar y facilitar los cálculos; otorgar trato igualitario a los clientes, etc. “Contratos comerciales modernos. Modalidades de contratación empresaria”. Ed. ASTREA. Buenos Aires, 1997.</w:t>
      </w:r>
    </w:p>
    <w:p w14:paraId="2211AB49" w14:textId="77777777" w:rsidR="00ED760B" w:rsidRPr="00ED760B" w:rsidRDefault="00ED760B">
      <w:pPr>
        <w:pStyle w:val="Textonotapie"/>
        <w:rPr>
          <w:lang w:val="es-CO"/>
        </w:rPr>
      </w:pPr>
    </w:p>
  </w:footnote>
  <w:footnote w:id="6">
    <w:p w14:paraId="77EB6A49" w14:textId="2E53CDE1" w:rsidR="00171485" w:rsidRDefault="00171485">
      <w:pPr>
        <w:pStyle w:val="Textonotapie"/>
      </w:pPr>
      <w:r w:rsidRPr="00ED760B">
        <w:rPr>
          <w:rStyle w:val="Refdenotaalpie"/>
        </w:rPr>
        <w:footnoteRef/>
      </w:r>
      <w:r w:rsidRPr="00ED760B">
        <w:t xml:space="preserve"> Sentencia C-535 de 1997. Magistrado Ponente: Dr. Eduardo Cifuentes Muñoz.</w:t>
      </w:r>
    </w:p>
    <w:p w14:paraId="4B1C6944" w14:textId="77777777" w:rsidR="00551211" w:rsidRPr="00ED760B" w:rsidRDefault="00551211">
      <w:pPr>
        <w:pStyle w:val="Textonotapie"/>
      </w:pPr>
    </w:p>
  </w:footnote>
  <w:footnote w:id="7">
    <w:p w14:paraId="27C36595" w14:textId="1AB4F8B6" w:rsidR="008E560C" w:rsidRDefault="008E560C">
      <w:pPr>
        <w:pStyle w:val="Textonotapie"/>
      </w:pPr>
      <w:r w:rsidRPr="00ED760B">
        <w:rPr>
          <w:rStyle w:val="Refdenotaalpie"/>
        </w:rPr>
        <w:footnoteRef/>
      </w:r>
      <w:r w:rsidRPr="00ED760B">
        <w:t xml:space="preserve"> Sentencia C-616 de 2001. “</w:t>
      </w:r>
      <w:r w:rsidR="005B6F7A" w:rsidRPr="00ED760B">
        <w:t>(</w:t>
      </w:r>
      <w:r w:rsidR="00376BC7" w:rsidRPr="00ED760B">
        <w:t>…</w:t>
      </w:r>
      <w:r w:rsidR="005B6F7A" w:rsidRPr="00ED760B">
        <w:t>)</w:t>
      </w:r>
      <w:r w:rsidR="00376BC7" w:rsidRPr="00ED760B">
        <w:t xml:space="preserve"> l</w:t>
      </w:r>
      <w:r w:rsidR="005B6F7A" w:rsidRPr="00ED760B">
        <w:t>a actividad económica de manera general está reconociendo y garantizando al individuo una multiplicidad de sectores dentro de los cuales puede desplegar su libre iniciativa en orden a la satisfacción de sus necesidades, sin que se permita privilegiar unos sujetos, en detrimento de otros. Por ello, esta garantía constitucional se extiende por igual a empresas organizadas y a las que no lo están, a las personas naturales o jurídicas"</w:t>
      </w:r>
      <w:r w:rsidR="00376BC7" w:rsidRPr="00ED760B">
        <w:t>.</w:t>
      </w:r>
    </w:p>
    <w:p w14:paraId="4BB3C4F3" w14:textId="77777777" w:rsidR="00ED760B" w:rsidRPr="00ED760B" w:rsidRDefault="00ED760B">
      <w:pPr>
        <w:pStyle w:val="Textonotapie"/>
        <w:rPr>
          <w:lang w:val="es-CO"/>
        </w:rPr>
      </w:pPr>
    </w:p>
  </w:footnote>
  <w:footnote w:id="8">
    <w:p w14:paraId="624BABB5" w14:textId="6B13283B" w:rsidR="00C21D4C" w:rsidRDefault="00C21D4C">
      <w:pPr>
        <w:pStyle w:val="Textonotapie"/>
      </w:pPr>
      <w:r w:rsidRPr="00ED760B">
        <w:rPr>
          <w:rStyle w:val="Refdenotaalpie"/>
        </w:rPr>
        <w:footnoteRef/>
      </w:r>
      <w:r w:rsidRPr="00ED760B">
        <w:t xml:space="preserve"> Sentencia C-616 de 2001. </w:t>
      </w:r>
      <w:r w:rsidR="00102936" w:rsidRPr="00ED760B">
        <w:t>“</w:t>
      </w:r>
      <w:r w:rsidR="00F05F91" w:rsidRPr="00ED760B">
        <w:t>Elemento característico de la libre competencia es la tensión que se presenta entre los intereses opuestos de los agentes participantes en el mercado, cuyo mantenimiento exige la garantía de ciertas libertades básicas, que algunos doctrinantes han condensado en: a) la necesidad que los agentes del mercado puedan ejercer una actividad económica libre, con las excepciones y restricciones que por ley mantiene el Estado sobre determinadas actividades, b) la libertad de los agentes competidores para ofrecer, en el marco de la lev, las condiciones y ventajas comerciales que estimen oportunas, y c) la libertad de los consumidores o usuarios para contratar con cualquiera de los agentes oferentes, los bienes o servicios que requieren. (</w:t>
      </w:r>
      <w:r w:rsidR="00102936" w:rsidRPr="00ED760B">
        <w:t>Resaltamos</w:t>
      </w:r>
      <w:r w:rsidR="00F05F91" w:rsidRPr="00ED760B">
        <w:t>).</w:t>
      </w:r>
      <w:r w:rsidR="00102936" w:rsidRPr="00ED760B">
        <w:t>”</w:t>
      </w:r>
    </w:p>
    <w:p w14:paraId="2DC8A104" w14:textId="77777777" w:rsidR="00ED760B" w:rsidRPr="00ED760B" w:rsidRDefault="00ED760B">
      <w:pPr>
        <w:pStyle w:val="Textonotapie"/>
        <w:rPr>
          <w:lang w:val="es-CO"/>
        </w:rPr>
      </w:pPr>
    </w:p>
  </w:footnote>
  <w:footnote w:id="9">
    <w:p w14:paraId="32168D91" w14:textId="75527072" w:rsidR="00316579" w:rsidRDefault="00316579">
      <w:pPr>
        <w:pStyle w:val="Textonotapie"/>
      </w:pPr>
      <w:r w:rsidRPr="00ED760B">
        <w:rPr>
          <w:rStyle w:val="Refdenotaalpie"/>
        </w:rPr>
        <w:footnoteRef/>
      </w:r>
      <w:r w:rsidRPr="00ED760B">
        <w:t xml:space="preserve"> Sentencia C-524 de 1995, Magistrado Ponente Dr. Carlos Gaviria Díaz; reiterada entre otras, en la sentencia C-616 de 2001. “</w:t>
      </w:r>
      <w:r w:rsidR="00C55DF2" w:rsidRPr="00ED760B">
        <w:t xml:space="preserve">Por libertad de empresa hay que entender aquella libertad que se reconoce a los ciudadanos para afectar o destinar bienes de cualquier tipo (principalmente de capital) para la realización de actividades económicas para la producción e intercambio de bienes y servicios conforme a las pautas o modelos de organización típicas del mundo económico contemporáneo con vistas a la obtención de un beneficio o ganancia. El término empresa en este contexto parece por lo tanto cubrir dos aspectos, el inicial - la iniciativa o empresa como manifestación de la capacidad de emprender y acometer- y el instrumental -a través de una organización económica típica-, con abstracción de la forma jurídica (individual o societaria) y del estatuto jurídico patrimonial y laboral. La libre iniciativa privada, conocida también como libertad de empresa, se fundamenta en la libertad de organización de los factores de producción, la cual incluye la libertad contractual, </w:t>
      </w:r>
      <w:proofErr w:type="gramStart"/>
      <w:r w:rsidR="00C55DF2" w:rsidRPr="00ED760B">
        <w:t>que</w:t>
      </w:r>
      <w:proofErr w:type="gramEnd"/>
      <w:r w:rsidR="00C55DF2" w:rsidRPr="00ED760B">
        <w:t xml:space="preserve"> ejercida por el sujeto económico libre, atiende la finalidad de que en el mercado confluya un equilibrio entre los intereses de los distintos agentes. Sin embargo</w:t>
      </w:r>
      <w:r w:rsidR="00722B8C" w:rsidRPr="00ED760B">
        <w:t>,</w:t>
      </w:r>
      <w:r w:rsidR="00C55DF2" w:rsidRPr="00ED760B">
        <w:t xml:space="preserve"> la Constitución ha previsto, para la preservación de valores superiores, las posibilidad y la necesidad de que el Estado ejerza labores de regulación, vigilancia y control, a través de una serie de inst</w:t>
      </w:r>
      <w:r w:rsidR="00456B4B" w:rsidRPr="00ED760B">
        <w:t>ru</w:t>
      </w:r>
      <w:r w:rsidR="00C55DF2" w:rsidRPr="00ED760B">
        <w:t>mentos de intervención con los</w:t>
      </w:r>
      <w:r w:rsidR="00456B4B" w:rsidRPr="00ED760B">
        <w:t xml:space="preserve"> </w:t>
      </w:r>
      <w:r w:rsidR="00314C97" w:rsidRPr="00ED760B">
        <w:t>cuales se controlan y limitan los abusos y deficiencias del mercado. Dicha intervención es mucho más intensa precisamente cuando se abre la posibilidad de que a la prestación de los servicios públicos concurran los particulares"</w:t>
      </w:r>
      <w:r w:rsidR="00ED760B">
        <w:t>.</w:t>
      </w:r>
    </w:p>
    <w:p w14:paraId="1A5CCDDE" w14:textId="77777777" w:rsidR="00ED760B" w:rsidRPr="00ED760B" w:rsidRDefault="00ED760B">
      <w:pPr>
        <w:pStyle w:val="Textonotapie"/>
        <w:rPr>
          <w:lang w:val="es-CO"/>
        </w:rPr>
      </w:pPr>
    </w:p>
  </w:footnote>
  <w:footnote w:id="10">
    <w:p w14:paraId="3981F570" w14:textId="7398A516" w:rsidR="009863CF" w:rsidRDefault="009863CF">
      <w:pPr>
        <w:pStyle w:val="Textonotapie"/>
      </w:pPr>
      <w:r w:rsidRPr="00ED760B">
        <w:rPr>
          <w:rStyle w:val="Refdenotaalpie"/>
        </w:rPr>
        <w:footnoteRef/>
      </w:r>
      <w:r w:rsidRPr="00ED760B">
        <w:t xml:space="preserve"> </w:t>
      </w:r>
      <w:r w:rsidR="005E44E1" w:rsidRPr="00ED760B">
        <w:t>Sentencia C-624 de 1998</w:t>
      </w:r>
      <w:r w:rsidR="001B3DE3" w:rsidRPr="00ED760B">
        <w:t xml:space="preserve">. </w:t>
      </w:r>
      <w:proofErr w:type="gramStart"/>
      <w:r w:rsidR="001B3DE3" w:rsidRPr="00ED760B">
        <w:t>“..</w:t>
      </w:r>
      <w:proofErr w:type="gramEnd"/>
      <w:r w:rsidR="001B3DE3" w:rsidRPr="00ED760B">
        <w:t>teniendo en cuenta que el contrato es una de las principales herramientas para la circulación social de bienes y servicios, y el ejercicio simultáneo de derechos y</w:t>
      </w:r>
      <w:r w:rsidR="005054E8" w:rsidRPr="00ED760B">
        <w:t xml:space="preserve"> obligaciones económicas, debe entenderse que "la libertad de contratación" es un elemento del contenido constitucionalmente protegido de la libertad de empresa”</w:t>
      </w:r>
    </w:p>
    <w:p w14:paraId="777A460E" w14:textId="77777777" w:rsidR="00ED760B" w:rsidRPr="00ED760B" w:rsidRDefault="00ED760B">
      <w:pPr>
        <w:pStyle w:val="Textonotapie"/>
        <w:rPr>
          <w:lang w:val="es-CO"/>
        </w:rPr>
      </w:pPr>
    </w:p>
  </w:footnote>
  <w:footnote w:id="11">
    <w:p w14:paraId="3912F65B" w14:textId="778D4B7B" w:rsidR="002F5419" w:rsidRPr="00ED760B" w:rsidRDefault="002F5419">
      <w:pPr>
        <w:pStyle w:val="Textonotapie"/>
      </w:pPr>
      <w:r w:rsidRPr="00ED760B">
        <w:rPr>
          <w:rStyle w:val="Refdenotaalpie"/>
        </w:rPr>
        <w:footnoteRef/>
      </w:r>
      <w:r w:rsidRPr="00ED760B">
        <w:t xml:space="preserve"> </w:t>
      </w:r>
      <w:r w:rsidR="00202C2D" w:rsidRPr="00ED760B">
        <w:t>Sentencia C-624 de 1998.</w:t>
      </w:r>
      <w:r w:rsidRPr="00ED760B">
        <w:t xml:space="preserve"> </w:t>
      </w:r>
      <w:r w:rsidR="00BB1515" w:rsidRPr="00ED760B">
        <w:t xml:space="preserve">“12- Conforme a lo expuesto, es innegable que la libertad del individuo en materia económica, si bien está protegida por la Constitución, también se encuentra limitada por la prevalencia del interés general (artículo 1 C.P.), por las competencias de intervención y regulación a cargo del Estado (artículo 333, 334 y 335 de la </w:t>
      </w:r>
      <w:proofErr w:type="gramStart"/>
      <w:r w:rsidR="00BB1515" w:rsidRPr="00ED760B">
        <w:t>C.P )</w:t>
      </w:r>
      <w:proofErr w:type="gramEnd"/>
      <w:r w:rsidR="00BB1515" w:rsidRPr="00ED760B">
        <w:t xml:space="preserve"> y por los principios de razonabilidad y proporcionalidad que esta Corte ha desarrollado. Por ello esta Corporación ha señalado que "la libre competencia económica no puede erigirse como una barrera infranqueable para la actividad de intervención del Estado, en ejercicio de su básica de dirección general de la economía. "25 En ese mismo orden de ideas, </w:t>
      </w:r>
      <w:r w:rsidR="00BB1515" w:rsidRPr="00ED760B">
        <w:rPr>
          <w:b/>
        </w:rPr>
        <w:t>así como la Carta ampara la libertad contractual, también le impone limites, que son los mismos de la libertad económica, v que pretenden que su ejercicio en el mercado no sea arbitrario ni desconozca principios constitucionales</w:t>
      </w:r>
      <w:r w:rsidR="00BB1515" w:rsidRPr="00ED760B">
        <w:t xml:space="preserve">. </w:t>
      </w:r>
      <w:r w:rsidR="00AB2856" w:rsidRPr="00ED760B">
        <w:t>(</w:t>
      </w:r>
      <w:proofErr w:type="spellStart"/>
      <w:r w:rsidR="00AB2856" w:rsidRPr="00ED760B">
        <w:t>Reslatamos</w:t>
      </w:r>
      <w:proofErr w:type="spellEnd"/>
      <w:r w:rsidR="00AB2856" w:rsidRPr="00ED760B">
        <w:t>).</w:t>
      </w:r>
      <w:r w:rsidR="00202C2D" w:rsidRPr="00ED760B">
        <w:t>”</w:t>
      </w:r>
      <w:r w:rsidR="00AB2856" w:rsidRPr="00ED760B">
        <w:t xml:space="preserve"> </w:t>
      </w:r>
    </w:p>
    <w:p w14:paraId="6BC63696" w14:textId="77777777" w:rsidR="00ED760B" w:rsidRPr="00ED760B" w:rsidRDefault="00ED760B">
      <w:pPr>
        <w:pStyle w:val="Textonotapie"/>
        <w:rPr>
          <w:lang w:val="es-CO"/>
        </w:rPr>
      </w:pPr>
    </w:p>
  </w:footnote>
  <w:footnote w:id="12">
    <w:p w14:paraId="12AB757F" w14:textId="2951401A" w:rsidR="00751E90" w:rsidRDefault="00751E90">
      <w:pPr>
        <w:pStyle w:val="Textonotapie"/>
      </w:pPr>
      <w:r w:rsidRPr="00ED760B">
        <w:rPr>
          <w:rStyle w:val="Refdenotaalpie"/>
        </w:rPr>
        <w:footnoteRef/>
      </w:r>
      <w:r w:rsidRPr="00ED760B">
        <w:t xml:space="preserve"> </w:t>
      </w:r>
      <w:r w:rsidR="004677C3" w:rsidRPr="00ED760B">
        <w:t>Sentencia C-616 de 2001.</w:t>
      </w:r>
      <w:r w:rsidRPr="00ED760B">
        <w:t xml:space="preserve"> “Sin embargo la Constitución ha previsto, para la preservación de valores superiores, la posibilidad y la necesidad de que el Estado ejerza labores de regulación, vigilancia y control, a través de una serie de instrumentos de intervención con los cuales se controlan y limitan los abusos y deficiencias del mercado. Dicha intervención es mucho más intensa precisamente cuando se abre la posibilidad de que a la prestación de los servicios públicos concurran los particulares". </w:t>
      </w:r>
    </w:p>
    <w:p w14:paraId="4962AB47" w14:textId="77777777" w:rsidR="00ED760B" w:rsidRPr="00ED760B" w:rsidRDefault="00ED760B">
      <w:pPr>
        <w:pStyle w:val="Textonotapie"/>
        <w:rPr>
          <w:lang w:val="es-CO"/>
        </w:rPr>
      </w:pPr>
    </w:p>
  </w:footnote>
  <w:footnote w:id="13">
    <w:p w14:paraId="00D519D4" w14:textId="4E903F07" w:rsidR="00D11218" w:rsidRPr="00ED760B" w:rsidRDefault="00D11218">
      <w:pPr>
        <w:pStyle w:val="Textonotapie"/>
      </w:pPr>
      <w:r w:rsidRPr="00ED760B">
        <w:rPr>
          <w:rStyle w:val="Refdenotaalpie"/>
        </w:rPr>
        <w:footnoteRef/>
      </w:r>
      <w:r w:rsidRPr="00ED760B">
        <w:t xml:space="preserve"> Sentencias T-240 de 1993, y C-624 de 1998.</w:t>
      </w:r>
    </w:p>
    <w:p w14:paraId="769199D8" w14:textId="77777777" w:rsidR="00ED760B" w:rsidRPr="00ED760B" w:rsidRDefault="00ED760B">
      <w:pPr>
        <w:pStyle w:val="Textonotapie"/>
        <w:rPr>
          <w:lang w:val="es-CO"/>
        </w:rPr>
      </w:pPr>
    </w:p>
  </w:footnote>
  <w:footnote w:id="14">
    <w:p w14:paraId="595C4732" w14:textId="09053F12" w:rsidR="00F01B74" w:rsidRPr="00ED760B" w:rsidRDefault="00F01B74">
      <w:pPr>
        <w:pStyle w:val="Textonotapie"/>
      </w:pPr>
      <w:r w:rsidRPr="00ED760B">
        <w:rPr>
          <w:rStyle w:val="Refdenotaalpie"/>
        </w:rPr>
        <w:footnoteRef/>
      </w:r>
      <w:r w:rsidRPr="00ED760B">
        <w:t xml:space="preserve"> </w:t>
      </w:r>
      <w:r w:rsidR="0009211A" w:rsidRPr="00ED760B">
        <w:t>Sentencias T-240 de 1993; T-231 de 1996; y C-624 de 1998.</w:t>
      </w:r>
    </w:p>
    <w:p w14:paraId="71945968" w14:textId="77777777" w:rsidR="00ED760B" w:rsidRPr="00ED760B" w:rsidRDefault="00ED760B">
      <w:pPr>
        <w:pStyle w:val="Textonotapie"/>
        <w:rPr>
          <w:lang w:val="es-CO"/>
        </w:rPr>
      </w:pPr>
    </w:p>
  </w:footnote>
  <w:footnote w:id="15">
    <w:p w14:paraId="448CE191" w14:textId="1EBFF1AB" w:rsidR="00F01B74" w:rsidRPr="00ED760B" w:rsidRDefault="00F01B74">
      <w:pPr>
        <w:pStyle w:val="Textonotapie"/>
        <w:rPr>
          <w:lang w:val="es-CO"/>
        </w:rPr>
      </w:pPr>
      <w:r w:rsidRPr="00ED760B">
        <w:rPr>
          <w:rStyle w:val="Refdenotaalpie"/>
        </w:rPr>
        <w:footnoteRef/>
      </w:r>
      <w:r w:rsidRPr="00ED760B">
        <w:t xml:space="preserve"> </w:t>
      </w:r>
      <w:r w:rsidR="00544823" w:rsidRPr="00ED760B">
        <w:t>Sentencia C- 535/97; Magistrado Ponente Dr. Eduardo Cifuentes Muñoz.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CDDB" w14:textId="2E8210CB" w:rsidR="00020441" w:rsidRDefault="00020441">
    <w:pPr>
      <w:pStyle w:val="Encabezado"/>
    </w:pPr>
    <w:r>
      <w:rPr>
        <w:rFonts w:cs="Arial"/>
        <w:b/>
        <w:i/>
        <w:color w:val="808080"/>
        <w:sz w:val="16"/>
      </w:rPr>
      <w:t>Sesión No.</w:t>
    </w:r>
    <w:r w:rsidR="00650230">
      <w:rPr>
        <w:rFonts w:cs="Arial"/>
        <w:b/>
        <w:i/>
        <w:color w:val="808080"/>
        <w:sz w:val="16"/>
      </w:rPr>
      <w:t xml:space="preserve"> </w:t>
    </w:r>
    <w:r w:rsidR="00650230" w:rsidRPr="00650230">
      <w:rPr>
        <w:rFonts w:cs="Arial"/>
        <w:b/>
        <w:i/>
        <w:color w:val="808080"/>
        <w:sz w:val="16"/>
      </w:rPr>
      <w:t>1285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D32"/>
    <w:multiLevelType w:val="hybridMultilevel"/>
    <w:tmpl w:val="0AB057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18B92BC3"/>
    <w:multiLevelType w:val="multilevel"/>
    <w:tmpl w:val="07280C1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761131"/>
    <w:multiLevelType w:val="multilevel"/>
    <w:tmpl w:val="07280C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3B2666"/>
    <w:multiLevelType w:val="hybridMultilevel"/>
    <w:tmpl w:val="B81A4F88"/>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13016A"/>
    <w:multiLevelType w:val="hybridMultilevel"/>
    <w:tmpl w:val="04989CD2"/>
    <w:lvl w:ilvl="0" w:tplc="BB2044B6">
      <w:start w:val="1"/>
      <w:numFmt w:val="lowerRoman"/>
      <w:lvlText w:val="%1)"/>
      <w:lvlJc w:val="left"/>
      <w:pPr>
        <w:ind w:left="1080" w:hanging="72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EC14D1"/>
    <w:multiLevelType w:val="hybridMultilevel"/>
    <w:tmpl w:val="3C0AAB94"/>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076D4C"/>
    <w:multiLevelType w:val="hybridMultilevel"/>
    <w:tmpl w:val="F3AA72FE"/>
    <w:lvl w:ilvl="0" w:tplc="FFFFFFFF">
      <w:start w:val="1"/>
      <w:numFmt w:val="lowerRoman"/>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D708FF"/>
    <w:multiLevelType w:val="hybridMultilevel"/>
    <w:tmpl w:val="1E6A082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121807"/>
    <w:multiLevelType w:val="hybridMultilevel"/>
    <w:tmpl w:val="DF821E7C"/>
    <w:lvl w:ilvl="0" w:tplc="B550574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2906B66"/>
    <w:multiLevelType w:val="hybridMultilevel"/>
    <w:tmpl w:val="3886B9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001D2C"/>
    <w:multiLevelType w:val="hybridMultilevel"/>
    <w:tmpl w:val="548ABC80"/>
    <w:lvl w:ilvl="0" w:tplc="B9D6CAAA">
      <w:start w:val="3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6860414">
    <w:abstractNumId w:val="1"/>
  </w:num>
  <w:num w:numId="2" w16cid:durableId="1352339473">
    <w:abstractNumId w:val="1"/>
  </w:num>
  <w:num w:numId="3" w16cid:durableId="465781014">
    <w:abstractNumId w:val="1"/>
  </w:num>
  <w:num w:numId="4" w16cid:durableId="885146981">
    <w:abstractNumId w:val="1"/>
  </w:num>
  <w:num w:numId="5" w16cid:durableId="69229919">
    <w:abstractNumId w:val="1"/>
  </w:num>
  <w:num w:numId="6" w16cid:durableId="1054425162">
    <w:abstractNumId w:val="1"/>
  </w:num>
  <w:num w:numId="7" w16cid:durableId="44107180">
    <w:abstractNumId w:val="1"/>
  </w:num>
  <w:num w:numId="8" w16cid:durableId="1013528286">
    <w:abstractNumId w:val="1"/>
  </w:num>
  <w:num w:numId="9" w16cid:durableId="2042702292">
    <w:abstractNumId w:val="1"/>
  </w:num>
  <w:num w:numId="10" w16cid:durableId="571893767">
    <w:abstractNumId w:val="10"/>
  </w:num>
  <w:num w:numId="11" w16cid:durableId="393702043">
    <w:abstractNumId w:val="0"/>
  </w:num>
  <w:num w:numId="12" w16cid:durableId="891618332">
    <w:abstractNumId w:val="9"/>
  </w:num>
  <w:num w:numId="13" w16cid:durableId="1242984135">
    <w:abstractNumId w:val="6"/>
  </w:num>
  <w:num w:numId="14" w16cid:durableId="645473003">
    <w:abstractNumId w:val="5"/>
  </w:num>
  <w:num w:numId="15" w16cid:durableId="1401831155">
    <w:abstractNumId w:val="8"/>
  </w:num>
  <w:num w:numId="16" w16cid:durableId="1703902534">
    <w:abstractNumId w:val="4"/>
  </w:num>
  <w:num w:numId="17" w16cid:durableId="1704751409">
    <w:abstractNumId w:val="7"/>
  </w:num>
  <w:num w:numId="18" w16cid:durableId="1906791535">
    <w:abstractNumId w:val="11"/>
  </w:num>
  <w:num w:numId="19" w16cid:durableId="959651821">
    <w:abstractNumId w:val="3"/>
  </w:num>
  <w:num w:numId="20" w16cid:durableId="343479111">
    <w:abstractNumId w:val="1"/>
  </w:num>
  <w:num w:numId="21" w16cid:durableId="788009892">
    <w:abstractNumId w:val="1"/>
  </w:num>
  <w:num w:numId="22" w16cid:durableId="599338416">
    <w:abstractNumId w:val="1"/>
  </w:num>
  <w:num w:numId="23" w16cid:durableId="867108361">
    <w:abstractNumId w:val="1"/>
  </w:num>
  <w:num w:numId="24" w16cid:durableId="477191999">
    <w:abstractNumId w:val="1"/>
  </w:num>
  <w:num w:numId="25" w16cid:durableId="1164879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52"/>
    <w:rsid w:val="000002C5"/>
    <w:rsid w:val="00001A06"/>
    <w:rsid w:val="00003AB7"/>
    <w:rsid w:val="0000408C"/>
    <w:rsid w:val="000042E5"/>
    <w:rsid w:val="00006BBA"/>
    <w:rsid w:val="000079D8"/>
    <w:rsid w:val="00007CE6"/>
    <w:rsid w:val="00010375"/>
    <w:rsid w:val="00011E2A"/>
    <w:rsid w:val="00012FE6"/>
    <w:rsid w:val="00013A0C"/>
    <w:rsid w:val="00013AA5"/>
    <w:rsid w:val="0001465A"/>
    <w:rsid w:val="000156F7"/>
    <w:rsid w:val="0001615F"/>
    <w:rsid w:val="000173E0"/>
    <w:rsid w:val="00017CC5"/>
    <w:rsid w:val="00020441"/>
    <w:rsid w:val="000205DB"/>
    <w:rsid w:val="00020832"/>
    <w:rsid w:val="00020B01"/>
    <w:rsid w:val="0002196C"/>
    <w:rsid w:val="0002222B"/>
    <w:rsid w:val="0002287E"/>
    <w:rsid w:val="0002340C"/>
    <w:rsid w:val="000235E8"/>
    <w:rsid w:val="000252F2"/>
    <w:rsid w:val="000253B6"/>
    <w:rsid w:val="0002652F"/>
    <w:rsid w:val="000309A3"/>
    <w:rsid w:val="00032ED7"/>
    <w:rsid w:val="0003371B"/>
    <w:rsid w:val="000366C5"/>
    <w:rsid w:val="000416FC"/>
    <w:rsid w:val="00043043"/>
    <w:rsid w:val="0004319B"/>
    <w:rsid w:val="00043276"/>
    <w:rsid w:val="00043AF9"/>
    <w:rsid w:val="00043C32"/>
    <w:rsid w:val="00044B0E"/>
    <w:rsid w:val="00044FA0"/>
    <w:rsid w:val="00045911"/>
    <w:rsid w:val="00045D48"/>
    <w:rsid w:val="0004627A"/>
    <w:rsid w:val="00047BB4"/>
    <w:rsid w:val="000510B4"/>
    <w:rsid w:val="00051715"/>
    <w:rsid w:val="00051891"/>
    <w:rsid w:val="00053782"/>
    <w:rsid w:val="00053D88"/>
    <w:rsid w:val="00054B70"/>
    <w:rsid w:val="00054FE4"/>
    <w:rsid w:val="00056C9E"/>
    <w:rsid w:val="00056DFC"/>
    <w:rsid w:val="00060836"/>
    <w:rsid w:val="0006181C"/>
    <w:rsid w:val="00062750"/>
    <w:rsid w:val="00062B3A"/>
    <w:rsid w:val="00063D0E"/>
    <w:rsid w:val="00063D61"/>
    <w:rsid w:val="00065382"/>
    <w:rsid w:val="00067DEB"/>
    <w:rsid w:val="00073E89"/>
    <w:rsid w:val="00074C12"/>
    <w:rsid w:val="00075630"/>
    <w:rsid w:val="00075CEE"/>
    <w:rsid w:val="00080552"/>
    <w:rsid w:val="00080696"/>
    <w:rsid w:val="00080C64"/>
    <w:rsid w:val="00082356"/>
    <w:rsid w:val="00084854"/>
    <w:rsid w:val="00084BF3"/>
    <w:rsid w:val="00086220"/>
    <w:rsid w:val="000862D5"/>
    <w:rsid w:val="00086ADD"/>
    <w:rsid w:val="00086C50"/>
    <w:rsid w:val="00086FCF"/>
    <w:rsid w:val="00090218"/>
    <w:rsid w:val="000913FB"/>
    <w:rsid w:val="000917C0"/>
    <w:rsid w:val="00091C53"/>
    <w:rsid w:val="0009211A"/>
    <w:rsid w:val="0009260D"/>
    <w:rsid w:val="00092D24"/>
    <w:rsid w:val="00095C70"/>
    <w:rsid w:val="000960C1"/>
    <w:rsid w:val="000966BB"/>
    <w:rsid w:val="00096910"/>
    <w:rsid w:val="0009794E"/>
    <w:rsid w:val="000A0B2D"/>
    <w:rsid w:val="000A0BBD"/>
    <w:rsid w:val="000A32FE"/>
    <w:rsid w:val="000A48B3"/>
    <w:rsid w:val="000A680B"/>
    <w:rsid w:val="000A7BFB"/>
    <w:rsid w:val="000B041E"/>
    <w:rsid w:val="000B0DE6"/>
    <w:rsid w:val="000B1E9A"/>
    <w:rsid w:val="000B2C78"/>
    <w:rsid w:val="000B31CB"/>
    <w:rsid w:val="000B4058"/>
    <w:rsid w:val="000B4345"/>
    <w:rsid w:val="000B458C"/>
    <w:rsid w:val="000B4B75"/>
    <w:rsid w:val="000B6EA3"/>
    <w:rsid w:val="000C09C2"/>
    <w:rsid w:val="000C09D6"/>
    <w:rsid w:val="000C323C"/>
    <w:rsid w:val="000C3862"/>
    <w:rsid w:val="000C3DE4"/>
    <w:rsid w:val="000C4B27"/>
    <w:rsid w:val="000C571F"/>
    <w:rsid w:val="000C5ACA"/>
    <w:rsid w:val="000C5B21"/>
    <w:rsid w:val="000C5B80"/>
    <w:rsid w:val="000C6036"/>
    <w:rsid w:val="000C6434"/>
    <w:rsid w:val="000C691E"/>
    <w:rsid w:val="000D0C55"/>
    <w:rsid w:val="000D1269"/>
    <w:rsid w:val="000D12BE"/>
    <w:rsid w:val="000D1408"/>
    <w:rsid w:val="000D143B"/>
    <w:rsid w:val="000D1D59"/>
    <w:rsid w:val="000D308F"/>
    <w:rsid w:val="000D309E"/>
    <w:rsid w:val="000D3583"/>
    <w:rsid w:val="000D3749"/>
    <w:rsid w:val="000D380A"/>
    <w:rsid w:val="000D3E1D"/>
    <w:rsid w:val="000D416F"/>
    <w:rsid w:val="000D463D"/>
    <w:rsid w:val="000D4A3B"/>
    <w:rsid w:val="000D4C2F"/>
    <w:rsid w:val="000D56E5"/>
    <w:rsid w:val="000D6690"/>
    <w:rsid w:val="000D6FE1"/>
    <w:rsid w:val="000E10CD"/>
    <w:rsid w:val="000E12B6"/>
    <w:rsid w:val="000E322E"/>
    <w:rsid w:val="000E32B1"/>
    <w:rsid w:val="000E514B"/>
    <w:rsid w:val="000E5741"/>
    <w:rsid w:val="000E7487"/>
    <w:rsid w:val="000F045D"/>
    <w:rsid w:val="000F1082"/>
    <w:rsid w:val="000F16C3"/>
    <w:rsid w:val="000F4214"/>
    <w:rsid w:val="000F4834"/>
    <w:rsid w:val="000F4842"/>
    <w:rsid w:val="000F4C1E"/>
    <w:rsid w:val="000F4F01"/>
    <w:rsid w:val="000F59A3"/>
    <w:rsid w:val="000F5A1C"/>
    <w:rsid w:val="000F7112"/>
    <w:rsid w:val="000F7B02"/>
    <w:rsid w:val="000F7F8A"/>
    <w:rsid w:val="00102333"/>
    <w:rsid w:val="00102390"/>
    <w:rsid w:val="00102936"/>
    <w:rsid w:val="00102EC7"/>
    <w:rsid w:val="00105D14"/>
    <w:rsid w:val="00110DFB"/>
    <w:rsid w:val="00110E53"/>
    <w:rsid w:val="0011162F"/>
    <w:rsid w:val="00112755"/>
    <w:rsid w:val="00112FC9"/>
    <w:rsid w:val="001157E3"/>
    <w:rsid w:val="001176E6"/>
    <w:rsid w:val="001206CC"/>
    <w:rsid w:val="001220C9"/>
    <w:rsid w:val="00122B73"/>
    <w:rsid w:val="001240FE"/>
    <w:rsid w:val="001255EC"/>
    <w:rsid w:val="00125823"/>
    <w:rsid w:val="00125B81"/>
    <w:rsid w:val="00125CA5"/>
    <w:rsid w:val="00125FD8"/>
    <w:rsid w:val="00132777"/>
    <w:rsid w:val="00133DCF"/>
    <w:rsid w:val="00133E6E"/>
    <w:rsid w:val="00133F61"/>
    <w:rsid w:val="001370B2"/>
    <w:rsid w:val="001375E8"/>
    <w:rsid w:val="00142DD2"/>
    <w:rsid w:val="00143453"/>
    <w:rsid w:val="0014370A"/>
    <w:rsid w:val="00145D35"/>
    <w:rsid w:val="00146AC0"/>
    <w:rsid w:val="0014751A"/>
    <w:rsid w:val="00147604"/>
    <w:rsid w:val="00153281"/>
    <w:rsid w:val="00153788"/>
    <w:rsid w:val="00153DE4"/>
    <w:rsid w:val="001547D2"/>
    <w:rsid w:val="001553F4"/>
    <w:rsid w:val="00156262"/>
    <w:rsid w:val="001562D6"/>
    <w:rsid w:val="00156481"/>
    <w:rsid w:val="00156F51"/>
    <w:rsid w:val="00157B3F"/>
    <w:rsid w:val="00157C68"/>
    <w:rsid w:val="00157F04"/>
    <w:rsid w:val="00161DC5"/>
    <w:rsid w:val="00163E0E"/>
    <w:rsid w:val="00164B01"/>
    <w:rsid w:val="00164CD1"/>
    <w:rsid w:val="00164FDE"/>
    <w:rsid w:val="00165129"/>
    <w:rsid w:val="001654CB"/>
    <w:rsid w:val="00166086"/>
    <w:rsid w:val="00166561"/>
    <w:rsid w:val="00166ED7"/>
    <w:rsid w:val="00170C77"/>
    <w:rsid w:val="00170D39"/>
    <w:rsid w:val="00170FEA"/>
    <w:rsid w:val="00171485"/>
    <w:rsid w:val="0017231E"/>
    <w:rsid w:val="00172628"/>
    <w:rsid w:val="00172DD4"/>
    <w:rsid w:val="0017740A"/>
    <w:rsid w:val="001779DA"/>
    <w:rsid w:val="0018077D"/>
    <w:rsid w:val="0018230C"/>
    <w:rsid w:val="0018496D"/>
    <w:rsid w:val="001858C8"/>
    <w:rsid w:val="00187613"/>
    <w:rsid w:val="00190F9B"/>
    <w:rsid w:val="00191754"/>
    <w:rsid w:val="00196D88"/>
    <w:rsid w:val="0019762B"/>
    <w:rsid w:val="001A03B6"/>
    <w:rsid w:val="001A04CD"/>
    <w:rsid w:val="001A0627"/>
    <w:rsid w:val="001A0C21"/>
    <w:rsid w:val="001A1266"/>
    <w:rsid w:val="001A12A3"/>
    <w:rsid w:val="001A13A5"/>
    <w:rsid w:val="001A2497"/>
    <w:rsid w:val="001A360D"/>
    <w:rsid w:val="001A4A33"/>
    <w:rsid w:val="001A5CF1"/>
    <w:rsid w:val="001B078E"/>
    <w:rsid w:val="001B1676"/>
    <w:rsid w:val="001B1DA8"/>
    <w:rsid w:val="001B1ECA"/>
    <w:rsid w:val="001B1F5D"/>
    <w:rsid w:val="001B3DE3"/>
    <w:rsid w:val="001B40F1"/>
    <w:rsid w:val="001B4113"/>
    <w:rsid w:val="001B439F"/>
    <w:rsid w:val="001B4B9A"/>
    <w:rsid w:val="001B5086"/>
    <w:rsid w:val="001B5136"/>
    <w:rsid w:val="001B564C"/>
    <w:rsid w:val="001B57FB"/>
    <w:rsid w:val="001B66FF"/>
    <w:rsid w:val="001B73F2"/>
    <w:rsid w:val="001C116D"/>
    <w:rsid w:val="001C1D09"/>
    <w:rsid w:val="001C2B52"/>
    <w:rsid w:val="001C6E26"/>
    <w:rsid w:val="001D1573"/>
    <w:rsid w:val="001D2CAE"/>
    <w:rsid w:val="001D30B8"/>
    <w:rsid w:val="001D3949"/>
    <w:rsid w:val="001D4258"/>
    <w:rsid w:val="001D4C17"/>
    <w:rsid w:val="001D6423"/>
    <w:rsid w:val="001D7420"/>
    <w:rsid w:val="001E1156"/>
    <w:rsid w:val="001E1979"/>
    <w:rsid w:val="001E2A53"/>
    <w:rsid w:val="001E2AF5"/>
    <w:rsid w:val="001E37C5"/>
    <w:rsid w:val="001E46B2"/>
    <w:rsid w:val="001E631E"/>
    <w:rsid w:val="001F0405"/>
    <w:rsid w:val="001F0C50"/>
    <w:rsid w:val="001F0DC0"/>
    <w:rsid w:val="001F1010"/>
    <w:rsid w:val="001F2685"/>
    <w:rsid w:val="001F3EFD"/>
    <w:rsid w:val="001F43EF"/>
    <w:rsid w:val="001F79AE"/>
    <w:rsid w:val="001F7F75"/>
    <w:rsid w:val="00200B93"/>
    <w:rsid w:val="0020192F"/>
    <w:rsid w:val="00201BC8"/>
    <w:rsid w:val="00201BED"/>
    <w:rsid w:val="00202C2D"/>
    <w:rsid w:val="0020394B"/>
    <w:rsid w:val="002043B7"/>
    <w:rsid w:val="00204F2A"/>
    <w:rsid w:val="00205384"/>
    <w:rsid w:val="00205B8E"/>
    <w:rsid w:val="0020612B"/>
    <w:rsid w:val="002072D7"/>
    <w:rsid w:val="002075A8"/>
    <w:rsid w:val="00207CA0"/>
    <w:rsid w:val="002110A3"/>
    <w:rsid w:val="00212335"/>
    <w:rsid w:val="00212657"/>
    <w:rsid w:val="002147BB"/>
    <w:rsid w:val="002200B1"/>
    <w:rsid w:val="00220A70"/>
    <w:rsid w:val="0022140A"/>
    <w:rsid w:val="00221E0C"/>
    <w:rsid w:val="0022245F"/>
    <w:rsid w:val="00223DE6"/>
    <w:rsid w:val="002276FA"/>
    <w:rsid w:val="00231CB3"/>
    <w:rsid w:val="002330A4"/>
    <w:rsid w:val="002342D0"/>
    <w:rsid w:val="0023436D"/>
    <w:rsid w:val="002345E9"/>
    <w:rsid w:val="0023605C"/>
    <w:rsid w:val="00236AEB"/>
    <w:rsid w:val="002375AA"/>
    <w:rsid w:val="002377EA"/>
    <w:rsid w:val="00237A1C"/>
    <w:rsid w:val="002405AF"/>
    <w:rsid w:val="002406EB"/>
    <w:rsid w:val="0024183F"/>
    <w:rsid w:val="002424ED"/>
    <w:rsid w:val="00242631"/>
    <w:rsid w:val="00244D46"/>
    <w:rsid w:val="00244E38"/>
    <w:rsid w:val="0024589F"/>
    <w:rsid w:val="00246287"/>
    <w:rsid w:val="002468DE"/>
    <w:rsid w:val="00246D35"/>
    <w:rsid w:val="00247AFA"/>
    <w:rsid w:val="00247D90"/>
    <w:rsid w:val="00250D3C"/>
    <w:rsid w:val="002531DE"/>
    <w:rsid w:val="002542B1"/>
    <w:rsid w:val="00254494"/>
    <w:rsid w:val="00255489"/>
    <w:rsid w:val="0025704F"/>
    <w:rsid w:val="0025744E"/>
    <w:rsid w:val="0025759B"/>
    <w:rsid w:val="00257734"/>
    <w:rsid w:val="00257EBF"/>
    <w:rsid w:val="0026029A"/>
    <w:rsid w:val="00260E18"/>
    <w:rsid w:val="0026225C"/>
    <w:rsid w:val="0026263B"/>
    <w:rsid w:val="0026402D"/>
    <w:rsid w:val="00264396"/>
    <w:rsid w:val="0026443C"/>
    <w:rsid w:val="0026447E"/>
    <w:rsid w:val="002657CD"/>
    <w:rsid w:val="00265F04"/>
    <w:rsid w:val="002679F0"/>
    <w:rsid w:val="002703B6"/>
    <w:rsid w:val="00271365"/>
    <w:rsid w:val="002715F7"/>
    <w:rsid w:val="002729D7"/>
    <w:rsid w:val="00272FC4"/>
    <w:rsid w:val="0027405D"/>
    <w:rsid w:val="00275A82"/>
    <w:rsid w:val="00276E8B"/>
    <w:rsid w:val="0028249D"/>
    <w:rsid w:val="00283439"/>
    <w:rsid w:val="00283B66"/>
    <w:rsid w:val="00283C31"/>
    <w:rsid w:val="002842C3"/>
    <w:rsid w:val="00284AF6"/>
    <w:rsid w:val="00285076"/>
    <w:rsid w:val="00285D44"/>
    <w:rsid w:val="00285EA4"/>
    <w:rsid w:val="00290A65"/>
    <w:rsid w:val="00290AD6"/>
    <w:rsid w:val="002912F1"/>
    <w:rsid w:val="002927AE"/>
    <w:rsid w:val="0029388E"/>
    <w:rsid w:val="00294C6C"/>
    <w:rsid w:val="00294DC6"/>
    <w:rsid w:val="002966CC"/>
    <w:rsid w:val="00297B04"/>
    <w:rsid w:val="002A03A4"/>
    <w:rsid w:val="002A2877"/>
    <w:rsid w:val="002A2A4A"/>
    <w:rsid w:val="002A4C8B"/>
    <w:rsid w:val="002A76D5"/>
    <w:rsid w:val="002A7B69"/>
    <w:rsid w:val="002B0A37"/>
    <w:rsid w:val="002B1E0E"/>
    <w:rsid w:val="002B555A"/>
    <w:rsid w:val="002B754F"/>
    <w:rsid w:val="002C0589"/>
    <w:rsid w:val="002C1583"/>
    <w:rsid w:val="002C1772"/>
    <w:rsid w:val="002C17F3"/>
    <w:rsid w:val="002C1AC1"/>
    <w:rsid w:val="002C1DA4"/>
    <w:rsid w:val="002C202B"/>
    <w:rsid w:val="002C286F"/>
    <w:rsid w:val="002C3377"/>
    <w:rsid w:val="002C351F"/>
    <w:rsid w:val="002C3F71"/>
    <w:rsid w:val="002C4ECD"/>
    <w:rsid w:val="002C54D1"/>
    <w:rsid w:val="002C57B9"/>
    <w:rsid w:val="002C5B5D"/>
    <w:rsid w:val="002D09D7"/>
    <w:rsid w:val="002D1A33"/>
    <w:rsid w:val="002D20D2"/>
    <w:rsid w:val="002D2208"/>
    <w:rsid w:val="002D25D6"/>
    <w:rsid w:val="002D50D9"/>
    <w:rsid w:val="002D6329"/>
    <w:rsid w:val="002D6BBD"/>
    <w:rsid w:val="002D7A51"/>
    <w:rsid w:val="002D7F73"/>
    <w:rsid w:val="002E11A0"/>
    <w:rsid w:val="002E2BFF"/>
    <w:rsid w:val="002E2F9B"/>
    <w:rsid w:val="002E312B"/>
    <w:rsid w:val="002E4212"/>
    <w:rsid w:val="002E4DCB"/>
    <w:rsid w:val="002E6E27"/>
    <w:rsid w:val="002E6F65"/>
    <w:rsid w:val="002E712C"/>
    <w:rsid w:val="002F06BE"/>
    <w:rsid w:val="002F1D11"/>
    <w:rsid w:val="002F22B2"/>
    <w:rsid w:val="002F3310"/>
    <w:rsid w:val="002F4072"/>
    <w:rsid w:val="002F447A"/>
    <w:rsid w:val="002F4A8B"/>
    <w:rsid w:val="002F5419"/>
    <w:rsid w:val="002F69C8"/>
    <w:rsid w:val="002F6A4D"/>
    <w:rsid w:val="002F6AAF"/>
    <w:rsid w:val="002F6E27"/>
    <w:rsid w:val="002F7769"/>
    <w:rsid w:val="00300526"/>
    <w:rsid w:val="00300DBB"/>
    <w:rsid w:val="003014CE"/>
    <w:rsid w:val="003028CE"/>
    <w:rsid w:val="00302B2A"/>
    <w:rsid w:val="00302BC3"/>
    <w:rsid w:val="00303046"/>
    <w:rsid w:val="00305B0D"/>
    <w:rsid w:val="0030641C"/>
    <w:rsid w:val="00306E21"/>
    <w:rsid w:val="003100FF"/>
    <w:rsid w:val="0031046E"/>
    <w:rsid w:val="00310815"/>
    <w:rsid w:val="003128EB"/>
    <w:rsid w:val="003131EF"/>
    <w:rsid w:val="00313FF8"/>
    <w:rsid w:val="00314016"/>
    <w:rsid w:val="00314B4B"/>
    <w:rsid w:val="00314C97"/>
    <w:rsid w:val="0031544F"/>
    <w:rsid w:val="00316554"/>
    <w:rsid w:val="00316579"/>
    <w:rsid w:val="00316D96"/>
    <w:rsid w:val="003171AB"/>
    <w:rsid w:val="0031756F"/>
    <w:rsid w:val="00317B64"/>
    <w:rsid w:val="0032088A"/>
    <w:rsid w:val="00320D6D"/>
    <w:rsid w:val="0032159D"/>
    <w:rsid w:val="00321ED3"/>
    <w:rsid w:val="00322183"/>
    <w:rsid w:val="00322C03"/>
    <w:rsid w:val="003243BF"/>
    <w:rsid w:val="003244C1"/>
    <w:rsid w:val="003246E8"/>
    <w:rsid w:val="00324A0A"/>
    <w:rsid w:val="00324E0D"/>
    <w:rsid w:val="0032532F"/>
    <w:rsid w:val="003261F7"/>
    <w:rsid w:val="003264F6"/>
    <w:rsid w:val="00326DC2"/>
    <w:rsid w:val="003274DE"/>
    <w:rsid w:val="003319CD"/>
    <w:rsid w:val="003329B0"/>
    <w:rsid w:val="003332AA"/>
    <w:rsid w:val="003335ED"/>
    <w:rsid w:val="003344BA"/>
    <w:rsid w:val="003346E8"/>
    <w:rsid w:val="003349F0"/>
    <w:rsid w:val="00334D7B"/>
    <w:rsid w:val="003353FE"/>
    <w:rsid w:val="003362CF"/>
    <w:rsid w:val="00336EC0"/>
    <w:rsid w:val="003371D9"/>
    <w:rsid w:val="00340A25"/>
    <w:rsid w:val="0034282A"/>
    <w:rsid w:val="00343E84"/>
    <w:rsid w:val="00345A6E"/>
    <w:rsid w:val="00345C8C"/>
    <w:rsid w:val="003472A2"/>
    <w:rsid w:val="00347867"/>
    <w:rsid w:val="003502EA"/>
    <w:rsid w:val="00350ABE"/>
    <w:rsid w:val="00351082"/>
    <w:rsid w:val="003512EA"/>
    <w:rsid w:val="00351A6E"/>
    <w:rsid w:val="00352030"/>
    <w:rsid w:val="00355129"/>
    <w:rsid w:val="00355853"/>
    <w:rsid w:val="003569DA"/>
    <w:rsid w:val="00362B41"/>
    <w:rsid w:val="00363512"/>
    <w:rsid w:val="003645C4"/>
    <w:rsid w:val="0036716F"/>
    <w:rsid w:val="00367832"/>
    <w:rsid w:val="00371AF8"/>
    <w:rsid w:val="00371BB0"/>
    <w:rsid w:val="00372B28"/>
    <w:rsid w:val="00372D0F"/>
    <w:rsid w:val="00373190"/>
    <w:rsid w:val="00373E78"/>
    <w:rsid w:val="00374131"/>
    <w:rsid w:val="003751E4"/>
    <w:rsid w:val="003766FE"/>
    <w:rsid w:val="00376AD2"/>
    <w:rsid w:val="00376BC7"/>
    <w:rsid w:val="00380022"/>
    <w:rsid w:val="00382099"/>
    <w:rsid w:val="0038258A"/>
    <w:rsid w:val="00382FAF"/>
    <w:rsid w:val="00384D4F"/>
    <w:rsid w:val="00385973"/>
    <w:rsid w:val="00385CF0"/>
    <w:rsid w:val="00387B01"/>
    <w:rsid w:val="00387D3C"/>
    <w:rsid w:val="00390123"/>
    <w:rsid w:val="00390C9B"/>
    <w:rsid w:val="00391498"/>
    <w:rsid w:val="003927D2"/>
    <w:rsid w:val="00392EFF"/>
    <w:rsid w:val="0039317A"/>
    <w:rsid w:val="0039523C"/>
    <w:rsid w:val="00395C30"/>
    <w:rsid w:val="003969DB"/>
    <w:rsid w:val="003A0543"/>
    <w:rsid w:val="003A0745"/>
    <w:rsid w:val="003A192E"/>
    <w:rsid w:val="003A19CD"/>
    <w:rsid w:val="003A1B1C"/>
    <w:rsid w:val="003A25C4"/>
    <w:rsid w:val="003A2A35"/>
    <w:rsid w:val="003A3FA6"/>
    <w:rsid w:val="003A46EA"/>
    <w:rsid w:val="003A49CF"/>
    <w:rsid w:val="003A52A1"/>
    <w:rsid w:val="003A57B2"/>
    <w:rsid w:val="003A6CF7"/>
    <w:rsid w:val="003B0A80"/>
    <w:rsid w:val="003B1050"/>
    <w:rsid w:val="003B2674"/>
    <w:rsid w:val="003B2EEE"/>
    <w:rsid w:val="003B4FA8"/>
    <w:rsid w:val="003B55D4"/>
    <w:rsid w:val="003B5619"/>
    <w:rsid w:val="003B64F7"/>
    <w:rsid w:val="003B6C8B"/>
    <w:rsid w:val="003B71BD"/>
    <w:rsid w:val="003B7BF3"/>
    <w:rsid w:val="003B7F6F"/>
    <w:rsid w:val="003C0E0A"/>
    <w:rsid w:val="003C1D1F"/>
    <w:rsid w:val="003C2379"/>
    <w:rsid w:val="003C27A4"/>
    <w:rsid w:val="003C40E6"/>
    <w:rsid w:val="003C4CE0"/>
    <w:rsid w:val="003C6917"/>
    <w:rsid w:val="003C6CE5"/>
    <w:rsid w:val="003D0263"/>
    <w:rsid w:val="003D0B39"/>
    <w:rsid w:val="003D0C49"/>
    <w:rsid w:val="003D1CB2"/>
    <w:rsid w:val="003D240C"/>
    <w:rsid w:val="003D2B22"/>
    <w:rsid w:val="003D4623"/>
    <w:rsid w:val="003D463C"/>
    <w:rsid w:val="003D4C39"/>
    <w:rsid w:val="003D4C80"/>
    <w:rsid w:val="003D58E2"/>
    <w:rsid w:val="003D5ED7"/>
    <w:rsid w:val="003E0530"/>
    <w:rsid w:val="003E1B8A"/>
    <w:rsid w:val="003E2A45"/>
    <w:rsid w:val="003E2CE3"/>
    <w:rsid w:val="003E3280"/>
    <w:rsid w:val="003E4857"/>
    <w:rsid w:val="003E4B1D"/>
    <w:rsid w:val="003E7023"/>
    <w:rsid w:val="003E7215"/>
    <w:rsid w:val="003E77F2"/>
    <w:rsid w:val="003E7E12"/>
    <w:rsid w:val="003F0304"/>
    <w:rsid w:val="003F0839"/>
    <w:rsid w:val="003F16C0"/>
    <w:rsid w:val="003F1A6B"/>
    <w:rsid w:val="003F2DA9"/>
    <w:rsid w:val="003F3CBB"/>
    <w:rsid w:val="003F4E23"/>
    <w:rsid w:val="00400B0C"/>
    <w:rsid w:val="00401E43"/>
    <w:rsid w:val="004024D9"/>
    <w:rsid w:val="004032DA"/>
    <w:rsid w:val="0040408D"/>
    <w:rsid w:val="004041F7"/>
    <w:rsid w:val="00404B27"/>
    <w:rsid w:val="004064D1"/>
    <w:rsid w:val="00406A38"/>
    <w:rsid w:val="0040785F"/>
    <w:rsid w:val="004110EA"/>
    <w:rsid w:val="00411F32"/>
    <w:rsid w:val="00412606"/>
    <w:rsid w:val="00414BB9"/>
    <w:rsid w:val="004150A7"/>
    <w:rsid w:val="004154F1"/>
    <w:rsid w:val="004165EB"/>
    <w:rsid w:val="00420C9B"/>
    <w:rsid w:val="00420DB1"/>
    <w:rsid w:val="0042110A"/>
    <w:rsid w:val="00421B46"/>
    <w:rsid w:val="00422453"/>
    <w:rsid w:val="004224E5"/>
    <w:rsid w:val="004232B4"/>
    <w:rsid w:val="00423A42"/>
    <w:rsid w:val="004246A2"/>
    <w:rsid w:val="00424866"/>
    <w:rsid w:val="00425118"/>
    <w:rsid w:val="004273D5"/>
    <w:rsid w:val="00430217"/>
    <w:rsid w:val="00430A42"/>
    <w:rsid w:val="00431B88"/>
    <w:rsid w:val="004329E4"/>
    <w:rsid w:val="00432E1E"/>
    <w:rsid w:val="00433357"/>
    <w:rsid w:val="00437770"/>
    <w:rsid w:val="00440157"/>
    <w:rsid w:val="004402D3"/>
    <w:rsid w:val="00440A6D"/>
    <w:rsid w:val="00441CCC"/>
    <w:rsid w:val="00442DB7"/>
    <w:rsid w:val="00443FDB"/>
    <w:rsid w:val="0044428D"/>
    <w:rsid w:val="00444B26"/>
    <w:rsid w:val="00446983"/>
    <w:rsid w:val="004469CD"/>
    <w:rsid w:val="00446DCC"/>
    <w:rsid w:val="004479CC"/>
    <w:rsid w:val="00450EA7"/>
    <w:rsid w:val="00451380"/>
    <w:rsid w:val="004543A5"/>
    <w:rsid w:val="00454E3E"/>
    <w:rsid w:val="00456545"/>
    <w:rsid w:val="00456B4B"/>
    <w:rsid w:val="00460B06"/>
    <w:rsid w:val="00460FAC"/>
    <w:rsid w:val="00460FE2"/>
    <w:rsid w:val="004612C9"/>
    <w:rsid w:val="00461443"/>
    <w:rsid w:val="00462724"/>
    <w:rsid w:val="004638C9"/>
    <w:rsid w:val="00464C74"/>
    <w:rsid w:val="00464D30"/>
    <w:rsid w:val="00466565"/>
    <w:rsid w:val="00466CC6"/>
    <w:rsid w:val="00466D17"/>
    <w:rsid w:val="004677C3"/>
    <w:rsid w:val="00471B50"/>
    <w:rsid w:val="00471D18"/>
    <w:rsid w:val="00472683"/>
    <w:rsid w:val="00473C60"/>
    <w:rsid w:val="00473E1F"/>
    <w:rsid w:val="0047416C"/>
    <w:rsid w:val="00474320"/>
    <w:rsid w:val="00474404"/>
    <w:rsid w:val="00474BF0"/>
    <w:rsid w:val="00475F1D"/>
    <w:rsid w:val="00476200"/>
    <w:rsid w:val="00476DF1"/>
    <w:rsid w:val="00477811"/>
    <w:rsid w:val="00481F36"/>
    <w:rsid w:val="00482632"/>
    <w:rsid w:val="00483EBB"/>
    <w:rsid w:val="00483ED1"/>
    <w:rsid w:val="00485EE2"/>
    <w:rsid w:val="004867D8"/>
    <w:rsid w:val="0048711F"/>
    <w:rsid w:val="004876D4"/>
    <w:rsid w:val="00490828"/>
    <w:rsid w:val="00490DEE"/>
    <w:rsid w:val="004921F6"/>
    <w:rsid w:val="00494050"/>
    <w:rsid w:val="00495033"/>
    <w:rsid w:val="00495CB1"/>
    <w:rsid w:val="00497993"/>
    <w:rsid w:val="004A058B"/>
    <w:rsid w:val="004A0A43"/>
    <w:rsid w:val="004A152C"/>
    <w:rsid w:val="004A18BD"/>
    <w:rsid w:val="004A1FE3"/>
    <w:rsid w:val="004A2871"/>
    <w:rsid w:val="004A2892"/>
    <w:rsid w:val="004A32AA"/>
    <w:rsid w:val="004A4209"/>
    <w:rsid w:val="004A55CE"/>
    <w:rsid w:val="004A585C"/>
    <w:rsid w:val="004A612D"/>
    <w:rsid w:val="004A67B1"/>
    <w:rsid w:val="004A68EC"/>
    <w:rsid w:val="004A75D6"/>
    <w:rsid w:val="004A75E3"/>
    <w:rsid w:val="004B1E1C"/>
    <w:rsid w:val="004B21AA"/>
    <w:rsid w:val="004B2BF4"/>
    <w:rsid w:val="004B36B2"/>
    <w:rsid w:val="004B3B07"/>
    <w:rsid w:val="004B561B"/>
    <w:rsid w:val="004B5ADA"/>
    <w:rsid w:val="004B5C4D"/>
    <w:rsid w:val="004B64B5"/>
    <w:rsid w:val="004B653C"/>
    <w:rsid w:val="004B6D03"/>
    <w:rsid w:val="004B7F67"/>
    <w:rsid w:val="004C069B"/>
    <w:rsid w:val="004C1368"/>
    <w:rsid w:val="004C1911"/>
    <w:rsid w:val="004C1D67"/>
    <w:rsid w:val="004C3DB9"/>
    <w:rsid w:val="004C482A"/>
    <w:rsid w:val="004C5E28"/>
    <w:rsid w:val="004C7621"/>
    <w:rsid w:val="004C7845"/>
    <w:rsid w:val="004C7C2E"/>
    <w:rsid w:val="004D07E9"/>
    <w:rsid w:val="004D07F3"/>
    <w:rsid w:val="004D109F"/>
    <w:rsid w:val="004D2630"/>
    <w:rsid w:val="004D32E0"/>
    <w:rsid w:val="004D38B5"/>
    <w:rsid w:val="004D3A1C"/>
    <w:rsid w:val="004D4CC8"/>
    <w:rsid w:val="004D4EEF"/>
    <w:rsid w:val="004D63CA"/>
    <w:rsid w:val="004D6641"/>
    <w:rsid w:val="004D6961"/>
    <w:rsid w:val="004D73AA"/>
    <w:rsid w:val="004D744D"/>
    <w:rsid w:val="004D7837"/>
    <w:rsid w:val="004E0223"/>
    <w:rsid w:val="004E079C"/>
    <w:rsid w:val="004E12B6"/>
    <w:rsid w:val="004E1438"/>
    <w:rsid w:val="004E35D0"/>
    <w:rsid w:val="004E4556"/>
    <w:rsid w:val="004E5599"/>
    <w:rsid w:val="004E5740"/>
    <w:rsid w:val="004E7AFC"/>
    <w:rsid w:val="004F1D47"/>
    <w:rsid w:val="004F1D7F"/>
    <w:rsid w:val="004F248A"/>
    <w:rsid w:val="004F3FC1"/>
    <w:rsid w:val="004F5489"/>
    <w:rsid w:val="004F55D6"/>
    <w:rsid w:val="004F7C40"/>
    <w:rsid w:val="0050193B"/>
    <w:rsid w:val="00501B59"/>
    <w:rsid w:val="00502B8D"/>
    <w:rsid w:val="00504C09"/>
    <w:rsid w:val="00504CDC"/>
    <w:rsid w:val="005054E8"/>
    <w:rsid w:val="00505771"/>
    <w:rsid w:val="005057FE"/>
    <w:rsid w:val="00505E42"/>
    <w:rsid w:val="005063CF"/>
    <w:rsid w:val="00507393"/>
    <w:rsid w:val="005074C3"/>
    <w:rsid w:val="005106DF"/>
    <w:rsid w:val="00511212"/>
    <w:rsid w:val="00511623"/>
    <w:rsid w:val="00511D4F"/>
    <w:rsid w:val="00512098"/>
    <w:rsid w:val="005120FF"/>
    <w:rsid w:val="0051262C"/>
    <w:rsid w:val="00512928"/>
    <w:rsid w:val="00512C60"/>
    <w:rsid w:val="005138AD"/>
    <w:rsid w:val="005141C3"/>
    <w:rsid w:val="00514CC0"/>
    <w:rsid w:val="00515352"/>
    <w:rsid w:val="00516030"/>
    <w:rsid w:val="00516428"/>
    <w:rsid w:val="00516980"/>
    <w:rsid w:val="0052140E"/>
    <w:rsid w:val="005215FC"/>
    <w:rsid w:val="00521632"/>
    <w:rsid w:val="00521B67"/>
    <w:rsid w:val="00523198"/>
    <w:rsid w:val="00524107"/>
    <w:rsid w:val="00524F7D"/>
    <w:rsid w:val="00525271"/>
    <w:rsid w:val="0053078D"/>
    <w:rsid w:val="00530852"/>
    <w:rsid w:val="00530B1F"/>
    <w:rsid w:val="00530B68"/>
    <w:rsid w:val="00530CD6"/>
    <w:rsid w:val="00532706"/>
    <w:rsid w:val="0053293D"/>
    <w:rsid w:val="0053375B"/>
    <w:rsid w:val="0053395C"/>
    <w:rsid w:val="00536D4F"/>
    <w:rsid w:val="005370EA"/>
    <w:rsid w:val="005375F7"/>
    <w:rsid w:val="005413D2"/>
    <w:rsid w:val="005422F9"/>
    <w:rsid w:val="00542926"/>
    <w:rsid w:val="00542A61"/>
    <w:rsid w:val="00544823"/>
    <w:rsid w:val="00545D0B"/>
    <w:rsid w:val="0054661A"/>
    <w:rsid w:val="005473ED"/>
    <w:rsid w:val="00547EE7"/>
    <w:rsid w:val="00550580"/>
    <w:rsid w:val="00550EA7"/>
    <w:rsid w:val="00551211"/>
    <w:rsid w:val="00552F78"/>
    <w:rsid w:val="0055467A"/>
    <w:rsid w:val="0055531C"/>
    <w:rsid w:val="00555A3A"/>
    <w:rsid w:val="00557189"/>
    <w:rsid w:val="0055787D"/>
    <w:rsid w:val="00560F01"/>
    <w:rsid w:val="00562E2B"/>
    <w:rsid w:val="0056384F"/>
    <w:rsid w:val="00563ADF"/>
    <w:rsid w:val="00565F93"/>
    <w:rsid w:val="00567329"/>
    <w:rsid w:val="00570F3B"/>
    <w:rsid w:val="00573686"/>
    <w:rsid w:val="00574EDA"/>
    <w:rsid w:val="005750C2"/>
    <w:rsid w:val="00575C51"/>
    <w:rsid w:val="00576038"/>
    <w:rsid w:val="00576E16"/>
    <w:rsid w:val="0058358E"/>
    <w:rsid w:val="00585F40"/>
    <w:rsid w:val="005865BC"/>
    <w:rsid w:val="005867E0"/>
    <w:rsid w:val="00586A21"/>
    <w:rsid w:val="005877CA"/>
    <w:rsid w:val="00590215"/>
    <w:rsid w:val="00590352"/>
    <w:rsid w:val="00591F12"/>
    <w:rsid w:val="00593292"/>
    <w:rsid w:val="00594060"/>
    <w:rsid w:val="00594C5B"/>
    <w:rsid w:val="00594F91"/>
    <w:rsid w:val="005950CC"/>
    <w:rsid w:val="0059552B"/>
    <w:rsid w:val="00595729"/>
    <w:rsid w:val="00597200"/>
    <w:rsid w:val="005A16F4"/>
    <w:rsid w:val="005A205D"/>
    <w:rsid w:val="005A3256"/>
    <w:rsid w:val="005A3B4C"/>
    <w:rsid w:val="005A47DA"/>
    <w:rsid w:val="005A5314"/>
    <w:rsid w:val="005A5FF2"/>
    <w:rsid w:val="005B1227"/>
    <w:rsid w:val="005B193C"/>
    <w:rsid w:val="005B357E"/>
    <w:rsid w:val="005B4392"/>
    <w:rsid w:val="005B588A"/>
    <w:rsid w:val="005B643F"/>
    <w:rsid w:val="005B6F7A"/>
    <w:rsid w:val="005B7182"/>
    <w:rsid w:val="005B7E71"/>
    <w:rsid w:val="005C07BC"/>
    <w:rsid w:val="005C2596"/>
    <w:rsid w:val="005C2B8E"/>
    <w:rsid w:val="005C41E9"/>
    <w:rsid w:val="005C5AD7"/>
    <w:rsid w:val="005C6188"/>
    <w:rsid w:val="005C7360"/>
    <w:rsid w:val="005D1066"/>
    <w:rsid w:val="005D11B6"/>
    <w:rsid w:val="005D23A2"/>
    <w:rsid w:val="005D2C15"/>
    <w:rsid w:val="005D3144"/>
    <w:rsid w:val="005D4718"/>
    <w:rsid w:val="005D508E"/>
    <w:rsid w:val="005D5F0D"/>
    <w:rsid w:val="005D666F"/>
    <w:rsid w:val="005D7584"/>
    <w:rsid w:val="005E0FE0"/>
    <w:rsid w:val="005E124A"/>
    <w:rsid w:val="005E2E25"/>
    <w:rsid w:val="005E44E1"/>
    <w:rsid w:val="005E4F8C"/>
    <w:rsid w:val="005E53E0"/>
    <w:rsid w:val="005E6247"/>
    <w:rsid w:val="005E7797"/>
    <w:rsid w:val="005E77A1"/>
    <w:rsid w:val="005E7973"/>
    <w:rsid w:val="005F0103"/>
    <w:rsid w:val="005F09C7"/>
    <w:rsid w:val="005F103A"/>
    <w:rsid w:val="005F1FAC"/>
    <w:rsid w:val="005F2176"/>
    <w:rsid w:val="005F2814"/>
    <w:rsid w:val="005F45DB"/>
    <w:rsid w:val="005F4E1C"/>
    <w:rsid w:val="005F5721"/>
    <w:rsid w:val="005F5BD1"/>
    <w:rsid w:val="005F6634"/>
    <w:rsid w:val="005F710B"/>
    <w:rsid w:val="005F7675"/>
    <w:rsid w:val="00600D4F"/>
    <w:rsid w:val="00601E66"/>
    <w:rsid w:val="00601EC1"/>
    <w:rsid w:val="0060207B"/>
    <w:rsid w:val="006038C0"/>
    <w:rsid w:val="00603E7A"/>
    <w:rsid w:val="0060404E"/>
    <w:rsid w:val="00605B01"/>
    <w:rsid w:val="00606287"/>
    <w:rsid w:val="006073A8"/>
    <w:rsid w:val="0061050C"/>
    <w:rsid w:val="00610979"/>
    <w:rsid w:val="0061128A"/>
    <w:rsid w:val="00614293"/>
    <w:rsid w:val="00617156"/>
    <w:rsid w:val="006174B0"/>
    <w:rsid w:val="00620BB1"/>
    <w:rsid w:val="00621778"/>
    <w:rsid w:val="00621ADB"/>
    <w:rsid w:val="00622D95"/>
    <w:rsid w:val="00622E03"/>
    <w:rsid w:val="00623301"/>
    <w:rsid w:val="0062484E"/>
    <w:rsid w:val="006248EC"/>
    <w:rsid w:val="00624954"/>
    <w:rsid w:val="006249D2"/>
    <w:rsid w:val="00632FA6"/>
    <w:rsid w:val="00637D29"/>
    <w:rsid w:val="00640F3A"/>
    <w:rsid w:val="00642378"/>
    <w:rsid w:val="0064485C"/>
    <w:rsid w:val="00646F4C"/>
    <w:rsid w:val="00647140"/>
    <w:rsid w:val="00647374"/>
    <w:rsid w:val="00647B8E"/>
    <w:rsid w:val="00650230"/>
    <w:rsid w:val="0065049E"/>
    <w:rsid w:val="0065100C"/>
    <w:rsid w:val="006521B1"/>
    <w:rsid w:val="00652432"/>
    <w:rsid w:val="00652973"/>
    <w:rsid w:val="006536E7"/>
    <w:rsid w:val="00653EEB"/>
    <w:rsid w:val="006543A4"/>
    <w:rsid w:val="006546EA"/>
    <w:rsid w:val="006557B6"/>
    <w:rsid w:val="00656EFD"/>
    <w:rsid w:val="0065711F"/>
    <w:rsid w:val="00663BD4"/>
    <w:rsid w:val="006646D9"/>
    <w:rsid w:val="00664776"/>
    <w:rsid w:val="00667762"/>
    <w:rsid w:val="00670646"/>
    <w:rsid w:val="0067163E"/>
    <w:rsid w:val="00673AAF"/>
    <w:rsid w:val="006741D5"/>
    <w:rsid w:val="006754CD"/>
    <w:rsid w:val="00675A6A"/>
    <w:rsid w:val="00675B59"/>
    <w:rsid w:val="00675CDE"/>
    <w:rsid w:val="00677114"/>
    <w:rsid w:val="00677403"/>
    <w:rsid w:val="0068004A"/>
    <w:rsid w:val="0068023A"/>
    <w:rsid w:val="006808F5"/>
    <w:rsid w:val="00681DB8"/>
    <w:rsid w:val="00683DBB"/>
    <w:rsid w:val="0068619E"/>
    <w:rsid w:val="00687299"/>
    <w:rsid w:val="00687A48"/>
    <w:rsid w:val="00687D16"/>
    <w:rsid w:val="00690537"/>
    <w:rsid w:val="00690C77"/>
    <w:rsid w:val="00691FB2"/>
    <w:rsid w:val="00693FD3"/>
    <w:rsid w:val="0069413A"/>
    <w:rsid w:val="00694BD4"/>
    <w:rsid w:val="0069519A"/>
    <w:rsid w:val="006954F1"/>
    <w:rsid w:val="006962AC"/>
    <w:rsid w:val="0069699C"/>
    <w:rsid w:val="00697705"/>
    <w:rsid w:val="00697B68"/>
    <w:rsid w:val="006A0F88"/>
    <w:rsid w:val="006A3E9C"/>
    <w:rsid w:val="006A48B8"/>
    <w:rsid w:val="006A536C"/>
    <w:rsid w:val="006A62BF"/>
    <w:rsid w:val="006A6494"/>
    <w:rsid w:val="006A7569"/>
    <w:rsid w:val="006A7D50"/>
    <w:rsid w:val="006A7D93"/>
    <w:rsid w:val="006B09A0"/>
    <w:rsid w:val="006B23EF"/>
    <w:rsid w:val="006B24AE"/>
    <w:rsid w:val="006B2ECC"/>
    <w:rsid w:val="006B39D3"/>
    <w:rsid w:val="006B6034"/>
    <w:rsid w:val="006B72D5"/>
    <w:rsid w:val="006B74DC"/>
    <w:rsid w:val="006C0140"/>
    <w:rsid w:val="006C123C"/>
    <w:rsid w:val="006C3642"/>
    <w:rsid w:val="006C430B"/>
    <w:rsid w:val="006C4725"/>
    <w:rsid w:val="006C4B05"/>
    <w:rsid w:val="006D01BD"/>
    <w:rsid w:val="006D14F5"/>
    <w:rsid w:val="006D15FB"/>
    <w:rsid w:val="006D3B69"/>
    <w:rsid w:val="006D58B4"/>
    <w:rsid w:val="006D6289"/>
    <w:rsid w:val="006D641B"/>
    <w:rsid w:val="006D6B34"/>
    <w:rsid w:val="006D7575"/>
    <w:rsid w:val="006D7BC3"/>
    <w:rsid w:val="006E0E36"/>
    <w:rsid w:val="006E1AB3"/>
    <w:rsid w:val="006E2138"/>
    <w:rsid w:val="006E27ED"/>
    <w:rsid w:val="006E331C"/>
    <w:rsid w:val="006E4616"/>
    <w:rsid w:val="006E49B5"/>
    <w:rsid w:val="006E4F76"/>
    <w:rsid w:val="006E5157"/>
    <w:rsid w:val="006E676E"/>
    <w:rsid w:val="006E6EAB"/>
    <w:rsid w:val="006E7D00"/>
    <w:rsid w:val="006F2D68"/>
    <w:rsid w:val="006F31B6"/>
    <w:rsid w:val="006F3D48"/>
    <w:rsid w:val="006F40D0"/>
    <w:rsid w:val="006F475A"/>
    <w:rsid w:val="006F67D9"/>
    <w:rsid w:val="006F6B1F"/>
    <w:rsid w:val="006F7258"/>
    <w:rsid w:val="00700259"/>
    <w:rsid w:val="007028C4"/>
    <w:rsid w:val="007028DF"/>
    <w:rsid w:val="0070390A"/>
    <w:rsid w:val="007047A7"/>
    <w:rsid w:val="00705C80"/>
    <w:rsid w:val="00706F1C"/>
    <w:rsid w:val="00710445"/>
    <w:rsid w:val="00712C1C"/>
    <w:rsid w:val="00715C31"/>
    <w:rsid w:val="00717554"/>
    <w:rsid w:val="00717D01"/>
    <w:rsid w:val="00722B8C"/>
    <w:rsid w:val="00723044"/>
    <w:rsid w:val="00723B6A"/>
    <w:rsid w:val="0072457B"/>
    <w:rsid w:val="00725B1F"/>
    <w:rsid w:val="00725F17"/>
    <w:rsid w:val="00726A49"/>
    <w:rsid w:val="00726C28"/>
    <w:rsid w:val="007273B0"/>
    <w:rsid w:val="007274E9"/>
    <w:rsid w:val="00727877"/>
    <w:rsid w:val="007300D8"/>
    <w:rsid w:val="007304C7"/>
    <w:rsid w:val="0073154B"/>
    <w:rsid w:val="00731A49"/>
    <w:rsid w:val="00731A5A"/>
    <w:rsid w:val="007321C3"/>
    <w:rsid w:val="0073262C"/>
    <w:rsid w:val="00733B44"/>
    <w:rsid w:val="00734535"/>
    <w:rsid w:val="00736597"/>
    <w:rsid w:val="007368E4"/>
    <w:rsid w:val="00737CFD"/>
    <w:rsid w:val="00737D93"/>
    <w:rsid w:val="00740017"/>
    <w:rsid w:val="00740459"/>
    <w:rsid w:val="00741B5F"/>
    <w:rsid w:val="00741BF6"/>
    <w:rsid w:val="00741EF9"/>
    <w:rsid w:val="007434F4"/>
    <w:rsid w:val="00744142"/>
    <w:rsid w:val="00751E90"/>
    <w:rsid w:val="00751FAE"/>
    <w:rsid w:val="00752DC4"/>
    <w:rsid w:val="0075360A"/>
    <w:rsid w:val="0075383D"/>
    <w:rsid w:val="00753D38"/>
    <w:rsid w:val="00755953"/>
    <w:rsid w:val="00756278"/>
    <w:rsid w:val="00756AEC"/>
    <w:rsid w:val="007578F8"/>
    <w:rsid w:val="00757A98"/>
    <w:rsid w:val="00757AF8"/>
    <w:rsid w:val="0076184A"/>
    <w:rsid w:val="00763BEA"/>
    <w:rsid w:val="0077100C"/>
    <w:rsid w:val="0077348D"/>
    <w:rsid w:val="007749B4"/>
    <w:rsid w:val="00775417"/>
    <w:rsid w:val="007759D5"/>
    <w:rsid w:val="00775D9E"/>
    <w:rsid w:val="00775DA4"/>
    <w:rsid w:val="00776CA7"/>
    <w:rsid w:val="0077774F"/>
    <w:rsid w:val="00780952"/>
    <w:rsid w:val="007825C1"/>
    <w:rsid w:val="007829D8"/>
    <w:rsid w:val="00782CF8"/>
    <w:rsid w:val="00782F79"/>
    <w:rsid w:val="007837A5"/>
    <w:rsid w:val="00783A46"/>
    <w:rsid w:val="007848CD"/>
    <w:rsid w:val="00785ED3"/>
    <w:rsid w:val="007861BC"/>
    <w:rsid w:val="00786BA9"/>
    <w:rsid w:val="00787C53"/>
    <w:rsid w:val="00790931"/>
    <w:rsid w:val="00790C2E"/>
    <w:rsid w:val="00792420"/>
    <w:rsid w:val="00792E0B"/>
    <w:rsid w:val="00793240"/>
    <w:rsid w:val="00793ABF"/>
    <w:rsid w:val="0079417D"/>
    <w:rsid w:val="00794C11"/>
    <w:rsid w:val="007957FF"/>
    <w:rsid w:val="007A0D5B"/>
    <w:rsid w:val="007A2F68"/>
    <w:rsid w:val="007A335F"/>
    <w:rsid w:val="007A36CB"/>
    <w:rsid w:val="007A48C5"/>
    <w:rsid w:val="007A5129"/>
    <w:rsid w:val="007A512D"/>
    <w:rsid w:val="007A58AE"/>
    <w:rsid w:val="007B09C9"/>
    <w:rsid w:val="007B1FC3"/>
    <w:rsid w:val="007B3798"/>
    <w:rsid w:val="007B458C"/>
    <w:rsid w:val="007B642E"/>
    <w:rsid w:val="007B64B3"/>
    <w:rsid w:val="007B6842"/>
    <w:rsid w:val="007C0D64"/>
    <w:rsid w:val="007C2083"/>
    <w:rsid w:val="007C2543"/>
    <w:rsid w:val="007C2916"/>
    <w:rsid w:val="007C29E1"/>
    <w:rsid w:val="007C4303"/>
    <w:rsid w:val="007C5190"/>
    <w:rsid w:val="007C58FF"/>
    <w:rsid w:val="007C6B67"/>
    <w:rsid w:val="007D0118"/>
    <w:rsid w:val="007D08FA"/>
    <w:rsid w:val="007D13F3"/>
    <w:rsid w:val="007D2E44"/>
    <w:rsid w:val="007D2FA8"/>
    <w:rsid w:val="007D3B4B"/>
    <w:rsid w:val="007D60DC"/>
    <w:rsid w:val="007D63E8"/>
    <w:rsid w:val="007D705F"/>
    <w:rsid w:val="007E0766"/>
    <w:rsid w:val="007E183D"/>
    <w:rsid w:val="007E1AEA"/>
    <w:rsid w:val="007E33CF"/>
    <w:rsid w:val="007E5933"/>
    <w:rsid w:val="007E5BFE"/>
    <w:rsid w:val="007E61AB"/>
    <w:rsid w:val="007E6C46"/>
    <w:rsid w:val="007E6DF8"/>
    <w:rsid w:val="007F17A5"/>
    <w:rsid w:val="007F1A2A"/>
    <w:rsid w:val="007F20E2"/>
    <w:rsid w:val="007F2713"/>
    <w:rsid w:val="007F2AF2"/>
    <w:rsid w:val="007F372A"/>
    <w:rsid w:val="007F4772"/>
    <w:rsid w:val="007F56EB"/>
    <w:rsid w:val="007F5857"/>
    <w:rsid w:val="007F6614"/>
    <w:rsid w:val="007F67F8"/>
    <w:rsid w:val="007F6A4F"/>
    <w:rsid w:val="00800390"/>
    <w:rsid w:val="008005AF"/>
    <w:rsid w:val="00801248"/>
    <w:rsid w:val="00801A7C"/>
    <w:rsid w:val="00801B03"/>
    <w:rsid w:val="008026D7"/>
    <w:rsid w:val="00802E06"/>
    <w:rsid w:val="00802FB5"/>
    <w:rsid w:val="008043FB"/>
    <w:rsid w:val="00805DEA"/>
    <w:rsid w:val="0080653C"/>
    <w:rsid w:val="00807558"/>
    <w:rsid w:val="00810895"/>
    <w:rsid w:val="008120A5"/>
    <w:rsid w:val="008140DC"/>
    <w:rsid w:val="008144F5"/>
    <w:rsid w:val="00815B45"/>
    <w:rsid w:val="00817DAF"/>
    <w:rsid w:val="008214F4"/>
    <w:rsid w:val="008222F1"/>
    <w:rsid w:val="00822C19"/>
    <w:rsid w:val="008254B7"/>
    <w:rsid w:val="0082721A"/>
    <w:rsid w:val="00827362"/>
    <w:rsid w:val="00827E16"/>
    <w:rsid w:val="00830A54"/>
    <w:rsid w:val="008318E5"/>
    <w:rsid w:val="00832C86"/>
    <w:rsid w:val="00835716"/>
    <w:rsid w:val="008358D1"/>
    <w:rsid w:val="00835B14"/>
    <w:rsid w:val="0083677C"/>
    <w:rsid w:val="00836E06"/>
    <w:rsid w:val="00837EBC"/>
    <w:rsid w:val="00840F25"/>
    <w:rsid w:val="008411CE"/>
    <w:rsid w:val="008413FF"/>
    <w:rsid w:val="00841B69"/>
    <w:rsid w:val="00843B42"/>
    <w:rsid w:val="008448AC"/>
    <w:rsid w:val="0084518C"/>
    <w:rsid w:val="00845A16"/>
    <w:rsid w:val="00845F79"/>
    <w:rsid w:val="00846D7D"/>
    <w:rsid w:val="00847B44"/>
    <w:rsid w:val="00847E8D"/>
    <w:rsid w:val="0085225D"/>
    <w:rsid w:val="00853575"/>
    <w:rsid w:val="00853924"/>
    <w:rsid w:val="00853E9B"/>
    <w:rsid w:val="00853EA1"/>
    <w:rsid w:val="00856B70"/>
    <w:rsid w:val="00856C67"/>
    <w:rsid w:val="008572FE"/>
    <w:rsid w:val="008619A7"/>
    <w:rsid w:val="00861B61"/>
    <w:rsid w:val="00862724"/>
    <w:rsid w:val="00863AAB"/>
    <w:rsid w:val="00864046"/>
    <w:rsid w:val="008655ED"/>
    <w:rsid w:val="008662BB"/>
    <w:rsid w:val="008664D1"/>
    <w:rsid w:val="008671F9"/>
    <w:rsid w:val="008676E7"/>
    <w:rsid w:val="00867D6E"/>
    <w:rsid w:val="00870070"/>
    <w:rsid w:val="00870976"/>
    <w:rsid w:val="00870AEB"/>
    <w:rsid w:val="00872206"/>
    <w:rsid w:val="0087390D"/>
    <w:rsid w:val="00873A5C"/>
    <w:rsid w:val="008744F0"/>
    <w:rsid w:val="00874DD6"/>
    <w:rsid w:val="00874E6B"/>
    <w:rsid w:val="00875150"/>
    <w:rsid w:val="00875AEE"/>
    <w:rsid w:val="00876405"/>
    <w:rsid w:val="008768D1"/>
    <w:rsid w:val="00876B9D"/>
    <w:rsid w:val="00876DF1"/>
    <w:rsid w:val="0087733A"/>
    <w:rsid w:val="008776D8"/>
    <w:rsid w:val="00877AB7"/>
    <w:rsid w:val="00877B8F"/>
    <w:rsid w:val="00877F32"/>
    <w:rsid w:val="00880480"/>
    <w:rsid w:val="00880BD5"/>
    <w:rsid w:val="00880D19"/>
    <w:rsid w:val="00881419"/>
    <w:rsid w:val="008876E5"/>
    <w:rsid w:val="00887946"/>
    <w:rsid w:val="008902A4"/>
    <w:rsid w:val="0089661E"/>
    <w:rsid w:val="0089680B"/>
    <w:rsid w:val="00897C95"/>
    <w:rsid w:val="008A1DEB"/>
    <w:rsid w:val="008A2819"/>
    <w:rsid w:val="008A30EF"/>
    <w:rsid w:val="008A3634"/>
    <w:rsid w:val="008A4258"/>
    <w:rsid w:val="008B0622"/>
    <w:rsid w:val="008B2922"/>
    <w:rsid w:val="008B318D"/>
    <w:rsid w:val="008B7052"/>
    <w:rsid w:val="008C1E99"/>
    <w:rsid w:val="008C3CCC"/>
    <w:rsid w:val="008C3F67"/>
    <w:rsid w:val="008C4043"/>
    <w:rsid w:val="008C5FBD"/>
    <w:rsid w:val="008C76FF"/>
    <w:rsid w:val="008D25CA"/>
    <w:rsid w:val="008D346E"/>
    <w:rsid w:val="008D440A"/>
    <w:rsid w:val="008D516E"/>
    <w:rsid w:val="008E1C07"/>
    <w:rsid w:val="008E23EA"/>
    <w:rsid w:val="008E2CAE"/>
    <w:rsid w:val="008E33A6"/>
    <w:rsid w:val="008E3532"/>
    <w:rsid w:val="008E50A6"/>
    <w:rsid w:val="008E560C"/>
    <w:rsid w:val="008E5732"/>
    <w:rsid w:val="008E5911"/>
    <w:rsid w:val="008E78FE"/>
    <w:rsid w:val="008E7F1F"/>
    <w:rsid w:val="008F00F6"/>
    <w:rsid w:val="008F01B2"/>
    <w:rsid w:val="008F34F5"/>
    <w:rsid w:val="008F40A9"/>
    <w:rsid w:val="008F4DE3"/>
    <w:rsid w:val="008F6CE1"/>
    <w:rsid w:val="008F7EE3"/>
    <w:rsid w:val="0090106E"/>
    <w:rsid w:val="0090358B"/>
    <w:rsid w:val="00904F26"/>
    <w:rsid w:val="00905936"/>
    <w:rsid w:val="00905C91"/>
    <w:rsid w:val="00906E88"/>
    <w:rsid w:val="0090773D"/>
    <w:rsid w:val="00911743"/>
    <w:rsid w:val="009121FC"/>
    <w:rsid w:val="00913ABC"/>
    <w:rsid w:val="00914A87"/>
    <w:rsid w:val="00916233"/>
    <w:rsid w:val="0091789F"/>
    <w:rsid w:val="00920FDE"/>
    <w:rsid w:val="00921115"/>
    <w:rsid w:val="009255EB"/>
    <w:rsid w:val="00926459"/>
    <w:rsid w:val="00926B70"/>
    <w:rsid w:val="009340D4"/>
    <w:rsid w:val="0093580A"/>
    <w:rsid w:val="00936646"/>
    <w:rsid w:val="00936D3B"/>
    <w:rsid w:val="0093705F"/>
    <w:rsid w:val="009406F2"/>
    <w:rsid w:val="00940AF1"/>
    <w:rsid w:val="00942E88"/>
    <w:rsid w:val="00944501"/>
    <w:rsid w:val="00944782"/>
    <w:rsid w:val="00952C4F"/>
    <w:rsid w:val="00953106"/>
    <w:rsid w:val="009549E4"/>
    <w:rsid w:val="00954ADE"/>
    <w:rsid w:val="00954E68"/>
    <w:rsid w:val="009561D7"/>
    <w:rsid w:val="0095668D"/>
    <w:rsid w:val="00956719"/>
    <w:rsid w:val="009574BE"/>
    <w:rsid w:val="0096125C"/>
    <w:rsid w:val="009635E2"/>
    <w:rsid w:val="00963A0D"/>
    <w:rsid w:val="00964457"/>
    <w:rsid w:val="00964AAB"/>
    <w:rsid w:val="00965326"/>
    <w:rsid w:val="009656BC"/>
    <w:rsid w:val="00965EF1"/>
    <w:rsid w:val="00966046"/>
    <w:rsid w:val="00971077"/>
    <w:rsid w:val="00971563"/>
    <w:rsid w:val="009721A2"/>
    <w:rsid w:val="009726A2"/>
    <w:rsid w:val="00972989"/>
    <w:rsid w:val="00972F2B"/>
    <w:rsid w:val="00973796"/>
    <w:rsid w:val="009737EF"/>
    <w:rsid w:val="00975003"/>
    <w:rsid w:val="00975FF1"/>
    <w:rsid w:val="00976214"/>
    <w:rsid w:val="00976A97"/>
    <w:rsid w:val="00977798"/>
    <w:rsid w:val="009820E7"/>
    <w:rsid w:val="00982D48"/>
    <w:rsid w:val="00983763"/>
    <w:rsid w:val="00984379"/>
    <w:rsid w:val="009863CF"/>
    <w:rsid w:val="0098725D"/>
    <w:rsid w:val="00990FF5"/>
    <w:rsid w:val="00994508"/>
    <w:rsid w:val="00995161"/>
    <w:rsid w:val="009951B3"/>
    <w:rsid w:val="009952B8"/>
    <w:rsid w:val="00995334"/>
    <w:rsid w:val="00995A47"/>
    <w:rsid w:val="009966ED"/>
    <w:rsid w:val="00996C54"/>
    <w:rsid w:val="00997014"/>
    <w:rsid w:val="00997316"/>
    <w:rsid w:val="009973A4"/>
    <w:rsid w:val="009979D0"/>
    <w:rsid w:val="00997DA7"/>
    <w:rsid w:val="009A010E"/>
    <w:rsid w:val="009A143F"/>
    <w:rsid w:val="009A79C4"/>
    <w:rsid w:val="009B0259"/>
    <w:rsid w:val="009B0675"/>
    <w:rsid w:val="009B073C"/>
    <w:rsid w:val="009B0AC0"/>
    <w:rsid w:val="009B1B79"/>
    <w:rsid w:val="009B20CE"/>
    <w:rsid w:val="009B2C65"/>
    <w:rsid w:val="009B2E29"/>
    <w:rsid w:val="009B3537"/>
    <w:rsid w:val="009B3955"/>
    <w:rsid w:val="009B39EB"/>
    <w:rsid w:val="009B3A59"/>
    <w:rsid w:val="009B62A1"/>
    <w:rsid w:val="009B710E"/>
    <w:rsid w:val="009B745A"/>
    <w:rsid w:val="009B7796"/>
    <w:rsid w:val="009B7AFC"/>
    <w:rsid w:val="009C050B"/>
    <w:rsid w:val="009C165A"/>
    <w:rsid w:val="009C1CE1"/>
    <w:rsid w:val="009C2569"/>
    <w:rsid w:val="009C2A4C"/>
    <w:rsid w:val="009C2BCA"/>
    <w:rsid w:val="009C2C49"/>
    <w:rsid w:val="009C2C6F"/>
    <w:rsid w:val="009C46DD"/>
    <w:rsid w:val="009C4AD5"/>
    <w:rsid w:val="009C4B23"/>
    <w:rsid w:val="009C5535"/>
    <w:rsid w:val="009C61EF"/>
    <w:rsid w:val="009C742E"/>
    <w:rsid w:val="009D248C"/>
    <w:rsid w:val="009D2874"/>
    <w:rsid w:val="009D4429"/>
    <w:rsid w:val="009D5145"/>
    <w:rsid w:val="009D54BB"/>
    <w:rsid w:val="009D5D3F"/>
    <w:rsid w:val="009D644E"/>
    <w:rsid w:val="009D6E1B"/>
    <w:rsid w:val="009D72B6"/>
    <w:rsid w:val="009D7368"/>
    <w:rsid w:val="009D7636"/>
    <w:rsid w:val="009D79A8"/>
    <w:rsid w:val="009D7DEF"/>
    <w:rsid w:val="009E1336"/>
    <w:rsid w:val="009E2E4B"/>
    <w:rsid w:val="009E4A19"/>
    <w:rsid w:val="009E584B"/>
    <w:rsid w:val="009E768D"/>
    <w:rsid w:val="009E7E53"/>
    <w:rsid w:val="009F0850"/>
    <w:rsid w:val="009F1E59"/>
    <w:rsid w:val="009F1E9A"/>
    <w:rsid w:val="009F22B4"/>
    <w:rsid w:val="009F2407"/>
    <w:rsid w:val="009F723A"/>
    <w:rsid w:val="00A01C09"/>
    <w:rsid w:val="00A03B7A"/>
    <w:rsid w:val="00A05DD9"/>
    <w:rsid w:val="00A06230"/>
    <w:rsid w:val="00A067C6"/>
    <w:rsid w:val="00A073E2"/>
    <w:rsid w:val="00A13A85"/>
    <w:rsid w:val="00A13B93"/>
    <w:rsid w:val="00A13D2D"/>
    <w:rsid w:val="00A15263"/>
    <w:rsid w:val="00A1547E"/>
    <w:rsid w:val="00A15852"/>
    <w:rsid w:val="00A15CBD"/>
    <w:rsid w:val="00A165CB"/>
    <w:rsid w:val="00A2022C"/>
    <w:rsid w:val="00A213C0"/>
    <w:rsid w:val="00A2276C"/>
    <w:rsid w:val="00A23435"/>
    <w:rsid w:val="00A24BD7"/>
    <w:rsid w:val="00A25ED3"/>
    <w:rsid w:val="00A26947"/>
    <w:rsid w:val="00A2753B"/>
    <w:rsid w:val="00A27AFF"/>
    <w:rsid w:val="00A30435"/>
    <w:rsid w:val="00A30C5A"/>
    <w:rsid w:val="00A30EA2"/>
    <w:rsid w:val="00A32A36"/>
    <w:rsid w:val="00A32F79"/>
    <w:rsid w:val="00A344BC"/>
    <w:rsid w:val="00A37926"/>
    <w:rsid w:val="00A37CA2"/>
    <w:rsid w:val="00A406AE"/>
    <w:rsid w:val="00A41CFE"/>
    <w:rsid w:val="00A45466"/>
    <w:rsid w:val="00A45BD3"/>
    <w:rsid w:val="00A479F7"/>
    <w:rsid w:val="00A52C8D"/>
    <w:rsid w:val="00A55136"/>
    <w:rsid w:val="00A554BA"/>
    <w:rsid w:val="00A56530"/>
    <w:rsid w:val="00A56C25"/>
    <w:rsid w:val="00A6097C"/>
    <w:rsid w:val="00A61315"/>
    <w:rsid w:val="00A627ED"/>
    <w:rsid w:val="00A63D38"/>
    <w:rsid w:val="00A63F20"/>
    <w:rsid w:val="00A64458"/>
    <w:rsid w:val="00A64637"/>
    <w:rsid w:val="00A647D0"/>
    <w:rsid w:val="00A64F51"/>
    <w:rsid w:val="00A65309"/>
    <w:rsid w:val="00A6764A"/>
    <w:rsid w:val="00A70E4C"/>
    <w:rsid w:val="00A72B55"/>
    <w:rsid w:val="00A73D6F"/>
    <w:rsid w:val="00A745E0"/>
    <w:rsid w:val="00A74A40"/>
    <w:rsid w:val="00A8143B"/>
    <w:rsid w:val="00A81ED4"/>
    <w:rsid w:val="00A82519"/>
    <w:rsid w:val="00A82614"/>
    <w:rsid w:val="00A83313"/>
    <w:rsid w:val="00A907C6"/>
    <w:rsid w:val="00A92E20"/>
    <w:rsid w:val="00A93174"/>
    <w:rsid w:val="00A933F9"/>
    <w:rsid w:val="00A93E59"/>
    <w:rsid w:val="00A9428E"/>
    <w:rsid w:val="00A9621E"/>
    <w:rsid w:val="00A968C2"/>
    <w:rsid w:val="00A97412"/>
    <w:rsid w:val="00A975DB"/>
    <w:rsid w:val="00AA12C6"/>
    <w:rsid w:val="00AA14E1"/>
    <w:rsid w:val="00AA1826"/>
    <w:rsid w:val="00AA18D3"/>
    <w:rsid w:val="00AA18F9"/>
    <w:rsid w:val="00AA2996"/>
    <w:rsid w:val="00AA2BCD"/>
    <w:rsid w:val="00AA3751"/>
    <w:rsid w:val="00AA52DD"/>
    <w:rsid w:val="00AA6220"/>
    <w:rsid w:val="00AA641E"/>
    <w:rsid w:val="00AA7A08"/>
    <w:rsid w:val="00AB1BC3"/>
    <w:rsid w:val="00AB2817"/>
    <w:rsid w:val="00AB2856"/>
    <w:rsid w:val="00AB31E4"/>
    <w:rsid w:val="00AB3904"/>
    <w:rsid w:val="00AB3B2A"/>
    <w:rsid w:val="00AB424F"/>
    <w:rsid w:val="00AB6306"/>
    <w:rsid w:val="00AB6DD4"/>
    <w:rsid w:val="00AB6EBD"/>
    <w:rsid w:val="00AB7136"/>
    <w:rsid w:val="00AB7C4B"/>
    <w:rsid w:val="00AC1B3F"/>
    <w:rsid w:val="00AC3CFB"/>
    <w:rsid w:val="00AC446F"/>
    <w:rsid w:val="00AC499F"/>
    <w:rsid w:val="00AC605A"/>
    <w:rsid w:val="00AC6CCE"/>
    <w:rsid w:val="00AD0FA5"/>
    <w:rsid w:val="00AD2D9D"/>
    <w:rsid w:val="00AD41A0"/>
    <w:rsid w:val="00AD5ABE"/>
    <w:rsid w:val="00AD6453"/>
    <w:rsid w:val="00AD7D3E"/>
    <w:rsid w:val="00AE159A"/>
    <w:rsid w:val="00AE19BD"/>
    <w:rsid w:val="00AE1D67"/>
    <w:rsid w:val="00AE2260"/>
    <w:rsid w:val="00AE278E"/>
    <w:rsid w:val="00AE2AAF"/>
    <w:rsid w:val="00AE4412"/>
    <w:rsid w:val="00AE4628"/>
    <w:rsid w:val="00AE54AD"/>
    <w:rsid w:val="00AE5702"/>
    <w:rsid w:val="00AE69F5"/>
    <w:rsid w:val="00AE6CBC"/>
    <w:rsid w:val="00AE7314"/>
    <w:rsid w:val="00AF0CA6"/>
    <w:rsid w:val="00AF127D"/>
    <w:rsid w:val="00AF1812"/>
    <w:rsid w:val="00AF24B4"/>
    <w:rsid w:val="00AF39F9"/>
    <w:rsid w:val="00AF3FD4"/>
    <w:rsid w:val="00AF4359"/>
    <w:rsid w:val="00AF4CD9"/>
    <w:rsid w:val="00AF55DE"/>
    <w:rsid w:val="00AF5962"/>
    <w:rsid w:val="00AF65AE"/>
    <w:rsid w:val="00AF66AE"/>
    <w:rsid w:val="00B00905"/>
    <w:rsid w:val="00B009B2"/>
    <w:rsid w:val="00B00EAD"/>
    <w:rsid w:val="00B02D70"/>
    <w:rsid w:val="00B02E8A"/>
    <w:rsid w:val="00B03536"/>
    <w:rsid w:val="00B040AE"/>
    <w:rsid w:val="00B04163"/>
    <w:rsid w:val="00B04870"/>
    <w:rsid w:val="00B06292"/>
    <w:rsid w:val="00B075EC"/>
    <w:rsid w:val="00B07669"/>
    <w:rsid w:val="00B07AED"/>
    <w:rsid w:val="00B113EE"/>
    <w:rsid w:val="00B14531"/>
    <w:rsid w:val="00B150DE"/>
    <w:rsid w:val="00B1682F"/>
    <w:rsid w:val="00B170DB"/>
    <w:rsid w:val="00B170F7"/>
    <w:rsid w:val="00B215FB"/>
    <w:rsid w:val="00B21C63"/>
    <w:rsid w:val="00B22B87"/>
    <w:rsid w:val="00B2357F"/>
    <w:rsid w:val="00B23A8A"/>
    <w:rsid w:val="00B2443C"/>
    <w:rsid w:val="00B252E9"/>
    <w:rsid w:val="00B25FFA"/>
    <w:rsid w:val="00B26390"/>
    <w:rsid w:val="00B265B9"/>
    <w:rsid w:val="00B271A9"/>
    <w:rsid w:val="00B27B6E"/>
    <w:rsid w:val="00B30997"/>
    <w:rsid w:val="00B30B64"/>
    <w:rsid w:val="00B30FE6"/>
    <w:rsid w:val="00B318AC"/>
    <w:rsid w:val="00B3350D"/>
    <w:rsid w:val="00B348AC"/>
    <w:rsid w:val="00B34E10"/>
    <w:rsid w:val="00B35B50"/>
    <w:rsid w:val="00B3694A"/>
    <w:rsid w:val="00B36D93"/>
    <w:rsid w:val="00B37237"/>
    <w:rsid w:val="00B40206"/>
    <w:rsid w:val="00B40C09"/>
    <w:rsid w:val="00B40CE5"/>
    <w:rsid w:val="00B41914"/>
    <w:rsid w:val="00B426FD"/>
    <w:rsid w:val="00B42BC2"/>
    <w:rsid w:val="00B43A4A"/>
    <w:rsid w:val="00B43A4B"/>
    <w:rsid w:val="00B443F5"/>
    <w:rsid w:val="00B44598"/>
    <w:rsid w:val="00B44D4C"/>
    <w:rsid w:val="00B46689"/>
    <w:rsid w:val="00B468E2"/>
    <w:rsid w:val="00B47378"/>
    <w:rsid w:val="00B4787D"/>
    <w:rsid w:val="00B47A24"/>
    <w:rsid w:val="00B47AD9"/>
    <w:rsid w:val="00B47CA4"/>
    <w:rsid w:val="00B50A14"/>
    <w:rsid w:val="00B51B2C"/>
    <w:rsid w:val="00B51E52"/>
    <w:rsid w:val="00B547CB"/>
    <w:rsid w:val="00B54847"/>
    <w:rsid w:val="00B54E8C"/>
    <w:rsid w:val="00B55329"/>
    <w:rsid w:val="00B556D1"/>
    <w:rsid w:val="00B55A67"/>
    <w:rsid w:val="00B56DC2"/>
    <w:rsid w:val="00B57F06"/>
    <w:rsid w:val="00B60C56"/>
    <w:rsid w:val="00B6117C"/>
    <w:rsid w:val="00B623A0"/>
    <w:rsid w:val="00B629C6"/>
    <w:rsid w:val="00B6352B"/>
    <w:rsid w:val="00B66245"/>
    <w:rsid w:val="00B705A2"/>
    <w:rsid w:val="00B707F1"/>
    <w:rsid w:val="00B723EF"/>
    <w:rsid w:val="00B73701"/>
    <w:rsid w:val="00B744F2"/>
    <w:rsid w:val="00B7596F"/>
    <w:rsid w:val="00B75AFC"/>
    <w:rsid w:val="00B773D3"/>
    <w:rsid w:val="00B8027C"/>
    <w:rsid w:val="00B803F7"/>
    <w:rsid w:val="00B81FB7"/>
    <w:rsid w:val="00B82399"/>
    <w:rsid w:val="00B832BA"/>
    <w:rsid w:val="00B84912"/>
    <w:rsid w:val="00B84944"/>
    <w:rsid w:val="00B85FC5"/>
    <w:rsid w:val="00B87775"/>
    <w:rsid w:val="00B916C5"/>
    <w:rsid w:val="00B91CB5"/>
    <w:rsid w:val="00B91F02"/>
    <w:rsid w:val="00B92D1F"/>
    <w:rsid w:val="00B9330A"/>
    <w:rsid w:val="00B93850"/>
    <w:rsid w:val="00B9477C"/>
    <w:rsid w:val="00B94A0E"/>
    <w:rsid w:val="00B94CF0"/>
    <w:rsid w:val="00B95C49"/>
    <w:rsid w:val="00B95F47"/>
    <w:rsid w:val="00B973A8"/>
    <w:rsid w:val="00BA04C6"/>
    <w:rsid w:val="00BA1677"/>
    <w:rsid w:val="00BA1BF8"/>
    <w:rsid w:val="00BA32A6"/>
    <w:rsid w:val="00BA3E8C"/>
    <w:rsid w:val="00BA3F62"/>
    <w:rsid w:val="00BA52C9"/>
    <w:rsid w:val="00BA5A75"/>
    <w:rsid w:val="00BA6E12"/>
    <w:rsid w:val="00BA798A"/>
    <w:rsid w:val="00BB1515"/>
    <w:rsid w:val="00BB15F8"/>
    <w:rsid w:val="00BB259D"/>
    <w:rsid w:val="00BB2B57"/>
    <w:rsid w:val="00BB4585"/>
    <w:rsid w:val="00BB4CFD"/>
    <w:rsid w:val="00BB5601"/>
    <w:rsid w:val="00BB728E"/>
    <w:rsid w:val="00BC2FCB"/>
    <w:rsid w:val="00BC34EC"/>
    <w:rsid w:val="00BC5C22"/>
    <w:rsid w:val="00BC5CA3"/>
    <w:rsid w:val="00BC6B33"/>
    <w:rsid w:val="00BC7FBC"/>
    <w:rsid w:val="00BD0C61"/>
    <w:rsid w:val="00BD2AFC"/>
    <w:rsid w:val="00BD40D8"/>
    <w:rsid w:val="00BD43E5"/>
    <w:rsid w:val="00BD44A5"/>
    <w:rsid w:val="00BD5981"/>
    <w:rsid w:val="00BE025C"/>
    <w:rsid w:val="00BE0771"/>
    <w:rsid w:val="00BE0B0E"/>
    <w:rsid w:val="00BE18E1"/>
    <w:rsid w:val="00BE6700"/>
    <w:rsid w:val="00BE7E4C"/>
    <w:rsid w:val="00BE7FA2"/>
    <w:rsid w:val="00BF0570"/>
    <w:rsid w:val="00BF11FA"/>
    <w:rsid w:val="00BF26E9"/>
    <w:rsid w:val="00BF3894"/>
    <w:rsid w:val="00BF6D44"/>
    <w:rsid w:val="00BF7AE7"/>
    <w:rsid w:val="00C019AB"/>
    <w:rsid w:val="00C02B46"/>
    <w:rsid w:val="00C03745"/>
    <w:rsid w:val="00C03E9E"/>
    <w:rsid w:val="00C06EC8"/>
    <w:rsid w:val="00C06FD5"/>
    <w:rsid w:val="00C10312"/>
    <w:rsid w:val="00C105EB"/>
    <w:rsid w:val="00C1073A"/>
    <w:rsid w:val="00C10754"/>
    <w:rsid w:val="00C10F60"/>
    <w:rsid w:val="00C10FCE"/>
    <w:rsid w:val="00C131ED"/>
    <w:rsid w:val="00C14B8B"/>
    <w:rsid w:val="00C1556E"/>
    <w:rsid w:val="00C1614E"/>
    <w:rsid w:val="00C1634E"/>
    <w:rsid w:val="00C1796C"/>
    <w:rsid w:val="00C21D4C"/>
    <w:rsid w:val="00C23187"/>
    <w:rsid w:val="00C2331F"/>
    <w:rsid w:val="00C237D4"/>
    <w:rsid w:val="00C2599B"/>
    <w:rsid w:val="00C264EA"/>
    <w:rsid w:val="00C26BDE"/>
    <w:rsid w:val="00C279C7"/>
    <w:rsid w:val="00C309AC"/>
    <w:rsid w:val="00C323B7"/>
    <w:rsid w:val="00C33EA9"/>
    <w:rsid w:val="00C348C3"/>
    <w:rsid w:val="00C34B52"/>
    <w:rsid w:val="00C34FA8"/>
    <w:rsid w:val="00C35451"/>
    <w:rsid w:val="00C42674"/>
    <w:rsid w:val="00C43BD3"/>
    <w:rsid w:val="00C448BA"/>
    <w:rsid w:val="00C44960"/>
    <w:rsid w:val="00C4571E"/>
    <w:rsid w:val="00C460AD"/>
    <w:rsid w:val="00C462E8"/>
    <w:rsid w:val="00C46FA5"/>
    <w:rsid w:val="00C47215"/>
    <w:rsid w:val="00C47F71"/>
    <w:rsid w:val="00C5080A"/>
    <w:rsid w:val="00C5112E"/>
    <w:rsid w:val="00C526CC"/>
    <w:rsid w:val="00C52949"/>
    <w:rsid w:val="00C54CF0"/>
    <w:rsid w:val="00C55550"/>
    <w:rsid w:val="00C55DF2"/>
    <w:rsid w:val="00C567F1"/>
    <w:rsid w:val="00C56FD6"/>
    <w:rsid w:val="00C574D1"/>
    <w:rsid w:val="00C57CB8"/>
    <w:rsid w:val="00C62745"/>
    <w:rsid w:val="00C646E7"/>
    <w:rsid w:val="00C664DE"/>
    <w:rsid w:val="00C66C78"/>
    <w:rsid w:val="00C672D1"/>
    <w:rsid w:val="00C67668"/>
    <w:rsid w:val="00C67E2E"/>
    <w:rsid w:val="00C7066C"/>
    <w:rsid w:val="00C71A45"/>
    <w:rsid w:val="00C71B24"/>
    <w:rsid w:val="00C72EEC"/>
    <w:rsid w:val="00C733C7"/>
    <w:rsid w:val="00C73F6B"/>
    <w:rsid w:val="00C75259"/>
    <w:rsid w:val="00C76511"/>
    <w:rsid w:val="00C82FCE"/>
    <w:rsid w:val="00C83AD1"/>
    <w:rsid w:val="00C84B48"/>
    <w:rsid w:val="00C864B7"/>
    <w:rsid w:val="00C86941"/>
    <w:rsid w:val="00C87110"/>
    <w:rsid w:val="00C871EB"/>
    <w:rsid w:val="00C87F49"/>
    <w:rsid w:val="00C919C7"/>
    <w:rsid w:val="00C937D6"/>
    <w:rsid w:val="00C940A9"/>
    <w:rsid w:val="00C94AD1"/>
    <w:rsid w:val="00C94FF8"/>
    <w:rsid w:val="00C95200"/>
    <w:rsid w:val="00C95DB4"/>
    <w:rsid w:val="00C95F19"/>
    <w:rsid w:val="00C97049"/>
    <w:rsid w:val="00CA0E0F"/>
    <w:rsid w:val="00CA1510"/>
    <w:rsid w:val="00CA18F2"/>
    <w:rsid w:val="00CA485E"/>
    <w:rsid w:val="00CA544D"/>
    <w:rsid w:val="00CA635F"/>
    <w:rsid w:val="00CA6D0C"/>
    <w:rsid w:val="00CA7786"/>
    <w:rsid w:val="00CB08CD"/>
    <w:rsid w:val="00CB1406"/>
    <w:rsid w:val="00CB19BE"/>
    <w:rsid w:val="00CB243D"/>
    <w:rsid w:val="00CB31AA"/>
    <w:rsid w:val="00CB373E"/>
    <w:rsid w:val="00CB3E5B"/>
    <w:rsid w:val="00CB449E"/>
    <w:rsid w:val="00CB4AF3"/>
    <w:rsid w:val="00CB4F56"/>
    <w:rsid w:val="00CB5286"/>
    <w:rsid w:val="00CB67B8"/>
    <w:rsid w:val="00CB7175"/>
    <w:rsid w:val="00CB79A5"/>
    <w:rsid w:val="00CC15F1"/>
    <w:rsid w:val="00CC1B8F"/>
    <w:rsid w:val="00CC2F9D"/>
    <w:rsid w:val="00CC504B"/>
    <w:rsid w:val="00CC5CBA"/>
    <w:rsid w:val="00CC5DA1"/>
    <w:rsid w:val="00CC64DC"/>
    <w:rsid w:val="00CC6E0B"/>
    <w:rsid w:val="00CC700A"/>
    <w:rsid w:val="00CC7158"/>
    <w:rsid w:val="00CC7D7A"/>
    <w:rsid w:val="00CD0047"/>
    <w:rsid w:val="00CD098F"/>
    <w:rsid w:val="00CD16B2"/>
    <w:rsid w:val="00CD1C60"/>
    <w:rsid w:val="00CD20FB"/>
    <w:rsid w:val="00CD231B"/>
    <w:rsid w:val="00CD2968"/>
    <w:rsid w:val="00CD36D3"/>
    <w:rsid w:val="00CE0880"/>
    <w:rsid w:val="00CE1DF9"/>
    <w:rsid w:val="00CE23AF"/>
    <w:rsid w:val="00CE270C"/>
    <w:rsid w:val="00CE2767"/>
    <w:rsid w:val="00CE2AE8"/>
    <w:rsid w:val="00CE3E11"/>
    <w:rsid w:val="00CE4924"/>
    <w:rsid w:val="00CE4F7F"/>
    <w:rsid w:val="00CF004F"/>
    <w:rsid w:val="00CF18F6"/>
    <w:rsid w:val="00CF1CB6"/>
    <w:rsid w:val="00CF4A7F"/>
    <w:rsid w:val="00CF6863"/>
    <w:rsid w:val="00CF6A93"/>
    <w:rsid w:val="00CF76D2"/>
    <w:rsid w:val="00D00BD6"/>
    <w:rsid w:val="00D0112B"/>
    <w:rsid w:val="00D02BD5"/>
    <w:rsid w:val="00D02E71"/>
    <w:rsid w:val="00D03D77"/>
    <w:rsid w:val="00D0400A"/>
    <w:rsid w:val="00D0413A"/>
    <w:rsid w:val="00D0426A"/>
    <w:rsid w:val="00D0501E"/>
    <w:rsid w:val="00D06179"/>
    <w:rsid w:val="00D100A9"/>
    <w:rsid w:val="00D1011D"/>
    <w:rsid w:val="00D10C9B"/>
    <w:rsid w:val="00D10E95"/>
    <w:rsid w:val="00D11218"/>
    <w:rsid w:val="00D13FFC"/>
    <w:rsid w:val="00D156E9"/>
    <w:rsid w:val="00D15CD1"/>
    <w:rsid w:val="00D161B6"/>
    <w:rsid w:val="00D167EB"/>
    <w:rsid w:val="00D20AE0"/>
    <w:rsid w:val="00D20BCE"/>
    <w:rsid w:val="00D20D06"/>
    <w:rsid w:val="00D22495"/>
    <w:rsid w:val="00D23870"/>
    <w:rsid w:val="00D2425D"/>
    <w:rsid w:val="00D24DB2"/>
    <w:rsid w:val="00D25CE1"/>
    <w:rsid w:val="00D26368"/>
    <w:rsid w:val="00D27663"/>
    <w:rsid w:val="00D277F4"/>
    <w:rsid w:val="00D27B8B"/>
    <w:rsid w:val="00D314A0"/>
    <w:rsid w:val="00D31691"/>
    <w:rsid w:val="00D32D9C"/>
    <w:rsid w:val="00D33D88"/>
    <w:rsid w:val="00D369F0"/>
    <w:rsid w:val="00D37329"/>
    <w:rsid w:val="00D379AD"/>
    <w:rsid w:val="00D37DA1"/>
    <w:rsid w:val="00D41B61"/>
    <w:rsid w:val="00D42C92"/>
    <w:rsid w:val="00D42D64"/>
    <w:rsid w:val="00D44264"/>
    <w:rsid w:val="00D44695"/>
    <w:rsid w:val="00D44FF2"/>
    <w:rsid w:val="00D455C3"/>
    <w:rsid w:val="00D4564E"/>
    <w:rsid w:val="00D46F1F"/>
    <w:rsid w:val="00D531C6"/>
    <w:rsid w:val="00D53447"/>
    <w:rsid w:val="00D53B4C"/>
    <w:rsid w:val="00D554EB"/>
    <w:rsid w:val="00D56EFC"/>
    <w:rsid w:val="00D57247"/>
    <w:rsid w:val="00D60AB0"/>
    <w:rsid w:val="00D61243"/>
    <w:rsid w:val="00D61694"/>
    <w:rsid w:val="00D62146"/>
    <w:rsid w:val="00D63DA2"/>
    <w:rsid w:val="00D64A31"/>
    <w:rsid w:val="00D6576B"/>
    <w:rsid w:val="00D671DC"/>
    <w:rsid w:val="00D67207"/>
    <w:rsid w:val="00D7337A"/>
    <w:rsid w:val="00D73A73"/>
    <w:rsid w:val="00D73C90"/>
    <w:rsid w:val="00D748EA"/>
    <w:rsid w:val="00D751C3"/>
    <w:rsid w:val="00D763C4"/>
    <w:rsid w:val="00D765CC"/>
    <w:rsid w:val="00D81310"/>
    <w:rsid w:val="00D81B82"/>
    <w:rsid w:val="00D81DFE"/>
    <w:rsid w:val="00D834E2"/>
    <w:rsid w:val="00D86121"/>
    <w:rsid w:val="00D9144D"/>
    <w:rsid w:val="00D92553"/>
    <w:rsid w:val="00D92BA5"/>
    <w:rsid w:val="00D92CC6"/>
    <w:rsid w:val="00D933FF"/>
    <w:rsid w:val="00D94156"/>
    <w:rsid w:val="00D94589"/>
    <w:rsid w:val="00D94D36"/>
    <w:rsid w:val="00D95831"/>
    <w:rsid w:val="00D96084"/>
    <w:rsid w:val="00D96AEE"/>
    <w:rsid w:val="00D9729B"/>
    <w:rsid w:val="00DA19FA"/>
    <w:rsid w:val="00DA3DAF"/>
    <w:rsid w:val="00DA4846"/>
    <w:rsid w:val="00DA4B34"/>
    <w:rsid w:val="00DA4C70"/>
    <w:rsid w:val="00DA620F"/>
    <w:rsid w:val="00DA6880"/>
    <w:rsid w:val="00DA6A99"/>
    <w:rsid w:val="00DA7BBF"/>
    <w:rsid w:val="00DA7CBC"/>
    <w:rsid w:val="00DB06C4"/>
    <w:rsid w:val="00DB3FCD"/>
    <w:rsid w:val="00DB455E"/>
    <w:rsid w:val="00DB4635"/>
    <w:rsid w:val="00DB50A3"/>
    <w:rsid w:val="00DB5262"/>
    <w:rsid w:val="00DB6C53"/>
    <w:rsid w:val="00DC0310"/>
    <w:rsid w:val="00DC21B8"/>
    <w:rsid w:val="00DC21B9"/>
    <w:rsid w:val="00DC335C"/>
    <w:rsid w:val="00DC3F44"/>
    <w:rsid w:val="00DC454B"/>
    <w:rsid w:val="00DC5C91"/>
    <w:rsid w:val="00DC66A6"/>
    <w:rsid w:val="00DC70F1"/>
    <w:rsid w:val="00DD05D9"/>
    <w:rsid w:val="00DD1422"/>
    <w:rsid w:val="00DD2CB9"/>
    <w:rsid w:val="00DD380A"/>
    <w:rsid w:val="00DD3ABB"/>
    <w:rsid w:val="00DD3AE0"/>
    <w:rsid w:val="00DD52AA"/>
    <w:rsid w:val="00DD626C"/>
    <w:rsid w:val="00DD6935"/>
    <w:rsid w:val="00DE265D"/>
    <w:rsid w:val="00DE4EAA"/>
    <w:rsid w:val="00DE5E28"/>
    <w:rsid w:val="00DE634A"/>
    <w:rsid w:val="00DE7D97"/>
    <w:rsid w:val="00DF0888"/>
    <w:rsid w:val="00DF250E"/>
    <w:rsid w:val="00DF2D76"/>
    <w:rsid w:val="00DF37A1"/>
    <w:rsid w:val="00DF38A0"/>
    <w:rsid w:val="00DF397E"/>
    <w:rsid w:val="00DF39CA"/>
    <w:rsid w:val="00DF47A2"/>
    <w:rsid w:val="00DF4C76"/>
    <w:rsid w:val="00DF4F58"/>
    <w:rsid w:val="00DF50D6"/>
    <w:rsid w:val="00DF67E2"/>
    <w:rsid w:val="00DF6FAC"/>
    <w:rsid w:val="00DF7313"/>
    <w:rsid w:val="00E00995"/>
    <w:rsid w:val="00E00A7B"/>
    <w:rsid w:val="00E01CEE"/>
    <w:rsid w:val="00E03843"/>
    <w:rsid w:val="00E03FF2"/>
    <w:rsid w:val="00E057BA"/>
    <w:rsid w:val="00E07359"/>
    <w:rsid w:val="00E074BF"/>
    <w:rsid w:val="00E07CEA"/>
    <w:rsid w:val="00E1018F"/>
    <w:rsid w:val="00E10850"/>
    <w:rsid w:val="00E11538"/>
    <w:rsid w:val="00E1164F"/>
    <w:rsid w:val="00E11DCF"/>
    <w:rsid w:val="00E120AC"/>
    <w:rsid w:val="00E126AA"/>
    <w:rsid w:val="00E12C75"/>
    <w:rsid w:val="00E12F24"/>
    <w:rsid w:val="00E143D8"/>
    <w:rsid w:val="00E145D5"/>
    <w:rsid w:val="00E17806"/>
    <w:rsid w:val="00E17BDD"/>
    <w:rsid w:val="00E21133"/>
    <w:rsid w:val="00E21BE2"/>
    <w:rsid w:val="00E21FE5"/>
    <w:rsid w:val="00E222BA"/>
    <w:rsid w:val="00E22EFB"/>
    <w:rsid w:val="00E251F0"/>
    <w:rsid w:val="00E25F2F"/>
    <w:rsid w:val="00E25F85"/>
    <w:rsid w:val="00E263EC"/>
    <w:rsid w:val="00E27CE5"/>
    <w:rsid w:val="00E30958"/>
    <w:rsid w:val="00E3140A"/>
    <w:rsid w:val="00E33833"/>
    <w:rsid w:val="00E342B7"/>
    <w:rsid w:val="00E35811"/>
    <w:rsid w:val="00E41DCE"/>
    <w:rsid w:val="00E41F0C"/>
    <w:rsid w:val="00E427DB"/>
    <w:rsid w:val="00E428AF"/>
    <w:rsid w:val="00E43751"/>
    <w:rsid w:val="00E4540F"/>
    <w:rsid w:val="00E461D1"/>
    <w:rsid w:val="00E50571"/>
    <w:rsid w:val="00E514B0"/>
    <w:rsid w:val="00E52C62"/>
    <w:rsid w:val="00E5324C"/>
    <w:rsid w:val="00E5346D"/>
    <w:rsid w:val="00E54024"/>
    <w:rsid w:val="00E54F39"/>
    <w:rsid w:val="00E56221"/>
    <w:rsid w:val="00E5680D"/>
    <w:rsid w:val="00E57452"/>
    <w:rsid w:val="00E57FBB"/>
    <w:rsid w:val="00E60213"/>
    <w:rsid w:val="00E61A50"/>
    <w:rsid w:val="00E621AA"/>
    <w:rsid w:val="00E62A9D"/>
    <w:rsid w:val="00E64684"/>
    <w:rsid w:val="00E64B63"/>
    <w:rsid w:val="00E65612"/>
    <w:rsid w:val="00E66F0B"/>
    <w:rsid w:val="00E6752A"/>
    <w:rsid w:val="00E70007"/>
    <w:rsid w:val="00E7034F"/>
    <w:rsid w:val="00E70E13"/>
    <w:rsid w:val="00E716ED"/>
    <w:rsid w:val="00E733F7"/>
    <w:rsid w:val="00E73CCF"/>
    <w:rsid w:val="00E745CB"/>
    <w:rsid w:val="00E75681"/>
    <w:rsid w:val="00E775FB"/>
    <w:rsid w:val="00E77D03"/>
    <w:rsid w:val="00E77DD4"/>
    <w:rsid w:val="00E80266"/>
    <w:rsid w:val="00E8032F"/>
    <w:rsid w:val="00E80E7B"/>
    <w:rsid w:val="00E8193D"/>
    <w:rsid w:val="00E824A5"/>
    <w:rsid w:val="00E85013"/>
    <w:rsid w:val="00E8511D"/>
    <w:rsid w:val="00E87DB5"/>
    <w:rsid w:val="00E90886"/>
    <w:rsid w:val="00E91597"/>
    <w:rsid w:val="00E92A07"/>
    <w:rsid w:val="00E9445B"/>
    <w:rsid w:val="00E95D57"/>
    <w:rsid w:val="00E95FA1"/>
    <w:rsid w:val="00E9636E"/>
    <w:rsid w:val="00E97C23"/>
    <w:rsid w:val="00EA0540"/>
    <w:rsid w:val="00EA0843"/>
    <w:rsid w:val="00EA0C73"/>
    <w:rsid w:val="00EA0D0C"/>
    <w:rsid w:val="00EA1424"/>
    <w:rsid w:val="00EA16C6"/>
    <w:rsid w:val="00EA18AC"/>
    <w:rsid w:val="00EA3FFB"/>
    <w:rsid w:val="00EA424C"/>
    <w:rsid w:val="00EA6A5C"/>
    <w:rsid w:val="00EA6A61"/>
    <w:rsid w:val="00EB05C2"/>
    <w:rsid w:val="00EB22ED"/>
    <w:rsid w:val="00EB2E4E"/>
    <w:rsid w:val="00EB34D7"/>
    <w:rsid w:val="00EB3890"/>
    <w:rsid w:val="00EB4042"/>
    <w:rsid w:val="00EB435A"/>
    <w:rsid w:val="00EB534B"/>
    <w:rsid w:val="00EB5413"/>
    <w:rsid w:val="00EB6317"/>
    <w:rsid w:val="00EB6D56"/>
    <w:rsid w:val="00EB732A"/>
    <w:rsid w:val="00EB75EC"/>
    <w:rsid w:val="00EC1193"/>
    <w:rsid w:val="00EC16A3"/>
    <w:rsid w:val="00EC1EDD"/>
    <w:rsid w:val="00EC20A2"/>
    <w:rsid w:val="00EC27B8"/>
    <w:rsid w:val="00EC3F0D"/>
    <w:rsid w:val="00EC409B"/>
    <w:rsid w:val="00EC51DE"/>
    <w:rsid w:val="00EC58ED"/>
    <w:rsid w:val="00EC60B6"/>
    <w:rsid w:val="00EC62F9"/>
    <w:rsid w:val="00EC70D3"/>
    <w:rsid w:val="00ED03DE"/>
    <w:rsid w:val="00ED0584"/>
    <w:rsid w:val="00ED27FE"/>
    <w:rsid w:val="00ED2B32"/>
    <w:rsid w:val="00ED42EC"/>
    <w:rsid w:val="00ED47F7"/>
    <w:rsid w:val="00ED5415"/>
    <w:rsid w:val="00ED575D"/>
    <w:rsid w:val="00ED6169"/>
    <w:rsid w:val="00ED6293"/>
    <w:rsid w:val="00ED6A9C"/>
    <w:rsid w:val="00ED760B"/>
    <w:rsid w:val="00ED7E1B"/>
    <w:rsid w:val="00EE0087"/>
    <w:rsid w:val="00EE2E1B"/>
    <w:rsid w:val="00EE39A0"/>
    <w:rsid w:val="00EE49C6"/>
    <w:rsid w:val="00EE5BDE"/>
    <w:rsid w:val="00EE7AA7"/>
    <w:rsid w:val="00EF096B"/>
    <w:rsid w:val="00EF1241"/>
    <w:rsid w:val="00EF13DE"/>
    <w:rsid w:val="00EF3683"/>
    <w:rsid w:val="00EF5D06"/>
    <w:rsid w:val="00EF7184"/>
    <w:rsid w:val="00EF7BD6"/>
    <w:rsid w:val="00F004AC"/>
    <w:rsid w:val="00F00DF6"/>
    <w:rsid w:val="00F0122A"/>
    <w:rsid w:val="00F01B74"/>
    <w:rsid w:val="00F01D82"/>
    <w:rsid w:val="00F02691"/>
    <w:rsid w:val="00F04C08"/>
    <w:rsid w:val="00F05F91"/>
    <w:rsid w:val="00F05FA5"/>
    <w:rsid w:val="00F0645C"/>
    <w:rsid w:val="00F065AF"/>
    <w:rsid w:val="00F07E96"/>
    <w:rsid w:val="00F106FF"/>
    <w:rsid w:val="00F12E53"/>
    <w:rsid w:val="00F13103"/>
    <w:rsid w:val="00F14992"/>
    <w:rsid w:val="00F154EC"/>
    <w:rsid w:val="00F15D72"/>
    <w:rsid w:val="00F241E8"/>
    <w:rsid w:val="00F2630B"/>
    <w:rsid w:val="00F30688"/>
    <w:rsid w:val="00F33D82"/>
    <w:rsid w:val="00F347A9"/>
    <w:rsid w:val="00F361E6"/>
    <w:rsid w:val="00F400E2"/>
    <w:rsid w:val="00F402DC"/>
    <w:rsid w:val="00F40FC8"/>
    <w:rsid w:val="00F4164D"/>
    <w:rsid w:val="00F421B9"/>
    <w:rsid w:val="00F4314C"/>
    <w:rsid w:val="00F431CA"/>
    <w:rsid w:val="00F431E6"/>
    <w:rsid w:val="00F44548"/>
    <w:rsid w:val="00F466F3"/>
    <w:rsid w:val="00F46EC9"/>
    <w:rsid w:val="00F473FE"/>
    <w:rsid w:val="00F47CB1"/>
    <w:rsid w:val="00F509AD"/>
    <w:rsid w:val="00F50A5E"/>
    <w:rsid w:val="00F51110"/>
    <w:rsid w:val="00F52F1D"/>
    <w:rsid w:val="00F5388A"/>
    <w:rsid w:val="00F546F3"/>
    <w:rsid w:val="00F54A97"/>
    <w:rsid w:val="00F54C8C"/>
    <w:rsid w:val="00F56152"/>
    <w:rsid w:val="00F60551"/>
    <w:rsid w:val="00F60F8A"/>
    <w:rsid w:val="00F62D67"/>
    <w:rsid w:val="00F63066"/>
    <w:rsid w:val="00F63DBF"/>
    <w:rsid w:val="00F64044"/>
    <w:rsid w:val="00F6485C"/>
    <w:rsid w:val="00F654C5"/>
    <w:rsid w:val="00F66C03"/>
    <w:rsid w:val="00F66FAE"/>
    <w:rsid w:val="00F71156"/>
    <w:rsid w:val="00F71318"/>
    <w:rsid w:val="00F7264F"/>
    <w:rsid w:val="00F72FD7"/>
    <w:rsid w:val="00F74828"/>
    <w:rsid w:val="00F75AE4"/>
    <w:rsid w:val="00F76BCF"/>
    <w:rsid w:val="00F76EEE"/>
    <w:rsid w:val="00F77655"/>
    <w:rsid w:val="00F82EBB"/>
    <w:rsid w:val="00F8729C"/>
    <w:rsid w:val="00F87B4A"/>
    <w:rsid w:val="00F87E7F"/>
    <w:rsid w:val="00F901F4"/>
    <w:rsid w:val="00F90495"/>
    <w:rsid w:val="00F90AF9"/>
    <w:rsid w:val="00F90F09"/>
    <w:rsid w:val="00F91898"/>
    <w:rsid w:val="00F9266B"/>
    <w:rsid w:val="00F92E76"/>
    <w:rsid w:val="00F92FC4"/>
    <w:rsid w:val="00F940EC"/>
    <w:rsid w:val="00F96DC6"/>
    <w:rsid w:val="00F97A70"/>
    <w:rsid w:val="00F97D6C"/>
    <w:rsid w:val="00FA0251"/>
    <w:rsid w:val="00FA1603"/>
    <w:rsid w:val="00FA4515"/>
    <w:rsid w:val="00FA46BC"/>
    <w:rsid w:val="00FA499B"/>
    <w:rsid w:val="00FA53CC"/>
    <w:rsid w:val="00FA61B5"/>
    <w:rsid w:val="00FA7230"/>
    <w:rsid w:val="00FA7F2A"/>
    <w:rsid w:val="00FB17D1"/>
    <w:rsid w:val="00FB2365"/>
    <w:rsid w:val="00FB2ECE"/>
    <w:rsid w:val="00FB3A71"/>
    <w:rsid w:val="00FB58EA"/>
    <w:rsid w:val="00FB7CD5"/>
    <w:rsid w:val="00FB7E47"/>
    <w:rsid w:val="00FC00B9"/>
    <w:rsid w:val="00FC14B6"/>
    <w:rsid w:val="00FC1D1F"/>
    <w:rsid w:val="00FC27D8"/>
    <w:rsid w:val="00FC2880"/>
    <w:rsid w:val="00FC46CF"/>
    <w:rsid w:val="00FC4B88"/>
    <w:rsid w:val="00FC5165"/>
    <w:rsid w:val="00FC52DF"/>
    <w:rsid w:val="00FC5B99"/>
    <w:rsid w:val="00FC6A84"/>
    <w:rsid w:val="00FD0EBB"/>
    <w:rsid w:val="00FD4819"/>
    <w:rsid w:val="00FD57FC"/>
    <w:rsid w:val="00FD6C42"/>
    <w:rsid w:val="00FE0142"/>
    <w:rsid w:val="00FE0582"/>
    <w:rsid w:val="00FE08A1"/>
    <w:rsid w:val="00FE13DC"/>
    <w:rsid w:val="00FE2FE6"/>
    <w:rsid w:val="00FE3AA1"/>
    <w:rsid w:val="00FE3AA3"/>
    <w:rsid w:val="00FE4FCD"/>
    <w:rsid w:val="00FE65C3"/>
    <w:rsid w:val="00FE68F7"/>
    <w:rsid w:val="00FE6D73"/>
    <w:rsid w:val="00FE7904"/>
    <w:rsid w:val="00FE7FA9"/>
    <w:rsid w:val="00FF04FF"/>
    <w:rsid w:val="00FF0CFF"/>
    <w:rsid w:val="00FF1A9D"/>
    <w:rsid w:val="00FF1DAA"/>
    <w:rsid w:val="00FF1F05"/>
    <w:rsid w:val="00FF3E9A"/>
    <w:rsid w:val="00FF4292"/>
    <w:rsid w:val="00FF4914"/>
    <w:rsid w:val="00FF5320"/>
    <w:rsid w:val="00FF564D"/>
    <w:rsid w:val="00FF65F7"/>
    <w:rsid w:val="00FF7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A5113"/>
  <w15:chartTrackingRefBased/>
  <w15:docId w15:val="{BDB27CD2-A08A-49C4-B700-B49694EE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48"/>
    <w:pPr>
      <w:jc w:val="both"/>
    </w:pPr>
    <w:rPr>
      <w:rFonts w:ascii="Arial" w:hAnsi="Arial"/>
      <w:sz w:val="24"/>
      <w:lang w:val="es-ES_tradnl" w:eastAsia="es-ES"/>
    </w:rPr>
  </w:style>
  <w:style w:type="paragraph" w:styleId="Ttulo1">
    <w:name w:val="heading 1"/>
    <w:basedOn w:val="Normal"/>
    <w:next w:val="Normal"/>
    <w:qFormat/>
    <w:pPr>
      <w:keepNext/>
      <w:numPr>
        <w:numId w:val="1"/>
      </w:numPr>
      <w:suppressAutoHyphens/>
      <w:spacing w:after="240"/>
      <w:outlineLvl w:val="0"/>
    </w:pPr>
    <w:rPr>
      <w:b/>
    </w:rPr>
  </w:style>
  <w:style w:type="paragraph" w:styleId="Ttulo2">
    <w:name w:val="heading 2"/>
    <w:basedOn w:val="Normal"/>
    <w:next w:val="Normal"/>
    <w:qFormat/>
    <w:pPr>
      <w:keepNext/>
      <w:numPr>
        <w:ilvl w:val="1"/>
        <w:numId w:val="2"/>
      </w:numPr>
      <w:spacing w:after="240"/>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DC1">
    <w:name w:val="toc 1"/>
    <w:basedOn w:val="Normal"/>
    <w:next w:val="Normal"/>
    <w:autoRedefine/>
    <w:uiPriority w:val="39"/>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rPr>
      <w:sz w:val="20"/>
    </w:rPr>
  </w:style>
  <w:style w:type="paragraph" w:styleId="Descripcin">
    <w:name w:val="caption"/>
    <w:aliases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paragraph" w:styleId="Prrafodelista">
    <w:name w:val="List Paragraph"/>
    <w:basedOn w:val="Normal"/>
    <w:link w:val="PrrafodelistaCar"/>
    <w:uiPriority w:val="34"/>
    <w:qFormat/>
    <w:rsid w:val="00D67207"/>
    <w:pPr>
      <w:ind w:left="720"/>
      <w:contextualSpacing/>
    </w:pPr>
  </w:style>
  <w:style w:type="table" w:styleId="Tablaconcuadrcula">
    <w:name w:val="Table Grid"/>
    <w:basedOn w:val="Tablanormal"/>
    <w:uiPriority w:val="59"/>
    <w:rsid w:val="003154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rsid w:val="0031544F"/>
    <w:rPr>
      <w:rFonts w:ascii="Arial" w:hAnsi="Arial"/>
      <w:sz w:val="24"/>
      <w:lang w:val="es-ES_tradnl" w:eastAsia="es-ES"/>
    </w:rPr>
  </w:style>
  <w:style w:type="paragraph" w:styleId="TtuloTDC">
    <w:name w:val="TOC Heading"/>
    <w:basedOn w:val="Ttulo1"/>
    <w:next w:val="Normal"/>
    <w:uiPriority w:val="39"/>
    <w:unhideWhenUsed/>
    <w:qFormat/>
    <w:rsid w:val="000F4842"/>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s-CO" w:eastAsia="es-CO"/>
    </w:rPr>
  </w:style>
  <w:style w:type="character" w:styleId="Hipervnculovisitado">
    <w:name w:val="FollowedHyperlink"/>
    <w:basedOn w:val="Fuentedeprrafopredeter"/>
    <w:uiPriority w:val="99"/>
    <w:semiHidden/>
    <w:unhideWhenUsed/>
    <w:rsid w:val="00A90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862984081077465E-2"/>
          <c:y val="8.3113030226060453E-2"/>
          <c:w val="0.95248143345809622"/>
          <c:h val="0.63367741935483868"/>
        </c:manualLayout>
      </c:layout>
      <c:barChart>
        <c:barDir val="col"/>
        <c:grouping val="clustered"/>
        <c:varyColors val="0"/>
        <c:ser>
          <c:idx val="0"/>
          <c:order val="0"/>
          <c:tx>
            <c:strRef>
              <c:f>'[230825 Revisión SICEP.xlsx]230830 Expo Cttos y Bolsa ADJUS'!$U$11</c:f>
              <c:strCache>
                <c:ptCount val="1"/>
                <c:pt idx="0">
                  <c:v>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500" b="0" i="0" u="none" strike="noStrike" kern="1200" baseline="0">
                    <a:solidFill>
                      <a:srgbClr val="BF9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'[230825 Revisión SICEP.xlsx]230830 Expo Cttos y Bolsa ADJUS'!$T$12:$T$49</c:f>
              <c:strCache>
                <c:ptCount val="38"/>
                <c:pt idx="0">
                  <c:v>ESOC</c:v>
                </c:pt>
                <c:pt idx="1">
                  <c:v>HIMC</c:v>
                </c:pt>
                <c:pt idx="2">
                  <c:v>RTQC</c:v>
                </c:pt>
                <c:pt idx="3">
                  <c:v>HLAC</c:v>
                </c:pt>
                <c:pt idx="4">
                  <c:v>EBPC</c:v>
                </c:pt>
                <c:pt idx="5">
                  <c:v>CQTC</c:v>
                </c:pt>
                <c:pt idx="6">
                  <c:v>CEOC</c:v>
                </c:pt>
                <c:pt idx="7">
                  <c:v>PEEC</c:v>
                </c:pt>
                <c:pt idx="8">
                  <c:v>NRCC</c:v>
                </c:pt>
                <c:pt idx="9">
                  <c:v>EDPC</c:v>
                </c:pt>
                <c:pt idx="10">
                  <c:v>ENIC</c:v>
                </c:pt>
                <c:pt idx="11">
                  <c:v>EDQC</c:v>
                </c:pt>
                <c:pt idx="12">
                  <c:v>CDNC</c:v>
                </c:pt>
                <c:pt idx="13">
                  <c:v>EMIC</c:v>
                </c:pt>
                <c:pt idx="14">
                  <c:v>EXEC</c:v>
                </c:pt>
                <c:pt idx="15">
                  <c:v>ENDC</c:v>
                </c:pt>
                <c:pt idx="16">
                  <c:v>QIEC</c:v>
                </c:pt>
                <c:pt idx="17">
                  <c:v>ESSC</c:v>
                </c:pt>
                <c:pt idx="18">
                  <c:v>EMPC</c:v>
                </c:pt>
                <c:pt idx="19">
                  <c:v>EEPC</c:v>
                </c:pt>
                <c:pt idx="20">
                  <c:v>DLRC</c:v>
                </c:pt>
                <c:pt idx="21">
                  <c:v>EBSC</c:v>
                </c:pt>
                <c:pt idx="22">
                  <c:v>EPTC</c:v>
                </c:pt>
                <c:pt idx="23">
                  <c:v>CNSC</c:v>
                </c:pt>
                <c:pt idx="24">
                  <c:v>BIAC</c:v>
                </c:pt>
                <c:pt idx="25">
                  <c:v>EMEC</c:v>
                </c:pt>
                <c:pt idx="26">
                  <c:v>EPMC</c:v>
                </c:pt>
                <c:pt idx="27">
                  <c:v>CMMC</c:v>
                </c:pt>
                <c:pt idx="28">
                  <c:v>NEUC</c:v>
                </c:pt>
                <c:pt idx="29">
                  <c:v>ENBC</c:v>
                </c:pt>
                <c:pt idx="30">
                  <c:v>EMSC</c:v>
                </c:pt>
                <c:pt idx="31">
                  <c:v>GNCC</c:v>
                </c:pt>
                <c:pt idx="32">
                  <c:v>CASC</c:v>
                </c:pt>
                <c:pt idx="33">
                  <c:v>CSSC</c:v>
                </c:pt>
                <c:pt idx="34">
                  <c:v>DCLC</c:v>
                </c:pt>
                <c:pt idx="35">
                  <c:v>CHCC</c:v>
                </c:pt>
                <c:pt idx="36">
                  <c:v>EPSC</c:v>
                </c:pt>
                <c:pt idx="37">
                  <c:v>TENC</c:v>
                </c:pt>
              </c:strCache>
            </c:strRef>
          </c:cat>
          <c:val>
            <c:numRef>
              <c:f>'[230825 Revisión SICEP.xlsx]230830 Expo Cttos y Bolsa ADJUS'!$U$12:$U$49</c:f>
              <c:numCache>
                <c:formatCode>0.0%</c:formatCode>
                <c:ptCount val="38"/>
                <c:pt idx="0">
                  <c:v>1</c:v>
                </c:pt>
                <c:pt idx="1">
                  <c:v>0.96075923970473998</c:v>
                </c:pt>
                <c:pt idx="2">
                  <c:v>0.61775986349247447</c:v>
                </c:pt>
                <c:pt idx="3">
                  <c:v>0.23860395458857042</c:v>
                </c:pt>
                <c:pt idx="4">
                  <c:v>8.80445311261982E-2</c:v>
                </c:pt>
                <c:pt idx="5">
                  <c:v>0.43472117737231669</c:v>
                </c:pt>
                <c:pt idx="6">
                  <c:v>0.15493326554008777</c:v>
                </c:pt>
                <c:pt idx="7">
                  <c:v>0.56233761373885927</c:v>
                </c:pt>
                <c:pt idx="8">
                  <c:v>0.30799066289224092</c:v>
                </c:pt>
                <c:pt idx="9">
                  <c:v>0.12707286896328188</c:v>
                </c:pt>
                <c:pt idx="10">
                  <c:v>0.27618215644905864</c:v>
                </c:pt>
                <c:pt idx="11">
                  <c:v>0.28830319350268069</c:v>
                </c:pt>
                <c:pt idx="12">
                  <c:v>0.1352626836495294</c:v>
                </c:pt>
                <c:pt idx="13">
                  <c:v>0.15757395519402315</c:v>
                </c:pt>
                <c:pt idx="14">
                  <c:v>0.99999999999999978</c:v>
                </c:pt>
                <c:pt idx="15">
                  <c:v>0.27217970970252492</c:v>
                </c:pt>
                <c:pt idx="16">
                  <c:v>0.28481778896033055</c:v>
                </c:pt>
                <c:pt idx="17">
                  <c:v>0.21008368851789541</c:v>
                </c:pt>
                <c:pt idx="18">
                  <c:v>4.9218376879685242E-2</c:v>
                </c:pt>
                <c:pt idx="19">
                  <c:v>0.19593292074397947</c:v>
                </c:pt>
                <c:pt idx="20">
                  <c:v>0.12625666076780964</c:v>
                </c:pt>
                <c:pt idx="21">
                  <c:v>0.15082614058494859</c:v>
                </c:pt>
                <c:pt idx="22">
                  <c:v>0.11231667166183779</c:v>
                </c:pt>
                <c:pt idx="23">
                  <c:v>0.17777216420799793</c:v>
                </c:pt>
                <c:pt idx="24">
                  <c:v>0.48720891863163118</c:v>
                </c:pt>
                <c:pt idx="25">
                  <c:v>0.25455046410093235</c:v>
                </c:pt>
                <c:pt idx="26">
                  <c:v>0.14942005673142753</c:v>
                </c:pt>
                <c:pt idx="27">
                  <c:v>0.16567637207388397</c:v>
                </c:pt>
                <c:pt idx="28">
                  <c:v>0.48986754598289428</c:v>
                </c:pt>
                <c:pt idx="29">
                  <c:v>0.71963280749506153</c:v>
                </c:pt>
                <c:pt idx="30">
                  <c:v>8.8729006165464655E-2</c:v>
                </c:pt>
                <c:pt idx="31">
                  <c:v>0.12194200834367826</c:v>
                </c:pt>
                <c:pt idx="32">
                  <c:v>0.13019960820671189</c:v>
                </c:pt>
                <c:pt idx="33">
                  <c:v>8.4377476495008916E-2</c:v>
                </c:pt>
                <c:pt idx="34">
                  <c:v>0.16787463381167433</c:v>
                </c:pt>
                <c:pt idx="35">
                  <c:v>0.3450294653141443</c:v>
                </c:pt>
                <c:pt idx="36">
                  <c:v>8.4376550374596779E-2</c:v>
                </c:pt>
                <c:pt idx="37">
                  <c:v>0.1714672980661707</c:v>
                </c:pt>
              </c:numCache>
            </c:numRef>
          </c:val>
          <c:extLst>
            <c:ext xmlns:c16="http://schemas.microsoft.com/office/drawing/2014/chart" uri="{C3380CC4-5D6E-409C-BE32-E72D297353CC}">
              <c16:uniqueId val="{00000000-9581-482C-98E8-6661DE2DF6F7}"/>
            </c:ext>
          </c:extLst>
        </c:ser>
        <c:ser>
          <c:idx val="1"/>
          <c:order val="1"/>
          <c:tx>
            <c:strRef>
              <c:f>'[230825 Revisión SICEP.xlsx]230830 Expo Cttos y Bolsa ADJUS'!$V$11</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'[230825 Revisión SICEP.xlsx]230830 Expo Cttos y Bolsa ADJUS'!$T$12:$T$49</c:f>
              <c:strCache>
                <c:ptCount val="38"/>
                <c:pt idx="0">
                  <c:v>ESOC</c:v>
                </c:pt>
                <c:pt idx="1">
                  <c:v>HIMC</c:v>
                </c:pt>
                <c:pt idx="2">
                  <c:v>RTQC</c:v>
                </c:pt>
                <c:pt idx="3">
                  <c:v>HLAC</c:v>
                </c:pt>
                <c:pt idx="4">
                  <c:v>EBPC</c:v>
                </c:pt>
                <c:pt idx="5">
                  <c:v>CQTC</c:v>
                </c:pt>
                <c:pt idx="6">
                  <c:v>CEOC</c:v>
                </c:pt>
                <c:pt idx="7">
                  <c:v>PEEC</c:v>
                </c:pt>
                <c:pt idx="8">
                  <c:v>NRCC</c:v>
                </c:pt>
                <c:pt idx="9">
                  <c:v>EDPC</c:v>
                </c:pt>
                <c:pt idx="10">
                  <c:v>ENIC</c:v>
                </c:pt>
                <c:pt idx="11">
                  <c:v>EDQC</c:v>
                </c:pt>
                <c:pt idx="12">
                  <c:v>CDNC</c:v>
                </c:pt>
                <c:pt idx="13">
                  <c:v>EMIC</c:v>
                </c:pt>
                <c:pt idx="14">
                  <c:v>EXEC</c:v>
                </c:pt>
                <c:pt idx="15">
                  <c:v>ENDC</c:v>
                </c:pt>
                <c:pt idx="16">
                  <c:v>QIEC</c:v>
                </c:pt>
                <c:pt idx="17">
                  <c:v>ESSC</c:v>
                </c:pt>
                <c:pt idx="18">
                  <c:v>EMPC</c:v>
                </c:pt>
                <c:pt idx="19">
                  <c:v>EEPC</c:v>
                </c:pt>
                <c:pt idx="20">
                  <c:v>DLRC</c:v>
                </c:pt>
                <c:pt idx="21">
                  <c:v>EBSC</c:v>
                </c:pt>
                <c:pt idx="22">
                  <c:v>EPTC</c:v>
                </c:pt>
                <c:pt idx="23">
                  <c:v>CNSC</c:v>
                </c:pt>
                <c:pt idx="24">
                  <c:v>BIAC</c:v>
                </c:pt>
                <c:pt idx="25">
                  <c:v>EMEC</c:v>
                </c:pt>
                <c:pt idx="26">
                  <c:v>EPMC</c:v>
                </c:pt>
                <c:pt idx="27">
                  <c:v>CMMC</c:v>
                </c:pt>
                <c:pt idx="28">
                  <c:v>NEUC</c:v>
                </c:pt>
                <c:pt idx="29">
                  <c:v>ENBC</c:v>
                </c:pt>
                <c:pt idx="30">
                  <c:v>EMSC</c:v>
                </c:pt>
                <c:pt idx="31">
                  <c:v>GNCC</c:v>
                </c:pt>
                <c:pt idx="32">
                  <c:v>CASC</c:v>
                </c:pt>
                <c:pt idx="33">
                  <c:v>CSSC</c:v>
                </c:pt>
                <c:pt idx="34">
                  <c:v>DCLC</c:v>
                </c:pt>
                <c:pt idx="35">
                  <c:v>CHCC</c:v>
                </c:pt>
                <c:pt idx="36">
                  <c:v>EPSC</c:v>
                </c:pt>
                <c:pt idx="37">
                  <c:v>TENC</c:v>
                </c:pt>
              </c:strCache>
            </c:strRef>
          </c:cat>
          <c:val>
            <c:numRef>
              <c:f>'[230825 Revisión SICEP.xlsx]230830 Expo Cttos y Bolsa ADJUS'!$V$12:$V$49</c:f>
              <c:numCache>
                <c:formatCode>0.0%</c:formatCode>
                <c:ptCount val="38"/>
                <c:pt idx="0">
                  <c:v>0.99999999999999978</c:v>
                </c:pt>
                <c:pt idx="1">
                  <c:v>0.95135252423201344</c:v>
                </c:pt>
                <c:pt idx="2">
                  <c:v>0.8727973557033063</c:v>
                </c:pt>
                <c:pt idx="3">
                  <c:v>0.63001847489974239</c:v>
                </c:pt>
                <c:pt idx="4">
                  <c:v>0.53193202125851335</c:v>
                </c:pt>
                <c:pt idx="5">
                  <c:v>0.42229155114327321</c:v>
                </c:pt>
                <c:pt idx="6">
                  <c:v>0.41754244884847291</c:v>
                </c:pt>
                <c:pt idx="7">
                  <c:v>0.40260255886133828</c:v>
                </c:pt>
                <c:pt idx="8">
                  <c:v>0.40095315988439451</c:v>
                </c:pt>
                <c:pt idx="9">
                  <c:v>0.40013883821611718</c:v>
                </c:pt>
                <c:pt idx="10">
                  <c:v>0.33193198566743709</c:v>
                </c:pt>
                <c:pt idx="11">
                  <c:v>0.33089748792161172</c:v>
                </c:pt>
                <c:pt idx="12">
                  <c:v>0.31542160093208821</c:v>
                </c:pt>
                <c:pt idx="13">
                  <c:v>0.31274463069751668</c:v>
                </c:pt>
                <c:pt idx="14">
                  <c:v>0.31167845397977473</c:v>
                </c:pt>
                <c:pt idx="15">
                  <c:v>0.31019562906946702</c:v>
                </c:pt>
                <c:pt idx="16">
                  <c:v>0.29864746109940749</c:v>
                </c:pt>
                <c:pt idx="17">
                  <c:v>0.29399520561485037</c:v>
                </c:pt>
                <c:pt idx="18">
                  <c:v>0.27075203858061153</c:v>
                </c:pt>
                <c:pt idx="19">
                  <c:v>0.25246416844718411</c:v>
                </c:pt>
                <c:pt idx="20">
                  <c:v>0.24727778427923244</c:v>
                </c:pt>
                <c:pt idx="21">
                  <c:v>0.23882845157627666</c:v>
                </c:pt>
                <c:pt idx="22">
                  <c:v>0.23867192689652103</c:v>
                </c:pt>
                <c:pt idx="23">
                  <c:v>0.22726333277046043</c:v>
                </c:pt>
                <c:pt idx="24">
                  <c:v>0.22586819602729361</c:v>
                </c:pt>
                <c:pt idx="25">
                  <c:v>0.2207161161378286</c:v>
                </c:pt>
                <c:pt idx="26">
                  <c:v>0.21456116000713921</c:v>
                </c:pt>
                <c:pt idx="27">
                  <c:v>0.21350165574357147</c:v>
                </c:pt>
                <c:pt idx="28">
                  <c:v>0.20155860002934575</c:v>
                </c:pt>
                <c:pt idx="29">
                  <c:v>0.20054517762856244</c:v>
                </c:pt>
                <c:pt idx="30">
                  <c:v>0.1876878171611675</c:v>
                </c:pt>
                <c:pt idx="31">
                  <c:v>0.18256966381121073</c:v>
                </c:pt>
                <c:pt idx="32">
                  <c:v>0.17793998815269191</c:v>
                </c:pt>
                <c:pt idx="33">
                  <c:v>0.17439196543550106</c:v>
                </c:pt>
                <c:pt idx="34">
                  <c:v>0.15629697057502551</c:v>
                </c:pt>
                <c:pt idx="35">
                  <c:v>0.15400953762539729</c:v>
                </c:pt>
                <c:pt idx="36">
                  <c:v>7.5651078589596951E-2</c:v>
                </c:pt>
                <c:pt idx="37">
                  <c:v>6.0599811338777169E-2</c:v>
                </c:pt>
              </c:numCache>
            </c:numRef>
          </c:val>
          <c:extLst>
            <c:ext xmlns:c16="http://schemas.microsoft.com/office/drawing/2014/chart" uri="{C3380CC4-5D6E-409C-BE32-E72D297353CC}">
              <c16:uniqueId val="{00000001-9581-482C-98E8-6661DE2DF6F7}"/>
            </c:ext>
          </c:extLst>
        </c:ser>
        <c:dLbls>
          <c:showLegendKey val="0"/>
          <c:showVal val="1"/>
          <c:showCatName val="0"/>
          <c:showSerName val="0"/>
          <c:showPercent val="0"/>
          <c:showBubbleSize val="0"/>
        </c:dLbls>
        <c:gapWidth val="50"/>
        <c:axId val="254438559"/>
        <c:axId val="1341330624"/>
      </c:barChart>
      <c:catAx>
        <c:axId val="254438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341330624"/>
        <c:crosses val="autoZero"/>
        <c:auto val="1"/>
        <c:lblAlgn val="ctr"/>
        <c:lblOffset val="100"/>
        <c:noMultiLvlLbl val="0"/>
      </c:catAx>
      <c:valAx>
        <c:axId val="13413306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54438559"/>
        <c:crosses val="autoZero"/>
        <c:crossBetween val="between"/>
      </c:valAx>
      <c:spPr>
        <a:noFill/>
        <a:ln>
          <a:noFill/>
        </a:ln>
        <a:effectLst/>
      </c:spPr>
    </c:plotArea>
    <c:legend>
      <c:legendPos val="b"/>
      <c:layout>
        <c:manualLayout>
          <c:xMode val="edge"/>
          <c:yMode val="edge"/>
          <c:x val="0.42363843659814016"/>
          <c:y val="0.86370477994482486"/>
          <c:w val="0.15272312680371966"/>
          <c:h val="0.128670363021244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2825896762905"/>
          <c:y val="5.5555555555555552E-2"/>
          <c:w val="0.87129396325459318"/>
          <c:h val="0.72094802252282553"/>
        </c:manualLayout>
      </c:layout>
      <c:barChart>
        <c:barDir val="col"/>
        <c:grouping val="clustered"/>
        <c:varyColors val="0"/>
        <c:ser>
          <c:idx val="0"/>
          <c:order val="1"/>
          <c:tx>
            <c:strRef>
              <c:f>'[230904 Revisión SICEP.xlsx]PIVOT Tiempos'!$I$8</c:f>
              <c:strCache>
                <c:ptCount val="1"/>
                <c:pt idx="0">
                  <c:v>DÍAS HÁBILES PROM. OBSERVADOS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Tiempos'!$G$34:$G$37</c:f>
              <c:numCache>
                <c:formatCode>General</c:formatCode>
                <c:ptCount val="4"/>
                <c:pt idx="0">
                  <c:v>2020</c:v>
                </c:pt>
                <c:pt idx="1">
                  <c:v>2021</c:v>
                </c:pt>
                <c:pt idx="2">
                  <c:v>2022</c:v>
                </c:pt>
                <c:pt idx="3">
                  <c:v>2023</c:v>
                </c:pt>
              </c:numCache>
            </c:numRef>
          </c:cat>
          <c:val>
            <c:numRef>
              <c:f>'[230904 Revisión SICEP.xlsx]PIVOT Tiempos'!$I$34:$I$37</c:f>
              <c:numCache>
                <c:formatCode>0.00</c:formatCode>
                <c:ptCount val="4"/>
                <c:pt idx="0">
                  <c:v>12.897058823529411</c:v>
                </c:pt>
                <c:pt idx="1">
                  <c:v>14.130434782608695</c:v>
                </c:pt>
                <c:pt idx="2">
                  <c:v>14.379310344827585</c:v>
                </c:pt>
                <c:pt idx="3">
                  <c:v>15.169230769230769</c:v>
                </c:pt>
              </c:numCache>
            </c:numRef>
          </c:val>
          <c:extLst>
            <c:ext xmlns:c16="http://schemas.microsoft.com/office/drawing/2014/chart" uri="{C3380CC4-5D6E-409C-BE32-E72D297353CC}">
              <c16:uniqueId val="{00000000-5249-4C3E-A040-2EA69882E1A3}"/>
            </c:ext>
          </c:extLst>
        </c:ser>
        <c:dLbls>
          <c:showLegendKey val="0"/>
          <c:showVal val="1"/>
          <c:showCatName val="0"/>
          <c:showSerName val="0"/>
          <c:showPercent val="0"/>
          <c:showBubbleSize val="0"/>
        </c:dLbls>
        <c:gapWidth val="91"/>
        <c:axId val="1512863440"/>
        <c:axId val="1710518959"/>
      </c:barChart>
      <c:lineChart>
        <c:grouping val="standard"/>
        <c:varyColors val="0"/>
        <c:ser>
          <c:idx val="2"/>
          <c:order val="0"/>
          <c:tx>
            <c:strRef>
              <c:f>'[230904 Revisión SICEP.xlsx]PIVOT Tiempos'!$H$8</c:f>
              <c:strCache>
                <c:ptCount val="1"/>
                <c:pt idx="0">
                  <c:v>LÍMITE R.130</c:v>
                </c:pt>
              </c:strCache>
            </c:strRef>
          </c:tx>
          <c:spPr>
            <a:ln w="28575" cap="rnd">
              <a:solidFill>
                <a:schemeClr val="accent4"/>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A-5249-4C3E-A040-2EA69882E1A3}"/>
                </c:ext>
              </c:extLst>
            </c:dLbl>
            <c:dLbl>
              <c:idx val="1"/>
              <c:delete val="1"/>
              <c:extLst>
                <c:ext xmlns:c15="http://schemas.microsoft.com/office/drawing/2012/chart" uri="{CE6537A1-D6FC-4f65-9D91-7224C49458BB}"/>
                <c:ext xmlns:c16="http://schemas.microsoft.com/office/drawing/2014/chart" uri="{C3380CC4-5D6E-409C-BE32-E72D297353CC}">
                  <c16:uniqueId val="{00000009-5249-4C3E-A040-2EA69882E1A3}"/>
                </c:ext>
              </c:extLst>
            </c:dLbl>
            <c:dLbl>
              <c:idx val="2"/>
              <c:delete val="1"/>
              <c:extLst>
                <c:ext xmlns:c15="http://schemas.microsoft.com/office/drawing/2012/chart" uri="{CE6537A1-D6FC-4f65-9D91-7224C49458BB}"/>
                <c:ext xmlns:c16="http://schemas.microsoft.com/office/drawing/2014/chart" uri="{C3380CC4-5D6E-409C-BE32-E72D297353CC}">
                  <c16:uniqueId val="{00000008-5249-4C3E-A040-2EA69882E1A3}"/>
                </c:ext>
              </c:extLst>
            </c:dLbl>
            <c:dLbl>
              <c:idx val="3"/>
              <c:layout>
                <c:manualLayout>
                  <c:x val="3.7124890638670166E-2"/>
                  <c:y val="-5.3047226700083302E-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49-4C3E-A040-2EA69882E1A3}"/>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FF0000"/>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Tiempos'!$G$34:$G$37</c:f>
              <c:numCache>
                <c:formatCode>General</c:formatCode>
                <c:ptCount val="4"/>
                <c:pt idx="0">
                  <c:v>2020</c:v>
                </c:pt>
                <c:pt idx="1">
                  <c:v>2021</c:v>
                </c:pt>
                <c:pt idx="2">
                  <c:v>2022</c:v>
                </c:pt>
                <c:pt idx="3">
                  <c:v>2023</c:v>
                </c:pt>
              </c:numCache>
            </c:numRef>
          </c:cat>
          <c:val>
            <c:numRef>
              <c:f>'[230904 Revisión SICEP.xlsx]PIVOT Tiempos'!$H$34:$H$37</c:f>
              <c:numCache>
                <c:formatCode>0</c:formatCode>
                <c:ptCount val="4"/>
                <c:pt idx="0">
                  <c:v>15</c:v>
                </c:pt>
                <c:pt idx="1">
                  <c:v>15</c:v>
                </c:pt>
                <c:pt idx="2">
                  <c:v>15</c:v>
                </c:pt>
                <c:pt idx="3">
                  <c:v>15</c:v>
                </c:pt>
              </c:numCache>
            </c:numRef>
          </c:val>
          <c:smooth val="0"/>
          <c:extLst>
            <c:ext xmlns:c16="http://schemas.microsoft.com/office/drawing/2014/chart" uri="{C3380CC4-5D6E-409C-BE32-E72D297353CC}">
              <c16:uniqueId val="{00000001-5249-4C3E-A040-2EA69882E1A3}"/>
            </c:ext>
          </c:extLst>
        </c:ser>
        <c:dLbls>
          <c:showLegendKey val="0"/>
          <c:showVal val="0"/>
          <c:showCatName val="0"/>
          <c:showSerName val="0"/>
          <c:showPercent val="0"/>
          <c:showBubbleSize val="0"/>
        </c:dLbls>
        <c:marker val="1"/>
        <c:smooth val="0"/>
        <c:axId val="1089572432"/>
        <c:axId val="1082476095"/>
      </c:lineChart>
      <c:catAx>
        <c:axId val="151286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10518959"/>
        <c:crosses val="autoZero"/>
        <c:auto val="1"/>
        <c:lblAlgn val="ctr"/>
        <c:lblOffset val="100"/>
        <c:noMultiLvlLbl val="0"/>
      </c:catAx>
      <c:valAx>
        <c:axId val="1710518959"/>
        <c:scaling>
          <c:orientation val="minMax"/>
        </c:scaling>
        <c:delete val="1"/>
        <c:axPos val="l"/>
        <c:numFmt formatCode="0" sourceLinked="0"/>
        <c:majorTickMark val="none"/>
        <c:minorTickMark val="none"/>
        <c:tickLblPos val="nextTo"/>
        <c:crossAx val="1512863440"/>
        <c:crosses val="autoZero"/>
        <c:crossBetween val="between"/>
      </c:valAx>
      <c:valAx>
        <c:axId val="1082476095"/>
        <c:scaling>
          <c:orientation val="minMax"/>
        </c:scaling>
        <c:delete val="1"/>
        <c:axPos val="r"/>
        <c:numFmt formatCode="0" sourceLinked="1"/>
        <c:majorTickMark val="out"/>
        <c:minorTickMark val="none"/>
        <c:tickLblPos val="nextTo"/>
        <c:crossAx val="1089572432"/>
        <c:crosses val="max"/>
        <c:crossBetween val="between"/>
      </c:valAx>
      <c:catAx>
        <c:axId val="1089572432"/>
        <c:scaling>
          <c:orientation val="minMax"/>
        </c:scaling>
        <c:delete val="1"/>
        <c:axPos val="b"/>
        <c:numFmt formatCode="General" sourceLinked="1"/>
        <c:majorTickMark val="out"/>
        <c:minorTickMark val="none"/>
        <c:tickLblPos val="nextTo"/>
        <c:crossAx val="1082476095"/>
        <c:crosses val="autoZero"/>
        <c:auto val="1"/>
        <c:lblAlgn val="ctr"/>
        <c:lblOffset val="100"/>
        <c:noMultiLvlLbl val="0"/>
      </c:catAx>
      <c:spPr>
        <a:noFill/>
        <a:ln>
          <a:noFill/>
        </a:ln>
        <a:effectLst/>
      </c:spPr>
    </c:plotArea>
    <c:legend>
      <c:legendPos val="r"/>
      <c:layout>
        <c:manualLayout>
          <c:xMode val="edge"/>
          <c:yMode val="edge"/>
          <c:x val="2.2734689413823301E-2"/>
          <c:y val="0.90201953922426381"/>
          <c:w val="0.96059864391950989"/>
          <c:h val="8.6987123404446226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'[230904 Revisión SICEP.xlsx]Senda compras propias'!$C$12</c:f>
              <c:strCache>
                <c:ptCount val="1"/>
                <c:pt idx="0">
                  <c:v>Contratación propia para mercado regulado</c:v>
                </c:pt>
              </c:strCache>
            </c:strRef>
          </c:tx>
          <c:spPr>
            <a:solidFill>
              <a:schemeClr val="accent1"/>
            </a:solidFill>
            <a:ln>
              <a:noFill/>
            </a:ln>
            <a:effectLst/>
          </c:spPr>
          <c:invertIfNegative val="0"/>
          <c:dPt>
            <c:idx val="0"/>
            <c:invertIfNegative val="0"/>
            <c:bubble3D val="0"/>
            <c:spPr>
              <a:solidFill>
                <a:schemeClr val="tx2">
                  <a:lumMod val="50000"/>
                </a:schemeClr>
              </a:solidFill>
              <a:ln>
                <a:noFill/>
              </a:ln>
              <a:effectLst/>
            </c:spPr>
            <c:extLst>
              <c:ext xmlns:c16="http://schemas.microsoft.com/office/drawing/2014/chart" uri="{C3380CC4-5D6E-409C-BE32-E72D297353CC}">
                <c16:uniqueId val="{00000001-72CC-403F-987A-652A62F64EAC}"/>
              </c:ext>
            </c:extLst>
          </c:dPt>
          <c:dPt>
            <c:idx val="1"/>
            <c:invertIfNegative val="0"/>
            <c:bubble3D val="0"/>
            <c:spPr>
              <a:solidFill>
                <a:schemeClr val="tx2">
                  <a:lumMod val="50000"/>
                </a:schemeClr>
              </a:solidFill>
              <a:ln>
                <a:noFill/>
              </a:ln>
              <a:effectLst/>
            </c:spPr>
            <c:extLst>
              <c:ext xmlns:c16="http://schemas.microsoft.com/office/drawing/2014/chart" uri="{C3380CC4-5D6E-409C-BE32-E72D297353CC}">
                <c16:uniqueId val="{00000003-72CC-403F-987A-652A62F64EAC}"/>
              </c:ext>
            </c:extLst>
          </c:dPt>
          <c:dPt>
            <c:idx val="3"/>
            <c:invertIfNegative val="0"/>
            <c:bubble3D val="0"/>
            <c:spPr>
              <a:solidFill>
                <a:srgbClr val="FFC000"/>
              </a:solidFill>
              <a:ln>
                <a:noFill/>
              </a:ln>
              <a:effectLst/>
            </c:spPr>
            <c:extLst>
              <c:ext xmlns:c16="http://schemas.microsoft.com/office/drawing/2014/chart" uri="{C3380CC4-5D6E-409C-BE32-E72D297353CC}">
                <c16:uniqueId val="{00000005-72CC-403F-987A-652A62F64EAC}"/>
              </c:ext>
            </c:extLst>
          </c:dPt>
          <c:dPt>
            <c:idx val="4"/>
            <c:invertIfNegative val="0"/>
            <c:bubble3D val="0"/>
            <c:spPr>
              <a:solidFill>
                <a:srgbClr val="FFC000"/>
              </a:solidFill>
              <a:ln>
                <a:noFill/>
              </a:ln>
              <a:effectLst/>
            </c:spPr>
            <c:extLst>
              <c:ext xmlns:c16="http://schemas.microsoft.com/office/drawing/2014/chart" uri="{C3380CC4-5D6E-409C-BE32-E72D297353CC}">
                <c16:uniqueId val="{00000007-72CC-403F-987A-652A62F64EAC}"/>
              </c:ext>
            </c:extLst>
          </c:dPt>
          <c:dPt>
            <c:idx val="5"/>
            <c:invertIfNegative val="0"/>
            <c:bubble3D val="0"/>
            <c:spPr>
              <a:solidFill>
                <a:srgbClr val="FFC000"/>
              </a:solidFill>
              <a:ln>
                <a:noFill/>
              </a:ln>
              <a:effectLst/>
            </c:spPr>
            <c:extLst>
              <c:ext xmlns:c16="http://schemas.microsoft.com/office/drawing/2014/chart" uri="{C3380CC4-5D6E-409C-BE32-E72D297353CC}">
                <c16:uniqueId val="{00000009-72CC-403F-987A-652A62F64EAC}"/>
              </c:ext>
            </c:extLst>
          </c:dPt>
          <c:dPt>
            <c:idx val="6"/>
            <c:invertIfNegative val="0"/>
            <c:bubble3D val="0"/>
            <c:spPr>
              <a:solidFill>
                <a:srgbClr val="FFC000"/>
              </a:solidFill>
              <a:ln>
                <a:noFill/>
              </a:ln>
              <a:effectLst/>
            </c:spPr>
            <c:extLst>
              <c:ext xmlns:c16="http://schemas.microsoft.com/office/drawing/2014/chart" uri="{C3380CC4-5D6E-409C-BE32-E72D297353CC}">
                <c16:uniqueId val="{0000000B-72CC-403F-987A-652A62F64EAC}"/>
              </c:ext>
            </c:extLst>
          </c:dPt>
          <c:dPt>
            <c:idx val="7"/>
            <c:invertIfNegative val="0"/>
            <c:bubble3D val="0"/>
            <c:spPr>
              <a:solidFill>
                <a:srgbClr val="00B050"/>
              </a:solidFill>
              <a:ln>
                <a:noFill/>
              </a:ln>
              <a:effectLst/>
            </c:spPr>
            <c:extLst>
              <c:ext xmlns:c16="http://schemas.microsoft.com/office/drawing/2014/chart" uri="{C3380CC4-5D6E-409C-BE32-E72D297353CC}">
                <c16:uniqueId val="{0000000D-72CC-403F-987A-652A62F64E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SICEP.xlsx]Senda compras propias'!$B$13:$B$20</c:f>
              <c:numCache>
                <c:formatCode>General</c:formatCode>
                <c:ptCount val="8"/>
                <c:pt idx="0">
                  <c:v>2020</c:v>
                </c:pt>
                <c:pt idx="1">
                  <c:v>2021</c:v>
                </c:pt>
                <c:pt idx="2">
                  <c:v>2022</c:v>
                </c:pt>
                <c:pt idx="3">
                  <c:v>2023</c:v>
                </c:pt>
                <c:pt idx="4">
                  <c:v>2024</c:v>
                </c:pt>
                <c:pt idx="5">
                  <c:v>2025</c:v>
                </c:pt>
                <c:pt idx="6">
                  <c:v>2026</c:v>
                </c:pt>
                <c:pt idx="7">
                  <c:v>2027</c:v>
                </c:pt>
              </c:numCache>
            </c:numRef>
          </c:cat>
          <c:val>
            <c:numRef>
              <c:f>'[230904 Revisión SICEP.xlsx]Senda compras propias'!$C$13:$C$20</c:f>
              <c:numCache>
                <c:formatCode>0%</c:formatCode>
                <c:ptCount val="8"/>
                <c:pt idx="0">
                  <c:v>0.5</c:v>
                </c:pt>
                <c:pt idx="1">
                  <c:v>0.5</c:v>
                </c:pt>
                <c:pt idx="2">
                  <c:v>0.4</c:v>
                </c:pt>
                <c:pt idx="3">
                  <c:v>0.2</c:v>
                </c:pt>
                <c:pt idx="4">
                  <c:v>0.2</c:v>
                </c:pt>
                <c:pt idx="5">
                  <c:v>0.2</c:v>
                </c:pt>
                <c:pt idx="6">
                  <c:v>0.2</c:v>
                </c:pt>
                <c:pt idx="7">
                  <c:v>0.1</c:v>
                </c:pt>
              </c:numCache>
            </c:numRef>
          </c:val>
          <c:extLst>
            <c:ext xmlns:c16="http://schemas.microsoft.com/office/drawing/2014/chart" uri="{C3380CC4-5D6E-409C-BE32-E72D297353CC}">
              <c16:uniqueId val="{0000000E-72CC-403F-987A-652A62F64EAC}"/>
            </c:ext>
          </c:extLst>
        </c:ser>
        <c:dLbls>
          <c:showLegendKey val="0"/>
          <c:showVal val="0"/>
          <c:showCatName val="0"/>
          <c:showSerName val="0"/>
          <c:showPercent val="0"/>
          <c:showBubbleSize val="0"/>
        </c:dLbls>
        <c:gapWidth val="0"/>
        <c:axId val="1673890239"/>
        <c:axId val="1082474655"/>
      </c:barChart>
      <c:catAx>
        <c:axId val="1673890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82474655"/>
        <c:crosses val="autoZero"/>
        <c:auto val="1"/>
        <c:lblAlgn val="ctr"/>
        <c:lblOffset val="100"/>
        <c:noMultiLvlLbl val="0"/>
      </c:catAx>
      <c:valAx>
        <c:axId val="1082474655"/>
        <c:scaling>
          <c:orientation val="minMax"/>
        </c:scaling>
        <c:delete val="1"/>
        <c:axPos val="l"/>
        <c:numFmt formatCode="0%" sourceLinked="1"/>
        <c:majorTickMark val="none"/>
        <c:minorTickMark val="none"/>
        <c:tickLblPos val="nextTo"/>
        <c:crossAx val="16738902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59240389069007E-2"/>
          <c:y val="6.6085911685190749E-2"/>
          <c:w val="0.9031538817828767"/>
          <c:h val="0.68991704964485323"/>
        </c:manualLayout>
      </c:layout>
      <c:barChart>
        <c:barDir val="col"/>
        <c:grouping val="clustered"/>
        <c:varyColors val="0"/>
        <c:ser>
          <c:idx val="0"/>
          <c:order val="0"/>
          <c:tx>
            <c:strRef>
              <c:f>'[230825 Revisión SICEP.xlsx]230830 Expo Cttos y Bolsa ADJUS'!$Z$11</c:f>
              <c:strCache>
                <c:ptCount val="1"/>
                <c:pt idx="0">
                  <c:v>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500" b="1" i="0" u="none" strike="noStrike" kern="1200" baseline="0">
                    <a:solidFill>
                      <a:srgbClr val="BF9000"/>
                    </a:solidFill>
                    <a:effectLst/>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'[230825 Revisión SICEP.xlsx]230830 Expo Cttos y Bolsa ADJUS'!$Y$12:$Y$38</c:f>
              <c:strCache>
                <c:ptCount val="27"/>
                <c:pt idx="0">
                  <c:v>RPEC</c:v>
                </c:pt>
                <c:pt idx="1">
                  <c:v>EMIC</c:v>
                </c:pt>
                <c:pt idx="2">
                  <c:v>GSAC</c:v>
                </c:pt>
                <c:pt idx="3">
                  <c:v>EEPC</c:v>
                </c:pt>
                <c:pt idx="4">
                  <c:v>PEEC</c:v>
                </c:pt>
                <c:pt idx="5">
                  <c:v>NMRC</c:v>
                </c:pt>
                <c:pt idx="6">
                  <c:v>GNYC</c:v>
                </c:pt>
                <c:pt idx="7">
                  <c:v>VESC</c:v>
                </c:pt>
                <c:pt idx="8">
                  <c:v>ENDC</c:v>
                </c:pt>
                <c:pt idx="9">
                  <c:v>DLRC</c:v>
                </c:pt>
                <c:pt idx="10">
                  <c:v>TRPC</c:v>
                </c:pt>
                <c:pt idx="11">
                  <c:v>RTQC</c:v>
                </c:pt>
                <c:pt idx="12">
                  <c:v>GECC</c:v>
                </c:pt>
                <c:pt idx="13">
                  <c:v>FREC</c:v>
                </c:pt>
                <c:pt idx="14">
                  <c:v>EPMC</c:v>
                </c:pt>
                <c:pt idx="15">
                  <c:v>DCLC</c:v>
                </c:pt>
                <c:pt idx="16">
                  <c:v>TPLC</c:v>
                </c:pt>
                <c:pt idx="17">
                  <c:v>RTAC</c:v>
                </c:pt>
                <c:pt idx="18">
                  <c:v>FERC</c:v>
                </c:pt>
                <c:pt idx="19">
                  <c:v>ITLC</c:v>
                </c:pt>
                <c:pt idx="20">
                  <c:v>GAPC</c:v>
                </c:pt>
                <c:pt idx="21">
                  <c:v>CETC</c:v>
                </c:pt>
                <c:pt idx="22">
                  <c:v>EMEC</c:v>
                </c:pt>
                <c:pt idx="23">
                  <c:v>EPSC</c:v>
                </c:pt>
                <c:pt idx="24">
                  <c:v>CHVC</c:v>
                </c:pt>
                <c:pt idx="25">
                  <c:v>CBNC</c:v>
                </c:pt>
                <c:pt idx="26">
                  <c:v>CMXC</c:v>
                </c:pt>
              </c:strCache>
            </c:strRef>
          </c:cat>
          <c:val>
            <c:numRef>
              <c:f>'[230825 Revisión SICEP.xlsx]230830 Expo Cttos y Bolsa ADJUS'!$Z$12:$Z$38</c:f>
              <c:numCache>
                <c:formatCode>0.0%</c:formatCode>
                <c:ptCount val="27"/>
                <c:pt idx="0">
                  <c:v>1</c:v>
                </c:pt>
                <c:pt idx="1">
                  <c:v>0.44450754660241759</c:v>
                </c:pt>
                <c:pt idx="2">
                  <c:v>1</c:v>
                </c:pt>
                <c:pt idx="3">
                  <c:v>0.66849106660422375</c:v>
                </c:pt>
                <c:pt idx="5">
                  <c:v>0.21318758917584535</c:v>
                </c:pt>
                <c:pt idx="6">
                  <c:v>0.72980216025994127</c:v>
                </c:pt>
                <c:pt idx="7">
                  <c:v>0.41906813963816147</c:v>
                </c:pt>
                <c:pt idx="8">
                  <c:v>0.59131419654154771</c:v>
                </c:pt>
                <c:pt idx="9">
                  <c:v>0.25331827996475748</c:v>
                </c:pt>
                <c:pt idx="10">
                  <c:v>9.2408361329850822E-2</c:v>
                </c:pt>
                <c:pt idx="11">
                  <c:v>0.27025460821972996</c:v>
                </c:pt>
                <c:pt idx="12">
                  <c:v>0.37377308169720147</c:v>
                </c:pt>
                <c:pt idx="13">
                  <c:v>0.53802912764953159</c:v>
                </c:pt>
                <c:pt idx="14">
                  <c:v>0.2252411458287453</c:v>
                </c:pt>
                <c:pt idx="15">
                  <c:v>0.34035116474348781</c:v>
                </c:pt>
                <c:pt idx="16">
                  <c:v>0.36941346137900949</c:v>
                </c:pt>
                <c:pt idx="17">
                  <c:v>0.26231053425440354</c:v>
                </c:pt>
                <c:pt idx="19">
                  <c:v>0.15137972148875459</c:v>
                </c:pt>
                <c:pt idx="20">
                  <c:v>0.4837635230714829</c:v>
                </c:pt>
                <c:pt idx="22">
                  <c:v>0.13662808440469634</c:v>
                </c:pt>
                <c:pt idx="23">
                  <c:v>0.12956408169821151</c:v>
                </c:pt>
                <c:pt idx="24">
                  <c:v>0.15363657796292401</c:v>
                </c:pt>
                <c:pt idx="25">
                  <c:v>7.2297084761673291E-2</c:v>
                </c:pt>
                <c:pt idx="26">
                  <c:v>0.6052107583476628</c:v>
                </c:pt>
              </c:numCache>
            </c:numRef>
          </c:val>
          <c:extLst>
            <c:ext xmlns:c16="http://schemas.microsoft.com/office/drawing/2014/chart" uri="{C3380CC4-5D6E-409C-BE32-E72D297353CC}">
              <c16:uniqueId val="{00000000-2B8D-45F8-B303-C435F39C3C81}"/>
            </c:ext>
          </c:extLst>
        </c:ser>
        <c:ser>
          <c:idx val="1"/>
          <c:order val="1"/>
          <c:tx>
            <c:strRef>
              <c:f>'[230825 Revisión SICEP.xlsx]230830 Expo Cttos y Bolsa ADJUS'!$AA$11</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'[230825 Revisión SICEP.xlsx]230830 Expo Cttos y Bolsa ADJUS'!$Y$12:$Y$38</c:f>
              <c:strCache>
                <c:ptCount val="27"/>
                <c:pt idx="0">
                  <c:v>RPEC</c:v>
                </c:pt>
                <c:pt idx="1">
                  <c:v>EMIC</c:v>
                </c:pt>
                <c:pt idx="2">
                  <c:v>GSAC</c:v>
                </c:pt>
                <c:pt idx="3">
                  <c:v>EEPC</c:v>
                </c:pt>
                <c:pt idx="4">
                  <c:v>PEEC</c:v>
                </c:pt>
                <c:pt idx="5">
                  <c:v>NMRC</c:v>
                </c:pt>
                <c:pt idx="6">
                  <c:v>GNYC</c:v>
                </c:pt>
                <c:pt idx="7">
                  <c:v>VESC</c:v>
                </c:pt>
                <c:pt idx="8">
                  <c:v>ENDC</c:v>
                </c:pt>
                <c:pt idx="9">
                  <c:v>DLRC</c:v>
                </c:pt>
                <c:pt idx="10">
                  <c:v>TRPC</c:v>
                </c:pt>
                <c:pt idx="11">
                  <c:v>RTQC</c:v>
                </c:pt>
                <c:pt idx="12">
                  <c:v>GECC</c:v>
                </c:pt>
                <c:pt idx="13">
                  <c:v>FREC</c:v>
                </c:pt>
                <c:pt idx="14">
                  <c:v>EPMC</c:v>
                </c:pt>
                <c:pt idx="15">
                  <c:v>DCLC</c:v>
                </c:pt>
                <c:pt idx="16">
                  <c:v>TPLC</c:v>
                </c:pt>
                <c:pt idx="17">
                  <c:v>RTAC</c:v>
                </c:pt>
                <c:pt idx="18">
                  <c:v>FERC</c:v>
                </c:pt>
                <c:pt idx="19">
                  <c:v>ITLC</c:v>
                </c:pt>
                <c:pt idx="20">
                  <c:v>GAPC</c:v>
                </c:pt>
                <c:pt idx="21">
                  <c:v>CETC</c:v>
                </c:pt>
                <c:pt idx="22">
                  <c:v>EMEC</c:v>
                </c:pt>
                <c:pt idx="23">
                  <c:v>EPSC</c:v>
                </c:pt>
                <c:pt idx="24">
                  <c:v>CHVC</c:v>
                </c:pt>
                <c:pt idx="25">
                  <c:v>CBNC</c:v>
                </c:pt>
                <c:pt idx="26">
                  <c:v>CMXC</c:v>
                </c:pt>
              </c:strCache>
            </c:strRef>
          </c:cat>
          <c:val>
            <c:numRef>
              <c:f>'[230825 Revisión SICEP.xlsx]230830 Expo Cttos y Bolsa ADJUS'!$AA$12:$AA$38</c:f>
              <c:numCache>
                <c:formatCode>0.0%</c:formatCode>
                <c:ptCount val="27"/>
                <c:pt idx="0">
                  <c:v>1.0000000000000002</c:v>
                </c:pt>
                <c:pt idx="1">
                  <c:v>0.88077872159977455</c:v>
                </c:pt>
                <c:pt idx="2">
                  <c:v>0.80348624369913557</c:v>
                </c:pt>
                <c:pt idx="3">
                  <c:v>0.79053604923038057</c:v>
                </c:pt>
                <c:pt idx="4">
                  <c:v>0.78664656513203912</c:v>
                </c:pt>
                <c:pt idx="5">
                  <c:v>0.76737429080066755</c:v>
                </c:pt>
                <c:pt idx="6">
                  <c:v>0.74678780813359735</c:v>
                </c:pt>
                <c:pt idx="7">
                  <c:v>0.70027447618829841</c:v>
                </c:pt>
                <c:pt idx="8">
                  <c:v>0.67675469106552522</c:v>
                </c:pt>
                <c:pt idx="9">
                  <c:v>0.57866074591980221</c:v>
                </c:pt>
                <c:pt idx="10">
                  <c:v>0.53810660899701346</c:v>
                </c:pt>
                <c:pt idx="11">
                  <c:v>0.47999030698486606</c:v>
                </c:pt>
                <c:pt idx="12">
                  <c:v>0.44333188637412979</c:v>
                </c:pt>
                <c:pt idx="13">
                  <c:v>0.38232508397768616</c:v>
                </c:pt>
                <c:pt idx="14">
                  <c:v>0.35408921696847273</c:v>
                </c:pt>
                <c:pt idx="15">
                  <c:v>0.2965098688523784</c:v>
                </c:pt>
                <c:pt idx="16">
                  <c:v>0.29446616838200768</c:v>
                </c:pt>
                <c:pt idx="17">
                  <c:v>0.26284298483103891</c:v>
                </c:pt>
                <c:pt idx="18">
                  <c:v>0.20625307971210699</c:v>
                </c:pt>
                <c:pt idx="19">
                  <c:v>0.17579210047412236</c:v>
                </c:pt>
                <c:pt idx="20">
                  <c:v>0.1695369251244393</c:v>
                </c:pt>
                <c:pt idx="21">
                  <c:v>0.15677600968206154</c:v>
                </c:pt>
                <c:pt idx="22">
                  <c:v>0.13135493673231916</c:v>
                </c:pt>
                <c:pt idx="23">
                  <c:v>0.12070224594861122</c:v>
                </c:pt>
                <c:pt idx="24">
                  <c:v>9.8575676553612324E-2</c:v>
                </c:pt>
                <c:pt idx="25">
                  <c:v>9.2794218299793965E-2</c:v>
                </c:pt>
                <c:pt idx="26">
                  <c:v>7.3900981268788923E-3</c:v>
                </c:pt>
              </c:numCache>
            </c:numRef>
          </c:val>
          <c:extLst>
            <c:ext xmlns:c16="http://schemas.microsoft.com/office/drawing/2014/chart" uri="{C3380CC4-5D6E-409C-BE32-E72D297353CC}">
              <c16:uniqueId val="{00000001-2B8D-45F8-B303-C435F39C3C81}"/>
            </c:ext>
          </c:extLst>
        </c:ser>
        <c:dLbls>
          <c:showLegendKey val="0"/>
          <c:showVal val="1"/>
          <c:showCatName val="0"/>
          <c:showSerName val="0"/>
          <c:showPercent val="0"/>
          <c:showBubbleSize val="0"/>
        </c:dLbls>
        <c:gapWidth val="50"/>
        <c:axId val="198866495"/>
        <c:axId val="941928256"/>
      </c:barChart>
      <c:catAx>
        <c:axId val="198866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941928256"/>
        <c:crosses val="autoZero"/>
        <c:auto val="1"/>
        <c:lblAlgn val="ctr"/>
        <c:lblOffset val="100"/>
        <c:noMultiLvlLbl val="0"/>
      </c:catAx>
      <c:valAx>
        <c:axId val="9419282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98866495"/>
        <c:crosses val="autoZero"/>
        <c:crossBetween val="between"/>
      </c:valAx>
      <c:spPr>
        <a:noFill/>
        <a:ln>
          <a:noFill/>
        </a:ln>
        <a:effectLst/>
      </c:spPr>
    </c:plotArea>
    <c:legend>
      <c:legendPos val="b"/>
      <c:layout>
        <c:manualLayout>
          <c:xMode val="edge"/>
          <c:yMode val="edge"/>
          <c:x val="0.42363843659814016"/>
          <c:y val="0.87458625346809127"/>
          <c:w val="0.15272312680371966"/>
          <c:h val="9.5374695765912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'[230904 Revisión SICEP.xlsx]PIVOT2 Convocatorias SICEP'!$I$3</c:f>
              <c:strCache>
                <c:ptCount val="1"/>
                <c:pt idx="0">
                  <c:v>Promedio de OFERTAS RECIBIDAS</c:v>
                </c:pt>
              </c:strCache>
            </c:strRef>
          </c:tx>
          <c:spPr>
            <a:solidFill>
              <a:schemeClr val="accent1"/>
            </a:solidFill>
            <a:ln>
              <a:noFill/>
            </a:ln>
            <a:effectLst/>
          </c:spPr>
          <c:invertIfNegative val="0"/>
          <c:dLbls>
            <c:dLbl>
              <c:idx val="3"/>
              <c:layout>
                <c:manualLayout>
                  <c:x val="-8.6243074432782728E-17"/>
                  <c:y val="0.166429575625559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DE-4E3B-8046-74C1CFE8A639}"/>
                </c:ext>
              </c:extLst>
            </c:dLbl>
            <c:numFmt formatCode="#,##0.0"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SICEP.xlsx]PIVOT2 Convocatorias SICEP'!$H$4:$H$7</c:f>
              <c:numCache>
                <c:formatCode>General</c:formatCode>
                <c:ptCount val="4"/>
                <c:pt idx="0">
                  <c:v>2020</c:v>
                </c:pt>
                <c:pt idx="1">
                  <c:v>2021</c:v>
                </c:pt>
                <c:pt idx="2">
                  <c:v>2022</c:v>
                </c:pt>
                <c:pt idx="3">
                  <c:v>2023</c:v>
                </c:pt>
              </c:numCache>
            </c:numRef>
          </c:cat>
          <c:val>
            <c:numRef>
              <c:f>'[230904 Revisión SICEP.xlsx]PIVOT2 Convocatorias SICEP'!$I$4:$I$7</c:f>
              <c:numCache>
                <c:formatCode>_(* #,##0.00_);_(* \(#,##0.00\);_(* "-"??_);_(@_)</c:formatCode>
                <c:ptCount val="4"/>
                <c:pt idx="0">
                  <c:v>8.1428571428571423</c:v>
                </c:pt>
                <c:pt idx="1">
                  <c:v>11.74</c:v>
                </c:pt>
                <c:pt idx="2">
                  <c:v>7.9821428571428568</c:v>
                </c:pt>
                <c:pt idx="3">
                  <c:v>4.458333333333333</c:v>
                </c:pt>
              </c:numCache>
            </c:numRef>
          </c:val>
          <c:extLst>
            <c:ext xmlns:c16="http://schemas.microsoft.com/office/drawing/2014/chart" uri="{C3380CC4-5D6E-409C-BE32-E72D297353CC}">
              <c16:uniqueId val="{00000000-DD14-4EA1-872A-676447117150}"/>
            </c:ext>
          </c:extLst>
        </c:ser>
        <c:ser>
          <c:idx val="1"/>
          <c:order val="1"/>
          <c:tx>
            <c:strRef>
              <c:f>'[230904 Revisión SICEP.xlsx]PIVOT2 Convocatorias SICEP'!$J$3</c:f>
              <c:strCache>
                <c:ptCount val="1"/>
                <c:pt idx="0">
                  <c:v>Promedio de OFERTAS ADJUDICADAS</c:v>
                </c:pt>
              </c:strCache>
            </c:strRef>
          </c:tx>
          <c:spPr>
            <a:solidFill>
              <a:schemeClr val="accent2"/>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SICEP.xlsx]PIVOT2 Convocatorias SICEP'!$H$4:$H$7</c:f>
              <c:numCache>
                <c:formatCode>General</c:formatCode>
                <c:ptCount val="4"/>
                <c:pt idx="0">
                  <c:v>2020</c:v>
                </c:pt>
                <c:pt idx="1">
                  <c:v>2021</c:v>
                </c:pt>
                <c:pt idx="2">
                  <c:v>2022</c:v>
                </c:pt>
                <c:pt idx="3">
                  <c:v>2023</c:v>
                </c:pt>
              </c:numCache>
            </c:numRef>
          </c:cat>
          <c:val>
            <c:numRef>
              <c:f>'[230904 Revisión SICEP.xlsx]PIVOT2 Convocatorias SICEP'!$J$4:$J$7</c:f>
              <c:numCache>
                <c:formatCode>_(* #,##0.00_);_(* \(#,##0.00\);_(* "-"??_);_(@_)</c:formatCode>
                <c:ptCount val="4"/>
                <c:pt idx="0">
                  <c:v>3.9795918367346941</c:v>
                </c:pt>
                <c:pt idx="1">
                  <c:v>5.18</c:v>
                </c:pt>
                <c:pt idx="2">
                  <c:v>3.3571428571428572</c:v>
                </c:pt>
                <c:pt idx="3">
                  <c:v>2.375</c:v>
                </c:pt>
              </c:numCache>
            </c:numRef>
          </c:val>
          <c:extLst>
            <c:ext xmlns:c16="http://schemas.microsoft.com/office/drawing/2014/chart" uri="{C3380CC4-5D6E-409C-BE32-E72D297353CC}">
              <c16:uniqueId val="{00000001-DD14-4EA1-872A-676447117150}"/>
            </c:ext>
          </c:extLst>
        </c:ser>
        <c:dLbls>
          <c:showLegendKey val="0"/>
          <c:showVal val="1"/>
          <c:showCatName val="0"/>
          <c:showSerName val="0"/>
          <c:showPercent val="0"/>
          <c:showBubbleSize val="0"/>
        </c:dLbls>
        <c:gapWidth val="219"/>
        <c:axId val="1273009967"/>
        <c:axId val="1082475135"/>
      </c:barChart>
      <c:lineChart>
        <c:grouping val="standard"/>
        <c:varyColors val="0"/>
        <c:ser>
          <c:idx val="2"/>
          <c:order val="2"/>
          <c:tx>
            <c:strRef>
              <c:f>'[230904 Revisión SICEP.xlsx]PIVOT2 Convocatorias SICEP'!$K$3</c:f>
              <c:strCache>
                <c:ptCount val="1"/>
                <c:pt idx="0">
                  <c:v>Número de convocatorias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SICEP.xlsx]PIVOT2 Convocatorias SICEP'!$H$4:$H$7</c:f>
              <c:numCache>
                <c:formatCode>General</c:formatCode>
                <c:ptCount val="4"/>
                <c:pt idx="0">
                  <c:v>2020</c:v>
                </c:pt>
                <c:pt idx="1">
                  <c:v>2021</c:v>
                </c:pt>
                <c:pt idx="2">
                  <c:v>2022</c:v>
                </c:pt>
                <c:pt idx="3">
                  <c:v>2023</c:v>
                </c:pt>
              </c:numCache>
            </c:numRef>
          </c:cat>
          <c:val>
            <c:numRef>
              <c:f>'[230904 Revisión SICEP.xlsx]PIVOT2 Convocatorias SICEP'!$K$4:$K$7</c:f>
              <c:numCache>
                <c:formatCode>General</c:formatCode>
                <c:ptCount val="4"/>
                <c:pt idx="0">
                  <c:v>75</c:v>
                </c:pt>
                <c:pt idx="1">
                  <c:v>72</c:v>
                </c:pt>
                <c:pt idx="2">
                  <c:v>97</c:v>
                </c:pt>
                <c:pt idx="3">
                  <c:v>73</c:v>
                </c:pt>
              </c:numCache>
            </c:numRef>
          </c:val>
          <c:smooth val="0"/>
          <c:extLst>
            <c:ext xmlns:c16="http://schemas.microsoft.com/office/drawing/2014/chart" uri="{C3380CC4-5D6E-409C-BE32-E72D297353CC}">
              <c16:uniqueId val="{00000002-DD14-4EA1-872A-676447117150}"/>
            </c:ext>
          </c:extLst>
        </c:ser>
        <c:dLbls>
          <c:showLegendKey val="0"/>
          <c:showVal val="1"/>
          <c:showCatName val="0"/>
          <c:showSerName val="0"/>
          <c:showPercent val="0"/>
          <c:showBubbleSize val="0"/>
        </c:dLbls>
        <c:marker val="1"/>
        <c:smooth val="0"/>
        <c:axId val="1083635391"/>
        <c:axId val="828238703"/>
      </c:lineChart>
      <c:catAx>
        <c:axId val="1273009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82475135"/>
        <c:crosses val="autoZero"/>
        <c:auto val="1"/>
        <c:lblAlgn val="ctr"/>
        <c:lblOffset val="100"/>
        <c:noMultiLvlLbl val="0"/>
      </c:catAx>
      <c:valAx>
        <c:axId val="1082475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Promedio de participantes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73009967"/>
        <c:crosses val="autoZero"/>
        <c:crossBetween val="between"/>
      </c:valAx>
      <c:valAx>
        <c:axId val="82823870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Número de convocatorias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83635391"/>
        <c:crosses val="max"/>
        <c:crossBetween val="between"/>
      </c:valAx>
      <c:catAx>
        <c:axId val="1083635391"/>
        <c:scaling>
          <c:orientation val="minMax"/>
        </c:scaling>
        <c:delete val="1"/>
        <c:axPos val="b"/>
        <c:numFmt formatCode="General" sourceLinked="1"/>
        <c:majorTickMark val="out"/>
        <c:minorTickMark val="none"/>
        <c:tickLblPos val="nextTo"/>
        <c:crossAx val="828238703"/>
        <c:crosses val="autoZero"/>
        <c:auto val="1"/>
        <c:lblAlgn val="ctr"/>
        <c:lblOffset val="100"/>
        <c:noMultiLvlLbl val="0"/>
      </c:catAx>
      <c:spPr>
        <a:noFill/>
        <a:ln>
          <a:noFill/>
        </a:ln>
        <a:effectLst/>
      </c:spPr>
    </c:plotArea>
    <c:legend>
      <c:legendPos val="b"/>
      <c:layout>
        <c:manualLayout>
          <c:xMode val="edge"/>
          <c:yMode val="edge"/>
          <c:x val="0.1440703810222034"/>
          <c:y val="0.73006184742080138"/>
          <c:w val="0.75973607116673736"/>
          <c:h val="0.227595174456403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'[230904 Revisión SICEP.xlsx]PIVOT Convocatorias SICEP'!$L$37</c:f>
              <c:strCache>
                <c:ptCount val="1"/>
                <c:pt idx="0">
                  <c:v>PORCENTAJE DE ENERGIA ADJUDICADA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Convocatorias SICEP'!$K$38:$K$41</c:f>
              <c:numCache>
                <c:formatCode>General</c:formatCode>
                <c:ptCount val="4"/>
                <c:pt idx="0">
                  <c:v>2020</c:v>
                </c:pt>
                <c:pt idx="1">
                  <c:v>2021</c:v>
                </c:pt>
                <c:pt idx="2">
                  <c:v>2022</c:v>
                </c:pt>
                <c:pt idx="3">
                  <c:v>2023</c:v>
                </c:pt>
              </c:numCache>
            </c:numRef>
          </c:cat>
          <c:val>
            <c:numRef>
              <c:f>'[230904 Revisión SICEP.xlsx]PIVOT Convocatorias SICEP'!$L$38:$L$41</c:f>
              <c:numCache>
                <c:formatCode>0.0%</c:formatCode>
                <c:ptCount val="4"/>
                <c:pt idx="0">
                  <c:v>0.56606129437123665</c:v>
                </c:pt>
                <c:pt idx="1">
                  <c:v>0.66360153322548632</c:v>
                </c:pt>
                <c:pt idx="2">
                  <c:v>0.75905655592194166</c:v>
                </c:pt>
                <c:pt idx="3">
                  <c:v>0.68151377481284992</c:v>
                </c:pt>
              </c:numCache>
            </c:numRef>
          </c:val>
          <c:extLst>
            <c:ext xmlns:c16="http://schemas.microsoft.com/office/drawing/2014/chart" uri="{C3380CC4-5D6E-409C-BE32-E72D297353CC}">
              <c16:uniqueId val="{00000000-B318-4B22-964E-C1F39403FF96}"/>
            </c:ext>
          </c:extLst>
        </c:ser>
        <c:dLbls>
          <c:dLblPos val="outEnd"/>
          <c:showLegendKey val="0"/>
          <c:showVal val="1"/>
          <c:showCatName val="0"/>
          <c:showSerName val="0"/>
          <c:showPercent val="0"/>
          <c:showBubbleSize val="0"/>
        </c:dLbls>
        <c:gapWidth val="40"/>
        <c:overlap val="-27"/>
        <c:axId val="1661009312"/>
        <c:axId val="1429462048"/>
      </c:barChart>
      <c:catAx>
        <c:axId val="166100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9462048"/>
        <c:crosses val="autoZero"/>
        <c:auto val="1"/>
        <c:lblAlgn val="ctr"/>
        <c:lblOffset val="100"/>
        <c:noMultiLvlLbl val="0"/>
      </c:catAx>
      <c:valAx>
        <c:axId val="1429462048"/>
        <c:scaling>
          <c:orientation val="minMax"/>
        </c:scaling>
        <c:delete val="1"/>
        <c:axPos val="l"/>
        <c:numFmt formatCode="0%" sourceLinked="0"/>
        <c:majorTickMark val="none"/>
        <c:minorTickMark val="none"/>
        <c:tickLblPos val="nextTo"/>
        <c:crossAx val="166100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'[230904 Revisión SICEP.xlsx]PIVOT Convocatorias SICEP'!$S$4</c:f>
              <c:strCache>
                <c:ptCount val="1"/>
                <c:pt idx="0">
                  <c:v>Abierta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'[230904 Revisión SICEP.xlsx]PIVOT Convocatorias SICEP'!$R$5:$R$8</c:f>
              <c:strCache>
                <c:ptCount val="4"/>
                <c:pt idx="0">
                  <c:v>2020</c:v>
                </c:pt>
                <c:pt idx="1">
                  <c:v>2021</c:v>
                </c:pt>
                <c:pt idx="2">
                  <c:v>2022</c:v>
                </c:pt>
                <c:pt idx="3">
                  <c:v>2023 (p)</c:v>
                </c:pt>
              </c:strCache>
            </c:strRef>
          </c:cat>
          <c:val>
            <c:numRef>
              <c:f>'[230904 Revisión SICEP.xlsx]PIVOT Convocatorias SICEP'!$S$5:$S$8</c:f>
              <c:numCache>
                <c:formatCode>0.0%</c:formatCode>
                <c:ptCount val="4"/>
                <c:pt idx="0">
                  <c:v>0</c:v>
                </c:pt>
                <c:pt idx="1">
                  <c:v>0</c:v>
                </c:pt>
                <c:pt idx="2">
                  <c:v>0</c:v>
                </c:pt>
                <c:pt idx="3">
                  <c:v>0.38356164383561642</c:v>
                </c:pt>
              </c:numCache>
            </c:numRef>
          </c:val>
          <c:extLst>
            <c:ext xmlns:c16="http://schemas.microsoft.com/office/drawing/2014/chart" uri="{C3380CC4-5D6E-409C-BE32-E72D297353CC}">
              <c16:uniqueId val="{00000000-49B8-4314-B890-9EC797FBEED9}"/>
            </c:ext>
          </c:extLst>
        </c:ser>
        <c:ser>
          <c:idx val="1"/>
          <c:order val="1"/>
          <c:tx>
            <c:strRef>
              <c:f>'[230904 Revisión SICEP.xlsx]PIVOT Convocatorias SICEP'!$T$4</c:f>
              <c:strCache>
                <c:ptCount val="1"/>
                <c:pt idx="0">
                  <c:v>Cancelada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'[230904 Revisión SICEP.xlsx]PIVOT Convocatorias SICEP'!$R$5:$R$8</c:f>
              <c:strCache>
                <c:ptCount val="4"/>
                <c:pt idx="0">
                  <c:v>2020</c:v>
                </c:pt>
                <c:pt idx="1">
                  <c:v>2021</c:v>
                </c:pt>
                <c:pt idx="2">
                  <c:v>2022</c:v>
                </c:pt>
                <c:pt idx="3">
                  <c:v>2023 (p)</c:v>
                </c:pt>
              </c:strCache>
            </c:strRef>
          </c:cat>
          <c:val>
            <c:numRef>
              <c:f>'[230904 Revisión SICEP.xlsx]PIVOT Convocatorias SICEP'!$T$5:$T$8</c:f>
              <c:numCache>
                <c:formatCode>0.0%</c:formatCode>
                <c:ptCount val="4"/>
                <c:pt idx="0">
                  <c:v>9.3333333333333338E-2</c:v>
                </c:pt>
                <c:pt idx="1">
                  <c:v>4.1666666666666664E-2</c:v>
                </c:pt>
                <c:pt idx="2">
                  <c:v>0.10309278350515463</c:v>
                </c:pt>
                <c:pt idx="3">
                  <c:v>1.3698630136986301E-2</c:v>
                </c:pt>
              </c:numCache>
            </c:numRef>
          </c:val>
          <c:extLst>
            <c:ext xmlns:c16="http://schemas.microsoft.com/office/drawing/2014/chart" uri="{C3380CC4-5D6E-409C-BE32-E72D297353CC}">
              <c16:uniqueId val="{00000001-49B8-4314-B890-9EC797FBEED9}"/>
            </c:ext>
          </c:extLst>
        </c:ser>
        <c:ser>
          <c:idx val="2"/>
          <c:order val="2"/>
          <c:tx>
            <c:strRef>
              <c:f>'[230904 Revisión SICEP.xlsx]PIVOT Convocatorias SICEP'!$U$4</c:f>
              <c:strCache>
                <c:ptCount val="1"/>
                <c:pt idx="0">
                  <c:v>Cerrada y adjudicada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'[230904 Revisión SICEP.xlsx]PIVOT Convocatorias SICEP'!$R$5:$R$8</c:f>
              <c:strCache>
                <c:ptCount val="4"/>
                <c:pt idx="0">
                  <c:v>2020</c:v>
                </c:pt>
                <c:pt idx="1">
                  <c:v>2021</c:v>
                </c:pt>
                <c:pt idx="2">
                  <c:v>2022</c:v>
                </c:pt>
                <c:pt idx="3">
                  <c:v>2023 (p)</c:v>
                </c:pt>
              </c:strCache>
            </c:strRef>
          </c:cat>
          <c:val>
            <c:numRef>
              <c:f>'[230904 Revisión SICEP.xlsx]PIVOT Convocatorias SICEP'!$U$5:$U$8</c:f>
              <c:numCache>
                <c:formatCode>0.0%</c:formatCode>
                <c:ptCount val="4"/>
                <c:pt idx="0">
                  <c:v>0.65333333333333332</c:v>
                </c:pt>
                <c:pt idx="1">
                  <c:v>0.69444444444444442</c:v>
                </c:pt>
                <c:pt idx="2">
                  <c:v>0.57731958762886593</c:v>
                </c:pt>
                <c:pt idx="3">
                  <c:v>0.31506849315068491</c:v>
                </c:pt>
              </c:numCache>
            </c:numRef>
          </c:val>
          <c:extLst>
            <c:ext xmlns:c16="http://schemas.microsoft.com/office/drawing/2014/chart" uri="{C3380CC4-5D6E-409C-BE32-E72D297353CC}">
              <c16:uniqueId val="{00000002-49B8-4314-B890-9EC797FBEED9}"/>
            </c:ext>
          </c:extLst>
        </c:ser>
        <c:ser>
          <c:idx val="3"/>
          <c:order val="3"/>
          <c:tx>
            <c:strRef>
              <c:f>'[230904 Revisión SICEP.xlsx]PIVOT Convocatorias SICEP'!$V$4</c:f>
              <c:strCache>
                <c:ptCount val="1"/>
                <c:pt idx="0">
                  <c:v>Cerrada y desierta</c:v>
                </c:pt>
              </c:strCache>
            </c:strRef>
          </c:tx>
          <c:spPr>
            <a:solidFill>
              <a:schemeClr val="accent1">
                <a:lumMod val="60000"/>
              </a:schemeClr>
            </a:solidFill>
            <a:ln>
              <a:noFill/>
            </a:ln>
            <a:effectLst/>
          </c:spPr>
          <c:invertIfNegative val="0"/>
          <c:dLbls>
            <c:dLbl>
              <c:idx val="3"/>
              <c:layout>
                <c:manualLayout>
                  <c:x val="1.6464777137480718E-2"/>
                  <c:y val="2.11714890613973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F9-403F-9DC2-D2483A585B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'[230904 Revisión SICEP.xlsx]PIVOT Convocatorias SICEP'!$R$5:$R$8</c:f>
              <c:strCache>
                <c:ptCount val="4"/>
                <c:pt idx="0">
                  <c:v>2020</c:v>
                </c:pt>
                <c:pt idx="1">
                  <c:v>2021</c:v>
                </c:pt>
                <c:pt idx="2">
                  <c:v>2022</c:v>
                </c:pt>
                <c:pt idx="3">
                  <c:v>2023 (p)</c:v>
                </c:pt>
              </c:strCache>
            </c:strRef>
          </c:cat>
          <c:val>
            <c:numRef>
              <c:f>'[230904 Revisión SICEP.xlsx]PIVOT Convocatorias SICEP'!$V$5:$V$8</c:f>
              <c:numCache>
                <c:formatCode>0.0%</c:formatCode>
                <c:ptCount val="4"/>
                <c:pt idx="0">
                  <c:v>0.25333333333333335</c:v>
                </c:pt>
                <c:pt idx="1">
                  <c:v>0.2638888888888889</c:v>
                </c:pt>
                <c:pt idx="2">
                  <c:v>0.31958762886597936</c:v>
                </c:pt>
                <c:pt idx="3">
                  <c:v>0.28767123287671231</c:v>
                </c:pt>
              </c:numCache>
            </c:numRef>
          </c:val>
          <c:extLst>
            <c:ext xmlns:c16="http://schemas.microsoft.com/office/drawing/2014/chart" uri="{C3380CC4-5D6E-409C-BE32-E72D297353CC}">
              <c16:uniqueId val="{00000003-49B8-4314-B890-9EC797FBEED9}"/>
            </c:ext>
          </c:extLst>
        </c:ser>
        <c:dLbls>
          <c:dLblPos val="outEnd"/>
          <c:showLegendKey val="0"/>
          <c:showVal val="1"/>
          <c:showCatName val="0"/>
          <c:showSerName val="0"/>
          <c:showPercent val="0"/>
          <c:showBubbleSize val="0"/>
        </c:dLbls>
        <c:gapWidth val="219"/>
        <c:overlap val="-27"/>
        <c:axId val="1520914736"/>
        <c:axId val="808673376"/>
      </c:barChart>
      <c:catAx>
        <c:axId val="152091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08673376"/>
        <c:crosses val="autoZero"/>
        <c:auto val="1"/>
        <c:lblAlgn val="ctr"/>
        <c:lblOffset val="100"/>
        <c:noMultiLvlLbl val="0"/>
      </c:catAx>
      <c:valAx>
        <c:axId val="808673376"/>
        <c:scaling>
          <c:orientation val="minMax"/>
        </c:scaling>
        <c:delete val="1"/>
        <c:axPos val="l"/>
        <c:numFmt formatCode="0%" sourceLinked="0"/>
        <c:majorTickMark val="none"/>
        <c:minorTickMark val="none"/>
        <c:tickLblPos val="nextTo"/>
        <c:crossAx val="152091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'[230904 Revisión SICEP.xlsx]PIVOT Convocatorias SICEP'!$L$57</c:f>
              <c:strCache>
                <c:ptCount val="1"/>
                <c:pt idx="0">
                  <c:v>Abierta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Convocatorias SICEP'!$K$58:$K$75</c:f>
              <c:numCache>
                <c:formatCode>0</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17</c:v>
                </c:pt>
                <c:pt idx="17">
                  <c:v>18</c:v>
                </c:pt>
              </c:numCache>
            </c:numRef>
          </c:cat>
          <c:val>
            <c:numRef>
              <c:f>'[230904 Revisión SICEP.xlsx]PIVOT Convocatorias SICEP'!$L$58:$L$75</c:f>
              <c:numCache>
                <c:formatCode>0</c:formatCode>
                <c:ptCount val="18"/>
                <c:pt idx="0">
                  <c:v>1</c:v>
                </c:pt>
                <c:pt idx="1">
                  <c:v>1</c:v>
                </c:pt>
                <c:pt idx="2">
                  <c:v>4</c:v>
                </c:pt>
                <c:pt idx="4">
                  <c:v>2</c:v>
                </c:pt>
                <c:pt idx="5">
                  <c:v>2</c:v>
                </c:pt>
                <c:pt idx="7">
                  <c:v>1</c:v>
                </c:pt>
                <c:pt idx="8">
                  <c:v>1</c:v>
                </c:pt>
                <c:pt idx="9">
                  <c:v>3</c:v>
                </c:pt>
                <c:pt idx="10">
                  <c:v>3</c:v>
                </c:pt>
                <c:pt idx="11">
                  <c:v>2</c:v>
                </c:pt>
                <c:pt idx="12">
                  <c:v>1</c:v>
                </c:pt>
                <c:pt idx="13">
                  <c:v>2</c:v>
                </c:pt>
                <c:pt idx="14">
                  <c:v>5</c:v>
                </c:pt>
              </c:numCache>
            </c:numRef>
          </c:val>
          <c:extLst>
            <c:ext xmlns:c16="http://schemas.microsoft.com/office/drawing/2014/chart" uri="{C3380CC4-5D6E-409C-BE32-E72D297353CC}">
              <c16:uniqueId val="{00000000-9A77-460D-86A9-C33A14723A00}"/>
            </c:ext>
          </c:extLst>
        </c:ser>
        <c:ser>
          <c:idx val="2"/>
          <c:order val="1"/>
          <c:tx>
            <c:strRef>
              <c:f>'[230904 Revisión SICEP.xlsx]PIVOT Convocatorias SICEP'!$M$57</c:f>
              <c:strCache>
                <c:ptCount val="1"/>
                <c:pt idx="0">
                  <c:v>Cancelada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Convocatorias SICEP'!$K$58:$K$75</c:f>
              <c:numCache>
                <c:formatCode>0</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17</c:v>
                </c:pt>
                <c:pt idx="17">
                  <c:v>18</c:v>
                </c:pt>
              </c:numCache>
            </c:numRef>
          </c:cat>
          <c:val>
            <c:numRef>
              <c:f>'[230904 Revisión SICEP.xlsx]PIVOT Convocatorias SICEP'!$M$58:$M$75</c:f>
              <c:numCache>
                <c:formatCode>0</c:formatCode>
                <c:ptCount val="18"/>
                <c:pt idx="0">
                  <c:v>4</c:v>
                </c:pt>
                <c:pt idx="1">
                  <c:v>1</c:v>
                </c:pt>
                <c:pt idx="2">
                  <c:v>2</c:v>
                </c:pt>
                <c:pt idx="3">
                  <c:v>1</c:v>
                </c:pt>
                <c:pt idx="4">
                  <c:v>2</c:v>
                </c:pt>
                <c:pt idx="5">
                  <c:v>4</c:v>
                </c:pt>
                <c:pt idx="9">
                  <c:v>4</c:v>
                </c:pt>
                <c:pt idx="13">
                  <c:v>1</c:v>
                </c:pt>
                <c:pt idx="16">
                  <c:v>2</c:v>
                </c:pt>
              </c:numCache>
            </c:numRef>
          </c:val>
          <c:extLst>
            <c:ext xmlns:c16="http://schemas.microsoft.com/office/drawing/2014/chart" uri="{C3380CC4-5D6E-409C-BE32-E72D297353CC}">
              <c16:uniqueId val="{00000001-9A77-460D-86A9-C33A14723A00}"/>
            </c:ext>
          </c:extLst>
        </c:ser>
        <c:ser>
          <c:idx val="3"/>
          <c:order val="2"/>
          <c:tx>
            <c:strRef>
              <c:f>'[230904 Revisión SICEP.xlsx]PIVOT Convocatorias SICEP'!$N$57</c:f>
              <c:strCache>
                <c:ptCount val="1"/>
                <c:pt idx="0">
                  <c:v>Cerrada y adjudicada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Convocatorias SICEP'!$K$58:$K$75</c:f>
              <c:numCache>
                <c:formatCode>0</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17</c:v>
                </c:pt>
                <c:pt idx="17">
                  <c:v>18</c:v>
                </c:pt>
              </c:numCache>
            </c:numRef>
          </c:cat>
          <c:val>
            <c:numRef>
              <c:f>'[230904 Revisión SICEP.xlsx]PIVOT Convocatorias SICEP'!$N$58:$N$75</c:f>
              <c:numCache>
                <c:formatCode>0</c:formatCode>
                <c:ptCount val="18"/>
                <c:pt idx="0">
                  <c:v>12</c:v>
                </c:pt>
                <c:pt idx="1">
                  <c:v>15</c:v>
                </c:pt>
                <c:pt idx="2">
                  <c:v>20</c:v>
                </c:pt>
                <c:pt idx="3">
                  <c:v>12</c:v>
                </c:pt>
                <c:pt idx="4">
                  <c:v>30</c:v>
                </c:pt>
                <c:pt idx="5">
                  <c:v>25</c:v>
                </c:pt>
                <c:pt idx="6">
                  <c:v>7</c:v>
                </c:pt>
                <c:pt idx="7">
                  <c:v>4</c:v>
                </c:pt>
                <c:pt idx="8">
                  <c:v>2</c:v>
                </c:pt>
                <c:pt idx="9">
                  <c:v>16</c:v>
                </c:pt>
                <c:pt idx="10">
                  <c:v>9</c:v>
                </c:pt>
                <c:pt idx="11">
                  <c:v>4</c:v>
                </c:pt>
                <c:pt idx="13">
                  <c:v>3</c:v>
                </c:pt>
                <c:pt idx="14">
                  <c:v>10</c:v>
                </c:pt>
                <c:pt idx="15">
                  <c:v>6</c:v>
                </c:pt>
                <c:pt idx="16">
                  <c:v>2</c:v>
                </c:pt>
                <c:pt idx="17">
                  <c:v>1</c:v>
                </c:pt>
              </c:numCache>
            </c:numRef>
          </c:val>
          <c:extLst>
            <c:ext xmlns:c16="http://schemas.microsoft.com/office/drawing/2014/chart" uri="{C3380CC4-5D6E-409C-BE32-E72D297353CC}">
              <c16:uniqueId val="{00000002-9A77-460D-86A9-C33A14723A00}"/>
            </c:ext>
          </c:extLst>
        </c:ser>
        <c:ser>
          <c:idx val="4"/>
          <c:order val="3"/>
          <c:tx>
            <c:strRef>
              <c:f>'[230904 Revisión SICEP.xlsx]PIVOT Convocatorias SICEP'!$O$57</c:f>
              <c:strCache>
                <c:ptCount val="1"/>
                <c:pt idx="0">
                  <c:v>Cerrada y desierta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Convocatorias SICEP'!$K$58:$K$75</c:f>
              <c:numCache>
                <c:formatCode>0</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17</c:v>
                </c:pt>
                <c:pt idx="17">
                  <c:v>18</c:v>
                </c:pt>
              </c:numCache>
            </c:numRef>
          </c:cat>
          <c:val>
            <c:numRef>
              <c:f>'[230904 Revisión SICEP.xlsx]PIVOT Convocatorias SICEP'!$O$58:$O$75</c:f>
              <c:numCache>
                <c:formatCode>0</c:formatCode>
                <c:ptCount val="18"/>
                <c:pt idx="0">
                  <c:v>6</c:v>
                </c:pt>
                <c:pt idx="1">
                  <c:v>16</c:v>
                </c:pt>
                <c:pt idx="2">
                  <c:v>6</c:v>
                </c:pt>
                <c:pt idx="3">
                  <c:v>4</c:v>
                </c:pt>
                <c:pt idx="4">
                  <c:v>11</c:v>
                </c:pt>
                <c:pt idx="5">
                  <c:v>4</c:v>
                </c:pt>
                <c:pt idx="6">
                  <c:v>2</c:v>
                </c:pt>
                <c:pt idx="8">
                  <c:v>1</c:v>
                </c:pt>
                <c:pt idx="9">
                  <c:v>11</c:v>
                </c:pt>
                <c:pt idx="10">
                  <c:v>12</c:v>
                </c:pt>
                <c:pt idx="11">
                  <c:v>5</c:v>
                </c:pt>
                <c:pt idx="12">
                  <c:v>5</c:v>
                </c:pt>
                <c:pt idx="14">
                  <c:v>6</c:v>
                </c:pt>
                <c:pt idx="17">
                  <c:v>1</c:v>
                </c:pt>
              </c:numCache>
            </c:numRef>
          </c:val>
          <c:extLst>
            <c:ext xmlns:c16="http://schemas.microsoft.com/office/drawing/2014/chart" uri="{C3380CC4-5D6E-409C-BE32-E72D297353CC}">
              <c16:uniqueId val="{00000003-9A77-460D-86A9-C33A14723A00}"/>
            </c:ext>
          </c:extLst>
        </c:ser>
        <c:dLbls>
          <c:showLegendKey val="0"/>
          <c:showVal val="1"/>
          <c:showCatName val="0"/>
          <c:showSerName val="0"/>
          <c:showPercent val="0"/>
          <c:showBubbleSize val="0"/>
        </c:dLbls>
        <c:gapWidth val="37"/>
        <c:overlap val="100"/>
        <c:axId val="1187771872"/>
        <c:axId val="1367762672"/>
      </c:barChart>
      <c:lineChart>
        <c:grouping val="standard"/>
        <c:varyColors val="0"/>
        <c:ser>
          <c:idx val="0"/>
          <c:order val="4"/>
          <c:tx>
            <c:strRef>
              <c:f>'[230904 Revisión SICEP.xlsx]PIVOT Convocatorias SICEP'!$P$57</c:f>
              <c:strCache>
                <c:ptCount val="1"/>
                <c:pt idx="0">
                  <c:v>TOTAL</c:v>
                </c:pt>
              </c:strCache>
            </c:strRef>
          </c:tx>
          <c:spPr>
            <a:ln w="28575" cap="rnd">
              <a:noFill/>
              <a:round/>
            </a:ln>
            <a:effectLst/>
          </c:spPr>
          <c:marker>
            <c:symbol val="none"/>
          </c:marker>
          <c:dLbls>
            <c:spPr>
              <a:solidFill>
                <a:schemeClr val="bg1">
                  <a:lumMod val="95000"/>
                </a:schemeClr>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Convocatorias SICEP'!$K$58:$K$75</c:f>
              <c:numCache>
                <c:formatCode>0</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17</c:v>
                </c:pt>
                <c:pt idx="17">
                  <c:v>18</c:v>
                </c:pt>
              </c:numCache>
            </c:numRef>
          </c:cat>
          <c:val>
            <c:numRef>
              <c:f>'[230904 Revisión SICEP.xlsx]PIVOT Convocatorias SICEP'!$P$58:$P$75</c:f>
              <c:numCache>
                <c:formatCode>0</c:formatCode>
                <c:ptCount val="18"/>
                <c:pt idx="0">
                  <c:v>23</c:v>
                </c:pt>
                <c:pt idx="1">
                  <c:v>33</c:v>
                </c:pt>
                <c:pt idx="2">
                  <c:v>32</c:v>
                </c:pt>
                <c:pt idx="3">
                  <c:v>17</c:v>
                </c:pt>
                <c:pt idx="4">
                  <c:v>45</c:v>
                </c:pt>
                <c:pt idx="5">
                  <c:v>35</c:v>
                </c:pt>
                <c:pt idx="6">
                  <c:v>9</c:v>
                </c:pt>
                <c:pt idx="7">
                  <c:v>5</c:v>
                </c:pt>
                <c:pt idx="8">
                  <c:v>4</c:v>
                </c:pt>
                <c:pt idx="9">
                  <c:v>34</c:v>
                </c:pt>
                <c:pt idx="10">
                  <c:v>24</c:v>
                </c:pt>
                <c:pt idx="11">
                  <c:v>11</c:v>
                </c:pt>
                <c:pt idx="12">
                  <c:v>6</c:v>
                </c:pt>
                <c:pt idx="13">
                  <c:v>6</c:v>
                </c:pt>
                <c:pt idx="14">
                  <c:v>21</c:v>
                </c:pt>
                <c:pt idx="15">
                  <c:v>6</c:v>
                </c:pt>
                <c:pt idx="16">
                  <c:v>4</c:v>
                </c:pt>
                <c:pt idx="17">
                  <c:v>2</c:v>
                </c:pt>
              </c:numCache>
            </c:numRef>
          </c:val>
          <c:smooth val="0"/>
          <c:extLst>
            <c:ext xmlns:c16="http://schemas.microsoft.com/office/drawing/2014/chart" uri="{C3380CC4-5D6E-409C-BE32-E72D297353CC}">
              <c16:uniqueId val="{00000004-9A77-460D-86A9-C33A14723A00}"/>
            </c:ext>
          </c:extLst>
        </c:ser>
        <c:dLbls>
          <c:showLegendKey val="0"/>
          <c:showVal val="1"/>
          <c:showCatName val="0"/>
          <c:showSerName val="0"/>
          <c:showPercent val="0"/>
          <c:showBubbleSize val="0"/>
        </c:dLbls>
        <c:marker val="1"/>
        <c:smooth val="0"/>
        <c:axId val="1187771872"/>
        <c:axId val="1367762672"/>
      </c:lineChart>
      <c:catAx>
        <c:axId val="1187771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DURACIÓN</a:t>
                </a:r>
                <a:r>
                  <a:rPr lang="es-CO" baseline="0"/>
                  <a:t> DE CONTRATOS (EN AÑOS)</a:t>
                </a:r>
                <a:endParaRPr lang="es-CO"/>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67762672"/>
        <c:crosses val="autoZero"/>
        <c:auto val="1"/>
        <c:lblAlgn val="ctr"/>
        <c:lblOffset val="100"/>
        <c:noMultiLvlLbl val="0"/>
      </c:catAx>
      <c:valAx>
        <c:axId val="1367762672"/>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CANTIDAD DE CONTRATOS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crossAx val="1187771872"/>
        <c:crosses val="autoZero"/>
        <c:crossBetween val="between"/>
      </c:valAx>
      <c:spPr>
        <a:noFill/>
        <a:ln w="25400">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'[230904 Revisión SICEP.xlsx]P_prom Bolsa Vs Cttos Vs MC'!$F$1</c:f>
              <c:strCache>
                <c:ptCount val="1"/>
                <c:pt idx="0">
                  <c:v>P Cttos (UNR)</c:v>
                </c:pt>
              </c:strCache>
            </c:strRef>
          </c:tx>
          <c:spPr>
            <a:solidFill>
              <a:schemeClr val="accent1"/>
            </a:solidFill>
            <a:ln>
              <a:noFill/>
            </a:ln>
            <a:effectLst/>
          </c:spPr>
          <c:invertIfNegative val="0"/>
          <c:cat>
            <c:numRef>
              <c:f>'[230904 Revisión SICEP.xlsx]P_prom Bolsa Vs Cttos Vs MC'!$E$2:$E$105</c:f>
              <c:numCache>
                <c:formatCode>mmm\-yy</c:formatCode>
                <c:ptCount val="104"/>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pt idx="63">
                  <c:v>43922</c:v>
                </c:pt>
                <c:pt idx="64">
                  <c:v>43952</c:v>
                </c:pt>
                <c:pt idx="65">
                  <c:v>43983</c:v>
                </c:pt>
                <c:pt idx="66">
                  <c:v>44013</c:v>
                </c:pt>
                <c:pt idx="67">
                  <c:v>44044</c:v>
                </c:pt>
                <c:pt idx="68">
                  <c:v>44075</c:v>
                </c:pt>
                <c:pt idx="69">
                  <c:v>44105</c:v>
                </c:pt>
                <c:pt idx="70">
                  <c:v>44136</c:v>
                </c:pt>
                <c:pt idx="71">
                  <c:v>44166</c:v>
                </c:pt>
                <c:pt idx="72">
                  <c:v>44197</c:v>
                </c:pt>
                <c:pt idx="73">
                  <c:v>44228</c:v>
                </c:pt>
                <c:pt idx="74">
                  <c:v>44256</c:v>
                </c:pt>
                <c:pt idx="75">
                  <c:v>44287</c:v>
                </c:pt>
                <c:pt idx="76">
                  <c:v>44317</c:v>
                </c:pt>
                <c:pt idx="77">
                  <c:v>44348</c:v>
                </c:pt>
                <c:pt idx="78">
                  <c:v>44378</c:v>
                </c:pt>
                <c:pt idx="79">
                  <c:v>44409</c:v>
                </c:pt>
                <c:pt idx="80">
                  <c:v>44440</c:v>
                </c:pt>
                <c:pt idx="81">
                  <c:v>44470</c:v>
                </c:pt>
                <c:pt idx="82">
                  <c:v>44501</c:v>
                </c:pt>
                <c:pt idx="83">
                  <c:v>44531</c:v>
                </c:pt>
                <c:pt idx="84">
                  <c:v>44562</c:v>
                </c:pt>
                <c:pt idx="85">
                  <c:v>44593</c:v>
                </c:pt>
                <c:pt idx="86">
                  <c:v>44621</c:v>
                </c:pt>
                <c:pt idx="87">
                  <c:v>44652</c:v>
                </c:pt>
                <c:pt idx="88">
                  <c:v>44682</c:v>
                </c:pt>
                <c:pt idx="89">
                  <c:v>44713</c:v>
                </c:pt>
                <c:pt idx="90">
                  <c:v>44743</c:v>
                </c:pt>
                <c:pt idx="91">
                  <c:v>44774</c:v>
                </c:pt>
                <c:pt idx="92">
                  <c:v>44805</c:v>
                </c:pt>
                <c:pt idx="93">
                  <c:v>44835</c:v>
                </c:pt>
                <c:pt idx="94">
                  <c:v>44866</c:v>
                </c:pt>
                <c:pt idx="95">
                  <c:v>44896</c:v>
                </c:pt>
                <c:pt idx="96">
                  <c:v>44927</c:v>
                </c:pt>
                <c:pt idx="97">
                  <c:v>44958</c:v>
                </c:pt>
                <c:pt idx="98">
                  <c:v>44986</c:v>
                </c:pt>
                <c:pt idx="99">
                  <c:v>45017</c:v>
                </c:pt>
                <c:pt idx="100">
                  <c:v>45047</c:v>
                </c:pt>
                <c:pt idx="101">
                  <c:v>45078</c:v>
                </c:pt>
                <c:pt idx="102">
                  <c:v>45108</c:v>
                </c:pt>
                <c:pt idx="103">
                  <c:v>45139</c:v>
                </c:pt>
              </c:numCache>
            </c:numRef>
          </c:cat>
          <c:val>
            <c:numRef>
              <c:f>'[230904 Revisión SICEP.xlsx]P_prom Bolsa Vs Cttos Vs MC'!$F$2:$F$105</c:f>
              <c:numCache>
                <c:formatCode>#,##0.0;\(#,##0.0\)</c:formatCode>
                <c:ptCount val="104"/>
                <c:pt idx="0">
                  <c:v>121.56460953805994</c:v>
                </c:pt>
                <c:pt idx="1">
                  <c:v>121.71101632257063</c:v>
                </c:pt>
                <c:pt idx="2">
                  <c:v>124.82697288455716</c:v>
                </c:pt>
                <c:pt idx="3">
                  <c:v>123.5119318475448</c:v>
                </c:pt>
                <c:pt idx="4">
                  <c:v>124.92396257725832</c:v>
                </c:pt>
                <c:pt idx="5">
                  <c:v>125.12952509512832</c:v>
                </c:pt>
                <c:pt idx="6">
                  <c:v>128.26244713463194</c:v>
                </c:pt>
                <c:pt idx="7">
                  <c:v>130.92531682164267</c:v>
                </c:pt>
                <c:pt idx="8">
                  <c:v>134.14248865580905</c:v>
                </c:pt>
                <c:pt idx="9">
                  <c:v>137.1592394919615</c:v>
                </c:pt>
                <c:pt idx="10">
                  <c:v>136.40673134508148</c:v>
                </c:pt>
                <c:pt idx="11">
                  <c:v>138.07174124432308</c:v>
                </c:pt>
                <c:pt idx="12">
                  <c:v>134.87944228989716</c:v>
                </c:pt>
                <c:pt idx="13">
                  <c:v>136.34538323577056</c:v>
                </c:pt>
                <c:pt idx="14">
                  <c:v>137.8222676984046</c:v>
                </c:pt>
                <c:pt idx="15">
                  <c:v>134.9800909764177</c:v>
                </c:pt>
                <c:pt idx="16">
                  <c:v>132.79976086769813</c:v>
                </c:pt>
                <c:pt idx="17">
                  <c:v>136.30408627363039</c:v>
                </c:pt>
                <c:pt idx="18">
                  <c:v>141.25984970302375</c:v>
                </c:pt>
                <c:pt idx="19">
                  <c:v>151.41361563120782</c:v>
                </c:pt>
                <c:pt idx="20">
                  <c:v>151.05556611968808</c:v>
                </c:pt>
                <c:pt idx="21">
                  <c:v>154.58177779642793</c:v>
                </c:pt>
                <c:pt idx="22">
                  <c:v>154.87267175649265</c:v>
                </c:pt>
                <c:pt idx="23">
                  <c:v>148.94997144826462</c:v>
                </c:pt>
                <c:pt idx="24">
                  <c:v>153.4532124259199</c:v>
                </c:pt>
                <c:pt idx="25">
                  <c:v>157.82643221596049</c:v>
                </c:pt>
                <c:pt idx="26">
                  <c:v>155.41719445562157</c:v>
                </c:pt>
                <c:pt idx="27">
                  <c:v>152.91813634008105</c:v>
                </c:pt>
                <c:pt idx="28">
                  <c:v>150.30370572042989</c:v>
                </c:pt>
                <c:pt idx="29">
                  <c:v>150.96822825346328</c:v>
                </c:pt>
                <c:pt idx="30">
                  <c:v>151.73784641734784</c:v>
                </c:pt>
                <c:pt idx="31">
                  <c:v>153.92908809632104</c:v>
                </c:pt>
                <c:pt idx="32">
                  <c:v>156.72998083944572</c:v>
                </c:pt>
                <c:pt idx="33">
                  <c:v>157.98737149006146</c:v>
                </c:pt>
                <c:pt idx="34">
                  <c:v>158.59438182052492</c:v>
                </c:pt>
                <c:pt idx="35">
                  <c:v>157.07637448595179</c:v>
                </c:pt>
                <c:pt idx="36">
                  <c:v>164.01557851902987</c:v>
                </c:pt>
                <c:pt idx="37">
                  <c:v>164.99864374394028</c:v>
                </c:pt>
                <c:pt idx="38">
                  <c:v>166.97641054299922</c:v>
                </c:pt>
                <c:pt idx="39">
                  <c:v>165.05269506374185</c:v>
                </c:pt>
                <c:pt idx="40">
                  <c:v>165.306745637164</c:v>
                </c:pt>
                <c:pt idx="41">
                  <c:v>164.85686124151104</c:v>
                </c:pt>
                <c:pt idx="42">
                  <c:v>164.19637820301961</c:v>
                </c:pt>
                <c:pt idx="43">
                  <c:v>165.31041668912994</c:v>
                </c:pt>
                <c:pt idx="44">
                  <c:v>168.40576209094289</c:v>
                </c:pt>
                <c:pt idx="45">
                  <c:v>168.78478810855353</c:v>
                </c:pt>
                <c:pt idx="46">
                  <c:v>169.54820877630524</c:v>
                </c:pt>
                <c:pt idx="47">
                  <c:v>172.17489865913234</c:v>
                </c:pt>
                <c:pt idx="48">
                  <c:v>179.44157894171889</c:v>
                </c:pt>
                <c:pt idx="49">
                  <c:v>181.6739223571202</c:v>
                </c:pt>
                <c:pt idx="50">
                  <c:v>181.68109783536579</c:v>
                </c:pt>
                <c:pt idx="51">
                  <c:v>179.94258296457986</c:v>
                </c:pt>
                <c:pt idx="52">
                  <c:v>181.37768019452167</c:v>
                </c:pt>
                <c:pt idx="53">
                  <c:v>179.73993766332325</c:v>
                </c:pt>
                <c:pt idx="54">
                  <c:v>181.91546878444987</c:v>
                </c:pt>
                <c:pt idx="55">
                  <c:v>183.41173422357593</c:v>
                </c:pt>
                <c:pt idx="56">
                  <c:v>186.35472040147494</c:v>
                </c:pt>
                <c:pt idx="57">
                  <c:v>187.0518585365414</c:v>
                </c:pt>
                <c:pt idx="58">
                  <c:v>190.02958065282166</c:v>
                </c:pt>
                <c:pt idx="59">
                  <c:v>189.73399290928785</c:v>
                </c:pt>
                <c:pt idx="60">
                  <c:v>192.42549135359201</c:v>
                </c:pt>
                <c:pt idx="61">
                  <c:v>190.92880258663652</c:v>
                </c:pt>
                <c:pt idx="62">
                  <c:v>191.50548917676522</c:v>
                </c:pt>
                <c:pt idx="63">
                  <c:v>192.18967842092613</c:v>
                </c:pt>
                <c:pt idx="64">
                  <c:v>190.27360527372298</c:v>
                </c:pt>
                <c:pt idx="65">
                  <c:v>189.96228186796964</c:v>
                </c:pt>
                <c:pt idx="66">
                  <c:v>189.0880379811739</c:v>
                </c:pt>
                <c:pt idx="67">
                  <c:v>190.43143036600449</c:v>
                </c:pt>
                <c:pt idx="68">
                  <c:v>190.52837694086651</c:v>
                </c:pt>
                <c:pt idx="69">
                  <c:v>192.35585018554394</c:v>
                </c:pt>
                <c:pt idx="70">
                  <c:v>191.60735644475935</c:v>
                </c:pt>
                <c:pt idx="71">
                  <c:v>191.86545686366603</c:v>
                </c:pt>
                <c:pt idx="72">
                  <c:v>196.61437812208331</c:v>
                </c:pt>
                <c:pt idx="73">
                  <c:v>203.20733413426365</c:v>
                </c:pt>
                <c:pt idx="74">
                  <c:v>204.63114438210258</c:v>
                </c:pt>
                <c:pt idx="75">
                  <c:v>207.65689614073918</c:v>
                </c:pt>
                <c:pt idx="76">
                  <c:v>211.42115706602138</c:v>
                </c:pt>
                <c:pt idx="77">
                  <c:v>212.34669077514198</c:v>
                </c:pt>
                <c:pt idx="78">
                  <c:v>215.25382808555398</c:v>
                </c:pt>
                <c:pt idx="79">
                  <c:v>215.87820456002507</c:v>
                </c:pt>
                <c:pt idx="80">
                  <c:v>217.98828467174664</c:v>
                </c:pt>
                <c:pt idx="81">
                  <c:v>220.7242619200054</c:v>
                </c:pt>
                <c:pt idx="82">
                  <c:v>224.72881184797367</c:v>
                </c:pt>
                <c:pt idx="83">
                  <c:v>232.91885163338699</c:v>
                </c:pt>
                <c:pt idx="84">
                  <c:v>240.94385669951322</c:v>
                </c:pt>
                <c:pt idx="85">
                  <c:v>246.39707016700214</c:v>
                </c:pt>
                <c:pt idx="86">
                  <c:v>249.42314989309773</c:v>
                </c:pt>
                <c:pt idx="87">
                  <c:v>252.6743054955333</c:v>
                </c:pt>
                <c:pt idx="88">
                  <c:v>258.74235036926348</c:v>
                </c:pt>
                <c:pt idx="89">
                  <c:v>260.38098844251238</c:v>
                </c:pt>
                <c:pt idx="90">
                  <c:v>265.56246197116633</c:v>
                </c:pt>
                <c:pt idx="91">
                  <c:v>264.96610593265387</c:v>
                </c:pt>
                <c:pt idx="92">
                  <c:v>266.77731774131524</c:v>
                </c:pt>
                <c:pt idx="93">
                  <c:v>269.0201420383305</c:v>
                </c:pt>
                <c:pt idx="94">
                  <c:v>268.61747421034647</c:v>
                </c:pt>
                <c:pt idx="95">
                  <c:v>269.53777787537371</c:v>
                </c:pt>
                <c:pt idx="96">
                  <c:v>273.28914799926196</c:v>
                </c:pt>
                <c:pt idx="97">
                  <c:v>279.65588166419087</c:v>
                </c:pt>
                <c:pt idx="98">
                  <c:v>276.54521461868654</c:v>
                </c:pt>
                <c:pt idx="99">
                  <c:v>273.05009041430714</c:v>
                </c:pt>
                <c:pt idx="100">
                  <c:v>276.78494918384683</c:v>
                </c:pt>
                <c:pt idx="101">
                  <c:v>273.52920610594066</c:v>
                </c:pt>
                <c:pt idx="102">
                  <c:v>273.20669543944075</c:v>
                </c:pt>
                <c:pt idx="103">
                  <c:v>273.87799107349571</c:v>
                </c:pt>
              </c:numCache>
            </c:numRef>
          </c:val>
          <c:extLst>
            <c:ext xmlns:c16="http://schemas.microsoft.com/office/drawing/2014/chart" uri="{C3380CC4-5D6E-409C-BE32-E72D297353CC}">
              <c16:uniqueId val="{00000000-003C-424E-A217-04AF99F2221E}"/>
            </c:ext>
          </c:extLst>
        </c:ser>
        <c:ser>
          <c:idx val="1"/>
          <c:order val="1"/>
          <c:tx>
            <c:strRef>
              <c:f>'[230904 Revisión SICEP.xlsx]P_prom Bolsa Vs Cttos Vs MC'!$G$1</c:f>
              <c:strCache>
                <c:ptCount val="1"/>
                <c:pt idx="0">
                  <c:v>P Cttos (UR)</c:v>
                </c:pt>
              </c:strCache>
            </c:strRef>
          </c:tx>
          <c:spPr>
            <a:solidFill>
              <a:schemeClr val="accent2"/>
            </a:solidFill>
            <a:ln>
              <a:noFill/>
            </a:ln>
            <a:effectLst/>
          </c:spPr>
          <c:invertIfNegative val="0"/>
          <c:cat>
            <c:numRef>
              <c:f>'[230904 Revisión SICEP.xlsx]P_prom Bolsa Vs Cttos Vs MC'!$E$2:$E$105</c:f>
              <c:numCache>
                <c:formatCode>mmm\-yy</c:formatCode>
                <c:ptCount val="104"/>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pt idx="63">
                  <c:v>43922</c:v>
                </c:pt>
                <c:pt idx="64">
                  <c:v>43952</c:v>
                </c:pt>
                <c:pt idx="65">
                  <c:v>43983</c:v>
                </c:pt>
                <c:pt idx="66">
                  <c:v>44013</c:v>
                </c:pt>
                <c:pt idx="67">
                  <c:v>44044</c:v>
                </c:pt>
                <c:pt idx="68">
                  <c:v>44075</c:v>
                </c:pt>
                <c:pt idx="69">
                  <c:v>44105</c:v>
                </c:pt>
                <c:pt idx="70">
                  <c:v>44136</c:v>
                </c:pt>
                <c:pt idx="71">
                  <c:v>44166</c:v>
                </c:pt>
                <c:pt idx="72">
                  <c:v>44197</c:v>
                </c:pt>
                <c:pt idx="73">
                  <c:v>44228</c:v>
                </c:pt>
                <c:pt idx="74">
                  <c:v>44256</c:v>
                </c:pt>
                <c:pt idx="75">
                  <c:v>44287</c:v>
                </c:pt>
                <c:pt idx="76">
                  <c:v>44317</c:v>
                </c:pt>
                <c:pt idx="77">
                  <c:v>44348</c:v>
                </c:pt>
                <c:pt idx="78">
                  <c:v>44378</c:v>
                </c:pt>
                <c:pt idx="79">
                  <c:v>44409</c:v>
                </c:pt>
                <c:pt idx="80">
                  <c:v>44440</c:v>
                </c:pt>
                <c:pt idx="81">
                  <c:v>44470</c:v>
                </c:pt>
                <c:pt idx="82">
                  <c:v>44501</c:v>
                </c:pt>
                <c:pt idx="83">
                  <c:v>44531</c:v>
                </c:pt>
                <c:pt idx="84">
                  <c:v>44562</c:v>
                </c:pt>
                <c:pt idx="85">
                  <c:v>44593</c:v>
                </c:pt>
                <c:pt idx="86">
                  <c:v>44621</c:v>
                </c:pt>
                <c:pt idx="87">
                  <c:v>44652</c:v>
                </c:pt>
                <c:pt idx="88">
                  <c:v>44682</c:v>
                </c:pt>
                <c:pt idx="89">
                  <c:v>44713</c:v>
                </c:pt>
                <c:pt idx="90">
                  <c:v>44743</c:v>
                </c:pt>
                <c:pt idx="91">
                  <c:v>44774</c:v>
                </c:pt>
                <c:pt idx="92">
                  <c:v>44805</c:v>
                </c:pt>
                <c:pt idx="93">
                  <c:v>44835</c:v>
                </c:pt>
                <c:pt idx="94">
                  <c:v>44866</c:v>
                </c:pt>
                <c:pt idx="95">
                  <c:v>44896</c:v>
                </c:pt>
                <c:pt idx="96">
                  <c:v>44927</c:v>
                </c:pt>
                <c:pt idx="97">
                  <c:v>44958</c:v>
                </c:pt>
                <c:pt idx="98">
                  <c:v>44986</c:v>
                </c:pt>
                <c:pt idx="99">
                  <c:v>45017</c:v>
                </c:pt>
                <c:pt idx="100">
                  <c:v>45047</c:v>
                </c:pt>
                <c:pt idx="101">
                  <c:v>45078</c:v>
                </c:pt>
                <c:pt idx="102">
                  <c:v>45108</c:v>
                </c:pt>
                <c:pt idx="103">
                  <c:v>45139</c:v>
                </c:pt>
              </c:numCache>
            </c:numRef>
          </c:cat>
          <c:val>
            <c:numRef>
              <c:f>'[230904 Revisión SICEP.xlsx]P_prom Bolsa Vs Cttos Vs MC'!$G$2:$G$105</c:f>
              <c:numCache>
                <c:formatCode>#,##0.0;\(#,##0.0\)</c:formatCode>
                <c:ptCount val="104"/>
                <c:pt idx="0">
                  <c:v>146.81754780955251</c:v>
                </c:pt>
                <c:pt idx="1">
                  <c:v>146.99601194935263</c:v>
                </c:pt>
                <c:pt idx="2">
                  <c:v>150.54867171345259</c:v>
                </c:pt>
                <c:pt idx="3">
                  <c:v>149.26712690296637</c:v>
                </c:pt>
                <c:pt idx="4">
                  <c:v>148.92629311126456</c:v>
                </c:pt>
                <c:pt idx="5">
                  <c:v>149.2845741056756</c:v>
                </c:pt>
                <c:pt idx="6">
                  <c:v>151.33728257882157</c:v>
                </c:pt>
                <c:pt idx="7">
                  <c:v>154.21048125519118</c:v>
                </c:pt>
                <c:pt idx="8">
                  <c:v>160.63247359872815</c:v>
                </c:pt>
                <c:pt idx="9">
                  <c:v>169.6263314287923</c:v>
                </c:pt>
                <c:pt idx="10">
                  <c:v>169.15308899574555</c:v>
                </c:pt>
                <c:pt idx="11">
                  <c:v>171.66260839726718</c:v>
                </c:pt>
                <c:pt idx="12">
                  <c:v>171.44365706637936</c:v>
                </c:pt>
                <c:pt idx="13">
                  <c:v>173.46367877133369</c:v>
                </c:pt>
                <c:pt idx="14">
                  <c:v>172.38902529425692</c:v>
                </c:pt>
                <c:pt idx="15">
                  <c:v>166.55451910337104</c:v>
                </c:pt>
                <c:pt idx="16">
                  <c:v>164.31210636769916</c:v>
                </c:pt>
                <c:pt idx="17">
                  <c:v>166.06903880745676</c:v>
                </c:pt>
                <c:pt idx="18">
                  <c:v>166.17076983529515</c:v>
                </c:pt>
                <c:pt idx="19">
                  <c:v>165.7335018140468</c:v>
                </c:pt>
                <c:pt idx="20">
                  <c:v>164.48364005863874</c:v>
                </c:pt>
                <c:pt idx="21">
                  <c:v>164.96911251989479</c:v>
                </c:pt>
                <c:pt idx="22">
                  <c:v>167.16842872525174</c:v>
                </c:pt>
                <c:pt idx="23">
                  <c:v>166.97445711835715</c:v>
                </c:pt>
                <c:pt idx="24">
                  <c:v>176.59137804791413</c:v>
                </c:pt>
                <c:pt idx="25">
                  <c:v>177.81671836618759</c:v>
                </c:pt>
                <c:pt idx="26">
                  <c:v>178.52998546014544</c:v>
                </c:pt>
                <c:pt idx="27">
                  <c:v>177.56979885980175</c:v>
                </c:pt>
                <c:pt idx="28">
                  <c:v>177.4614038951589</c:v>
                </c:pt>
                <c:pt idx="29">
                  <c:v>177.34117908188497</c:v>
                </c:pt>
                <c:pt idx="30">
                  <c:v>178.0902972767862</c:v>
                </c:pt>
                <c:pt idx="31">
                  <c:v>177.46239766705327</c:v>
                </c:pt>
                <c:pt idx="32">
                  <c:v>177.25256860018038</c:v>
                </c:pt>
                <c:pt idx="33">
                  <c:v>177.56527055350335</c:v>
                </c:pt>
                <c:pt idx="34">
                  <c:v>179.16829955906974</c:v>
                </c:pt>
                <c:pt idx="35">
                  <c:v>179.45879145044887</c:v>
                </c:pt>
                <c:pt idx="36">
                  <c:v>187.36836601371746</c:v>
                </c:pt>
                <c:pt idx="37">
                  <c:v>188.17294634032112</c:v>
                </c:pt>
                <c:pt idx="38">
                  <c:v>188.80935727154892</c:v>
                </c:pt>
                <c:pt idx="39">
                  <c:v>188.08568773608084</c:v>
                </c:pt>
                <c:pt idx="40">
                  <c:v>189.38823222574592</c:v>
                </c:pt>
                <c:pt idx="41">
                  <c:v>189.3834459425328</c:v>
                </c:pt>
                <c:pt idx="42">
                  <c:v>188.83868202857352</c:v>
                </c:pt>
                <c:pt idx="43">
                  <c:v>188.88344638927632</c:v>
                </c:pt>
                <c:pt idx="44">
                  <c:v>190.47206668098136</c:v>
                </c:pt>
                <c:pt idx="45">
                  <c:v>192.42221805663007</c:v>
                </c:pt>
                <c:pt idx="46">
                  <c:v>192.683754409855</c:v>
                </c:pt>
                <c:pt idx="47">
                  <c:v>192.33952275094271</c:v>
                </c:pt>
                <c:pt idx="48">
                  <c:v>200.64305664165732</c:v>
                </c:pt>
                <c:pt idx="49">
                  <c:v>201.75040974243311</c:v>
                </c:pt>
                <c:pt idx="50">
                  <c:v>202.14727030528906</c:v>
                </c:pt>
                <c:pt idx="51">
                  <c:v>202.58598446161864</c:v>
                </c:pt>
                <c:pt idx="52">
                  <c:v>203.96221181139859</c:v>
                </c:pt>
                <c:pt idx="53">
                  <c:v>203.15124286865787</c:v>
                </c:pt>
                <c:pt idx="54">
                  <c:v>204.66259129174088</c:v>
                </c:pt>
                <c:pt idx="55">
                  <c:v>206.58928425997087</c:v>
                </c:pt>
                <c:pt idx="56">
                  <c:v>208.75973863203808</c:v>
                </c:pt>
                <c:pt idx="57">
                  <c:v>209.56422452064891</c:v>
                </c:pt>
                <c:pt idx="58">
                  <c:v>208.88480366129619</c:v>
                </c:pt>
                <c:pt idx="59">
                  <c:v>209.78497271942871</c:v>
                </c:pt>
                <c:pt idx="60">
                  <c:v>218.91046340298956</c:v>
                </c:pt>
                <c:pt idx="61">
                  <c:v>219.94117889189442</c:v>
                </c:pt>
                <c:pt idx="62">
                  <c:v>220.47471018861995</c:v>
                </c:pt>
                <c:pt idx="63">
                  <c:v>218.71332418308765</c:v>
                </c:pt>
                <c:pt idx="64">
                  <c:v>218.76925980008733</c:v>
                </c:pt>
                <c:pt idx="65">
                  <c:v>218.76656489385852</c:v>
                </c:pt>
                <c:pt idx="66">
                  <c:v>218.26922909546602</c:v>
                </c:pt>
                <c:pt idx="67">
                  <c:v>219.631387227261</c:v>
                </c:pt>
                <c:pt idx="68">
                  <c:v>219.96675403671509</c:v>
                </c:pt>
                <c:pt idx="69">
                  <c:v>221.47743984475363</c:v>
                </c:pt>
                <c:pt idx="70">
                  <c:v>221.14279183670604</c:v>
                </c:pt>
                <c:pt idx="71">
                  <c:v>221.02077160344666</c:v>
                </c:pt>
                <c:pt idx="72">
                  <c:v>229.34059787611022</c:v>
                </c:pt>
                <c:pt idx="73">
                  <c:v>234.00697165228291</c:v>
                </c:pt>
                <c:pt idx="74">
                  <c:v>237.39752073725481</c:v>
                </c:pt>
                <c:pt idx="75">
                  <c:v>240.69927965534467</c:v>
                </c:pt>
                <c:pt idx="76">
                  <c:v>246.07773338790861</c:v>
                </c:pt>
                <c:pt idx="77">
                  <c:v>247.55228528496815</c:v>
                </c:pt>
                <c:pt idx="78">
                  <c:v>250.81262235795597</c:v>
                </c:pt>
                <c:pt idx="79">
                  <c:v>252.21613522658149</c:v>
                </c:pt>
                <c:pt idx="80">
                  <c:v>254.2618119868645</c:v>
                </c:pt>
                <c:pt idx="81">
                  <c:v>257.22644762179488</c:v>
                </c:pt>
                <c:pt idx="82">
                  <c:v>261.86854188263123</c:v>
                </c:pt>
                <c:pt idx="83">
                  <c:v>266.10663901714173</c:v>
                </c:pt>
                <c:pt idx="84">
                  <c:v>257.96706593607587</c:v>
                </c:pt>
                <c:pt idx="85">
                  <c:v>265.84908778770841</c:v>
                </c:pt>
                <c:pt idx="86">
                  <c:v>269.79432715826061</c:v>
                </c:pt>
                <c:pt idx="87">
                  <c:v>275.04370376512475</c:v>
                </c:pt>
                <c:pt idx="88">
                  <c:v>280.70222717258707</c:v>
                </c:pt>
                <c:pt idx="89">
                  <c:v>281.96841829373255</c:v>
                </c:pt>
                <c:pt idx="90">
                  <c:v>287.71552405123924</c:v>
                </c:pt>
                <c:pt idx="91">
                  <c:v>287.22299857693235</c:v>
                </c:pt>
                <c:pt idx="92">
                  <c:v>288.15050994207638</c:v>
                </c:pt>
                <c:pt idx="93">
                  <c:v>284.17830736609892</c:v>
                </c:pt>
                <c:pt idx="94">
                  <c:v>284.02656066390728</c:v>
                </c:pt>
                <c:pt idx="95">
                  <c:v>284.94287765020641</c:v>
                </c:pt>
                <c:pt idx="96">
                  <c:v>283.89371329726907</c:v>
                </c:pt>
                <c:pt idx="97">
                  <c:v>289.50010781690395</c:v>
                </c:pt>
                <c:pt idx="98">
                  <c:v>286.6186967468272</c:v>
                </c:pt>
                <c:pt idx="99">
                  <c:v>284.63212221851825</c:v>
                </c:pt>
                <c:pt idx="100">
                  <c:v>283.75852728065081</c:v>
                </c:pt>
                <c:pt idx="101">
                  <c:v>281.09101713621038</c:v>
                </c:pt>
                <c:pt idx="102">
                  <c:v>279.70435283387974</c:v>
                </c:pt>
                <c:pt idx="103">
                  <c:v>280.96423915228536</c:v>
                </c:pt>
              </c:numCache>
            </c:numRef>
          </c:val>
          <c:extLst>
            <c:ext xmlns:c16="http://schemas.microsoft.com/office/drawing/2014/chart" uri="{C3380CC4-5D6E-409C-BE32-E72D297353CC}">
              <c16:uniqueId val="{00000001-003C-424E-A217-04AF99F2221E}"/>
            </c:ext>
          </c:extLst>
        </c:ser>
        <c:dLbls>
          <c:showLegendKey val="0"/>
          <c:showVal val="0"/>
          <c:showCatName val="0"/>
          <c:showSerName val="0"/>
          <c:showPercent val="0"/>
          <c:showBubbleSize val="0"/>
        </c:dLbls>
        <c:gapWidth val="219"/>
        <c:axId val="1558158336"/>
        <c:axId val="1388939840"/>
      </c:barChart>
      <c:lineChart>
        <c:grouping val="standard"/>
        <c:varyColors val="0"/>
        <c:ser>
          <c:idx val="2"/>
          <c:order val="2"/>
          <c:tx>
            <c:strRef>
              <c:f>'[230904 Revisión SICEP.xlsx]P_prom Bolsa Vs Cttos Vs MC'!$H$1</c:f>
              <c:strCache>
                <c:ptCount val="1"/>
                <c:pt idx="0">
                  <c:v>P_Bolsa Nacional</c:v>
                </c:pt>
              </c:strCache>
            </c:strRef>
          </c:tx>
          <c:spPr>
            <a:ln w="28575" cap="rnd">
              <a:solidFill>
                <a:srgbClr val="FF0000"/>
              </a:solidFill>
              <a:round/>
            </a:ln>
            <a:effectLst/>
          </c:spPr>
          <c:marker>
            <c:symbol val="circle"/>
            <c:size val="5"/>
            <c:spPr>
              <a:noFill/>
              <a:ln w="9525">
                <a:solidFill>
                  <a:schemeClr val="accent3"/>
                </a:solidFill>
              </a:ln>
              <a:effectLst/>
            </c:spPr>
          </c:marker>
          <c:cat>
            <c:numRef>
              <c:f>'[230904 Revisión SICEP.xlsx]P_prom Bolsa Vs Cttos Vs MC'!$E$2:$E$105</c:f>
              <c:numCache>
                <c:formatCode>mmm\-yy</c:formatCode>
                <c:ptCount val="104"/>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pt idx="63">
                  <c:v>43922</c:v>
                </c:pt>
                <c:pt idx="64">
                  <c:v>43952</c:v>
                </c:pt>
                <c:pt idx="65">
                  <c:v>43983</c:v>
                </c:pt>
                <c:pt idx="66">
                  <c:v>44013</c:v>
                </c:pt>
                <c:pt idx="67">
                  <c:v>44044</c:v>
                </c:pt>
                <c:pt idx="68">
                  <c:v>44075</c:v>
                </c:pt>
                <c:pt idx="69">
                  <c:v>44105</c:v>
                </c:pt>
                <c:pt idx="70">
                  <c:v>44136</c:v>
                </c:pt>
                <c:pt idx="71">
                  <c:v>44166</c:v>
                </c:pt>
                <c:pt idx="72">
                  <c:v>44197</c:v>
                </c:pt>
                <c:pt idx="73">
                  <c:v>44228</c:v>
                </c:pt>
                <c:pt idx="74">
                  <c:v>44256</c:v>
                </c:pt>
                <c:pt idx="75">
                  <c:v>44287</c:v>
                </c:pt>
                <c:pt idx="76">
                  <c:v>44317</c:v>
                </c:pt>
                <c:pt idx="77">
                  <c:v>44348</c:v>
                </c:pt>
                <c:pt idx="78">
                  <c:v>44378</c:v>
                </c:pt>
                <c:pt idx="79">
                  <c:v>44409</c:v>
                </c:pt>
                <c:pt idx="80">
                  <c:v>44440</c:v>
                </c:pt>
                <c:pt idx="81">
                  <c:v>44470</c:v>
                </c:pt>
                <c:pt idx="82">
                  <c:v>44501</c:v>
                </c:pt>
                <c:pt idx="83">
                  <c:v>44531</c:v>
                </c:pt>
                <c:pt idx="84">
                  <c:v>44562</c:v>
                </c:pt>
                <c:pt idx="85">
                  <c:v>44593</c:v>
                </c:pt>
                <c:pt idx="86">
                  <c:v>44621</c:v>
                </c:pt>
                <c:pt idx="87">
                  <c:v>44652</c:v>
                </c:pt>
                <c:pt idx="88">
                  <c:v>44682</c:v>
                </c:pt>
                <c:pt idx="89">
                  <c:v>44713</c:v>
                </c:pt>
                <c:pt idx="90">
                  <c:v>44743</c:v>
                </c:pt>
                <c:pt idx="91">
                  <c:v>44774</c:v>
                </c:pt>
                <c:pt idx="92">
                  <c:v>44805</c:v>
                </c:pt>
                <c:pt idx="93">
                  <c:v>44835</c:v>
                </c:pt>
                <c:pt idx="94">
                  <c:v>44866</c:v>
                </c:pt>
                <c:pt idx="95">
                  <c:v>44896</c:v>
                </c:pt>
                <c:pt idx="96">
                  <c:v>44927</c:v>
                </c:pt>
                <c:pt idx="97">
                  <c:v>44958</c:v>
                </c:pt>
                <c:pt idx="98">
                  <c:v>44986</c:v>
                </c:pt>
                <c:pt idx="99">
                  <c:v>45017</c:v>
                </c:pt>
                <c:pt idx="100">
                  <c:v>45047</c:v>
                </c:pt>
                <c:pt idx="101">
                  <c:v>45078</c:v>
                </c:pt>
                <c:pt idx="102">
                  <c:v>45108</c:v>
                </c:pt>
                <c:pt idx="103">
                  <c:v>45139</c:v>
                </c:pt>
              </c:numCache>
            </c:numRef>
          </c:cat>
          <c:val>
            <c:numRef>
              <c:f>'[230904 Revisión SICEP.xlsx]P_prom Bolsa Vs Cttos Vs MC'!$H$2:$H$105</c:f>
              <c:numCache>
                <c:formatCode>_(* #,##0.00_);_(* \(#,##0.00\);_(* "-"??_);_(@_)</c:formatCode>
                <c:ptCount val="104"/>
                <c:pt idx="0">
                  <c:v>187.59591156675378</c:v>
                </c:pt>
                <c:pt idx="1">
                  <c:v>166.2312297982524</c:v>
                </c:pt>
                <c:pt idx="2">
                  <c:v>205.50295123281182</c:v>
                </c:pt>
                <c:pt idx="3">
                  <c:v>161.30443637867106</c:v>
                </c:pt>
                <c:pt idx="4">
                  <c:v>259.1989318479645</c:v>
                </c:pt>
                <c:pt idx="5">
                  <c:v>186.41654923935999</c:v>
                </c:pt>
                <c:pt idx="6">
                  <c:v>206.15807095624842</c:v>
                </c:pt>
                <c:pt idx="7">
                  <c:v>183.70840540454731</c:v>
                </c:pt>
                <c:pt idx="8">
                  <c:v>458.83468631155773</c:v>
                </c:pt>
                <c:pt idx="9">
                  <c:v>1106.619160157368</c:v>
                </c:pt>
                <c:pt idx="10">
                  <c:v>766.9919821964113</c:v>
                </c:pt>
                <c:pt idx="11">
                  <c:v>630.19355002768827</c:v>
                </c:pt>
                <c:pt idx="12">
                  <c:v>554.15898279083979</c:v>
                </c:pt>
                <c:pt idx="13">
                  <c:v>645.9999115130114</c:v>
                </c:pt>
                <c:pt idx="14">
                  <c:v>830.01819727130794</c:v>
                </c:pt>
                <c:pt idx="15">
                  <c:v>332.49326425522446</c:v>
                </c:pt>
                <c:pt idx="16">
                  <c:v>140.31038126934732</c:v>
                </c:pt>
                <c:pt idx="17">
                  <c:v>167.97191705228335</c:v>
                </c:pt>
                <c:pt idx="18">
                  <c:v>129.21437463501613</c:v>
                </c:pt>
                <c:pt idx="19">
                  <c:v>198.01512705506775</c:v>
                </c:pt>
                <c:pt idx="20">
                  <c:v>150.36365726393552</c:v>
                </c:pt>
                <c:pt idx="21">
                  <c:v>184.94696967384087</c:v>
                </c:pt>
                <c:pt idx="22">
                  <c:v>166.67762203185444</c:v>
                </c:pt>
                <c:pt idx="23">
                  <c:v>107.45283868379461</c:v>
                </c:pt>
                <c:pt idx="24">
                  <c:v>111.50643625612783</c:v>
                </c:pt>
                <c:pt idx="25">
                  <c:v>156.99468745487496</c:v>
                </c:pt>
                <c:pt idx="26">
                  <c:v>119.85909334589138</c:v>
                </c:pt>
                <c:pt idx="27">
                  <c:v>96.477024957215562</c:v>
                </c:pt>
                <c:pt idx="28">
                  <c:v>71.650476428881717</c:v>
                </c:pt>
                <c:pt idx="29">
                  <c:v>68.500584126537774</c:v>
                </c:pt>
                <c:pt idx="30">
                  <c:v>70.604072483015045</c:v>
                </c:pt>
                <c:pt idx="31">
                  <c:v>92.572987914351629</c:v>
                </c:pt>
                <c:pt idx="32">
                  <c:v>124.32170806090552</c:v>
                </c:pt>
                <c:pt idx="33">
                  <c:v>137.36530674371542</c:v>
                </c:pt>
                <c:pt idx="34">
                  <c:v>126.71987473597999</c:v>
                </c:pt>
                <c:pt idx="35">
                  <c:v>101.34635220633764</c:v>
                </c:pt>
                <c:pt idx="36">
                  <c:v>124.476774192314</c:v>
                </c:pt>
                <c:pt idx="37">
                  <c:v>140.03725442810833</c:v>
                </c:pt>
                <c:pt idx="38">
                  <c:v>172.13389537352796</c:v>
                </c:pt>
                <c:pt idx="39">
                  <c:v>115.66846933344488</c:v>
                </c:pt>
                <c:pt idx="40">
                  <c:v>75.118008680008586</c:v>
                </c:pt>
                <c:pt idx="41">
                  <c:v>73.93359130753889</c:v>
                </c:pt>
                <c:pt idx="42">
                  <c:v>79.888977304109687</c:v>
                </c:pt>
                <c:pt idx="43">
                  <c:v>95.030495990369886</c:v>
                </c:pt>
                <c:pt idx="44">
                  <c:v>101.4322516821822</c:v>
                </c:pt>
                <c:pt idx="45">
                  <c:v>121.85983861632151</c:v>
                </c:pt>
                <c:pt idx="46">
                  <c:v>104.1186327256422</c:v>
                </c:pt>
                <c:pt idx="47">
                  <c:v>191.33679960191614</c:v>
                </c:pt>
                <c:pt idx="48">
                  <c:v>285.42366956056134</c:v>
                </c:pt>
                <c:pt idx="49">
                  <c:v>303.47030700388694</c:v>
                </c:pt>
                <c:pt idx="50">
                  <c:v>262.85791775508699</c:v>
                </c:pt>
                <c:pt idx="51">
                  <c:v>189.79297181995332</c:v>
                </c:pt>
                <c:pt idx="52">
                  <c:v>172.12713135618927</c:v>
                </c:pt>
                <c:pt idx="53">
                  <c:v>113.28355861946449</c:v>
                </c:pt>
                <c:pt idx="54">
                  <c:v>122.33132303373011</c:v>
                </c:pt>
                <c:pt idx="55">
                  <c:v>147.25797656723722</c:v>
                </c:pt>
                <c:pt idx="56">
                  <c:v>284.75647464283009</c:v>
                </c:pt>
                <c:pt idx="57">
                  <c:v>321.2870890228258</c:v>
                </c:pt>
                <c:pt idx="58">
                  <c:v>232.89346177372894</c:v>
                </c:pt>
                <c:pt idx="59">
                  <c:v>308.50903917118296</c:v>
                </c:pt>
                <c:pt idx="60">
                  <c:v>323.05575595040227</c:v>
                </c:pt>
                <c:pt idx="61">
                  <c:v>430.51645460758743</c:v>
                </c:pt>
                <c:pt idx="62">
                  <c:v>339.49155638743008</c:v>
                </c:pt>
                <c:pt idx="63">
                  <c:v>252.15912132123668</c:v>
                </c:pt>
                <c:pt idx="64">
                  <c:v>360.98439356138925</c:v>
                </c:pt>
                <c:pt idx="65">
                  <c:v>306.58412599807218</c:v>
                </c:pt>
                <c:pt idx="66">
                  <c:v>156.87740884749459</c:v>
                </c:pt>
                <c:pt idx="67">
                  <c:v>158.96601167748068</c:v>
                </c:pt>
                <c:pt idx="68">
                  <c:v>150.94045010082112</c:v>
                </c:pt>
                <c:pt idx="69">
                  <c:v>198.31224357791288</c:v>
                </c:pt>
                <c:pt idx="70">
                  <c:v>179.97131546070443</c:v>
                </c:pt>
                <c:pt idx="71">
                  <c:v>163.22487778497742</c:v>
                </c:pt>
                <c:pt idx="72">
                  <c:v>181.25787435351293</c:v>
                </c:pt>
                <c:pt idx="73">
                  <c:v>270.12728772273573</c:v>
                </c:pt>
                <c:pt idx="74">
                  <c:v>165.9048883357419</c:v>
                </c:pt>
                <c:pt idx="75">
                  <c:v>162.63107227547997</c:v>
                </c:pt>
                <c:pt idx="76">
                  <c:v>100.53325307486344</c:v>
                </c:pt>
                <c:pt idx="77">
                  <c:v>90.425136675355574</c:v>
                </c:pt>
                <c:pt idx="78">
                  <c:v>91.719773117460221</c:v>
                </c:pt>
                <c:pt idx="79">
                  <c:v>93.619043828191408</c:v>
                </c:pt>
                <c:pt idx="80">
                  <c:v>108.01792222293557</c:v>
                </c:pt>
                <c:pt idx="81">
                  <c:v>103.75400879424839</c:v>
                </c:pt>
                <c:pt idx="82">
                  <c:v>104.17486444506223</c:v>
                </c:pt>
                <c:pt idx="83">
                  <c:v>335.94371099771928</c:v>
                </c:pt>
                <c:pt idx="84">
                  <c:v>289.9188673634215</c:v>
                </c:pt>
                <c:pt idx="85">
                  <c:v>399.16464767157265</c:v>
                </c:pt>
                <c:pt idx="86">
                  <c:v>227.00017612274192</c:v>
                </c:pt>
                <c:pt idx="87">
                  <c:v>143.79478543361225</c:v>
                </c:pt>
                <c:pt idx="88">
                  <c:v>105.48973854021185</c:v>
                </c:pt>
                <c:pt idx="89">
                  <c:v>104.14529237814556</c:v>
                </c:pt>
                <c:pt idx="90">
                  <c:v>109.39845994679028</c:v>
                </c:pt>
                <c:pt idx="91">
                  <c:v>150.88629036841184</c:v>
                </c:pt>
                <c:pt idx="92">
                  <c:v>251.0653977554922</c:v>
                </c:pt>
                <c:pt idx="93">
                  <c:v>298.06713883694732</c:v>
                </c:pt>
                <c:pt idx="94">
                  <c:v>184.53592360006002</c:v>
                </c:pt>
                <c:pt idx="95">
                  <c:v>338.08440064145589</c:v>
                </c:pt>
                <c:pt idx="96">
                  <c:v>371.98131454647643</c:v>
                </c:pt>
                <c:pt idx="97">
                  <c:v>526.6859569205584</c:v>
                </c:pt>
                <c:pt idx="98">
                  <c:v>293.52546522224412</c:v>
                </c:pt>
                <c:pt idx="99">
                  <c:v>226.85530854876782</c:v>
                </c:pt>
                <c:pt idx="100">
                  <c:v>569.74181759718272</c:v>
                </c:pt>
                <c:pt idx="101">
                  <c:v>461.00299946642212</c:v>
                </c:pt>
                <c:pt idx="102">
                  <c:v>521.45753997162694</c:v>
                </c:pt>
                <c:pt idx="103">
                  <c:v>593.61482992710489</c:v>
                </c:pt>
              </c:numCache>
            </c:numRef>
          </c:val>
          <c:smooth val="0"/>
          <c:extLst>
            <c:ext xmlns:c16="http://schemas.microsoft.com/office/drawing/2014/chart" uri="{C3380CC4-5D6E-409C-BE32-E72D297353CC}">
              <c16:uniqueId val="{00000002-003C-424E-A217-04AF99F2221E}"/>
            </c:ext>
          </c:extLst>
        </c:ser>
        <c:ser>
          <c:idx val="3"/>
          <c:order val="3"/>
          <c:tx>
            <c:strRef>
              <c:f>'[230904 Revisión SICEP.xlsx]P_prom Bolsa Vs Cttos Vs MC'!$I$1</c:f>
              <c:strCache>
                <c:ptCount val="1"/>
                <c:pt idx="0">
                  <c:v>MC</c:v>
                </c:pt>
              </c:strCache>
            </c:strRef>
          </c:tx>
          <c:spPr>
            <a:ln w="28575" cap="rnd">
              <a:solidFill>
                <a:schemeClr val="accent4"/>
              </a:solidFill>
              <a:round/>
            </a:ln>
            <a:effectLst/>
          </c:spPr>
          <c:marker>
            <c:symbol val="none"/>
          </c:marker>
          <c:cat>
            <c:numRef>
              <c:f>'[230904 Revisión SICEP.xlsx]P_prom Bolsa Vs Cttos Vs MC'!$E$2:$E$105</c:f>
              <c:numCache>
                <c:formatCode>mmm\-yy</c:formatCode>
                <c:ptCount val="104"/>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pt idx="60">
                  <c:v>43831</c:v>
                </c:pt>
                <c:pt idx="61">
                  <c:v>43862</c:v>
                </c:pt>
                <c:pt idx="62">
                  <c:v>43891</c:v>
                </c:pt>
                <c:pt idx="63">
                  <c:v>43922</c:v>
                </c:pt>
                <c:pt idx="64">
                  <c:v>43952</c:v>
                </c:pt>
                <c:pt idx="65">
                  <c:v>43983</c:v>
                </c:pt>
                <c:pt idx="66">
                  <c:v>44013</c:v>
                </c:pt>
                <c:pt idx="67">
                  <c:v>44044</c:v>
                </c:pt>
                <c:pt idx="68">
                  <c:v>44075</c:v>
                </c:pt>
                <c:pt idx="69">
                  <c:v>44105</c:v>
                </c:pt>
                <c:pt idx="70">
                  <c:v>44136</c:v>
                </c:pt>
                <c:pt idx="71">
                  <c:v>44166</c:v>
                </c:pt>
                <c:pt idx="72">
                  <c:v>44197</c:v>
                </c:pt>
                <c:pt idx="73">
                  <c:v>44228</c:v>
                </c:pt>
                <c:pt idx="74">
                  <c:v>44256</c:v>
                </c:pt>
                <c:pt idx="75">
                  <c:v>44287</c:v>
                </c:pt>
                <c:pt idx="76">
                  <c:v>44317</c:v>
                </c:pt>
                <c:pt idx="77">
                  <c:v>44348</c:v>
                </c:pt>
                <c:pt idx="78">
                  <c:v>44378</c:v>
                </c:pt>
                <c:pt idx="79">
                  <c:v>44409</c:v>
                </c:pt>
                <c:pt idx="80">
                  <c:v>44440</c:v>
                </c:pt>
                <c:pt idx="81">
                  <c:v>44470</c:v>
                </c:pt>
                <c:pt idx="82">
                  <c:v>44501</c:v>
                </c:pt>
                <c:pt idx="83">
                  <c:v>44531</c:v>
                </c:pt>
                <c:pt idx="84">
                  <c:v>44562</c:v>
                </c:pt>
                <c:pt idx="85">
                  <c:v>44593</c:v>
                </c:pt>
                <c:pt idx="86">
                  <c:v>44621</c:v>
                </c:pt>
                <c:pt idx="87">
                  <c:v>44652</c:v>
                </c:pt>
                <c:pt idx="88">
                  <c:v>44682</c:v>
                </c:pt>
                <c:pt idx="89">
                  <c:v>44713</c:v>
                </c:pt>
                <c:pt idx="90">
                  <c:v>44743</c:v>
                </c:pt>
                <c:pt idx="91">
                  <c:v>44774</c:v>
                </c:pt>
                <c:pt idx="92">
                  <c:v>44805</c:v>
                </c:pt>
                <c:pt idx="93">
                  <c:v>44835</c:v>
                </c:pt>
                <c:pt idx="94">
                  <c:v>44866</c:v>
                </c:pt>
                <c:pt idx="95">
                  <c:v>44896</c:v>
                </c:pt>
                <c:pt idx="96">
                  <c:v>44927</c:v>
                </c:pt>
                <c:pt idx="97">
                  <c:v>44958</c:v>
                </c:pt>
                <c:pt idx="98">
                  <c:v>44986</c:v>
                </c:pt>
                <c:pt idx="99">
                  <c:v>45017</c:v>
                </c:pt>
                <c:pt idx="100">
                  <c:v>45047</c:v>
                </c:pt>
                <c:pt idx="101">
                  <c:v>45078</c:v>
                </c:pt>
                <c:pt idx="102">
                  <c:v>45108</c:v>
                </c:pt>
                <c:pt idx="103">
                  <c:v>45139</c:v>
                </c:pt>
              </c:numCache>
            </c:numRef>
          </c:cat>
          <c:val>
            <c:numRef>
              <c:f>'[230904 Revisión SICEP.xlsx]P_prom Bolsa Vs Cttos Vs MC'!$I$2:$I$105</c:f>
              <c:numCache>
                <c:formatCode>_(* #,##0.00_);_(* \(#,##0.00\);_(* "-"??_);_(@_)</c:formatCode>
                <c:ptCount val="104"/>
                <c:pt idx="0">
                  <c:v>146.81409405490001</c:v>
                </c:pt>
                <c:pt idx="1">
                  <c:v>146.9960119493</c:v>
                </c:pt>
                <c:pt idx="2">
                  <c:v>150.54867096640001</c:v>
                </c:pt>
                <c:pt idx="3">
                  <c:v>149.2670769316</c:v>
                </c:pt>
                <c:pt idx="4">
                  <c:v>148.92664286460001</c:v>
                </c:pt>
                <c:pt idx="5">
                  <c:v>149.2845741056</c:v>
                </c:pt>
                <c:pt idx="6">
                  <c:v>151.3342639544</c:v>
                </c:pt>
                <c:pt idx="7">
                  <c:v>154.21047880149999</c:v>
                </c:pt>
                <c:pt idx="8">
                  <c:v>160.5938664258</c:v>
                </c:pt>
                <c:pt idx="9">
                  <c:v>169.6291138041</c:v>
                </c:pt>
                <c:pt idx="10">
                  <c:v>169.15661602470001</c:v>
                </c:pt>
                <c:pt idx="11">
                  <c:v>171.6642668957</c:v>
                </c:pt>
                <c:pt idx="12">
                  <c:v>171.10611253100001</c:v>
                </c:pt>
                <c:pt idx="13">
                  <c:v>173.50987209990001</c:v>
                </c:pt>
                <c:pt idx="14">
                  <c:v>172.4390556939</c:v>
                </c:pt>
                <c:pt idx="15">
                  <c:v>166.5896743383</c:v>
                </c:pt>
                <c:pt idx="16">
                  <c:v>164.33848273300001</c:v>
                </c:pt>
                <c:pt idx="17">
                  <c:v>166.09601425770001</c:v>
                </c:pt>
                <c:pt idx="18">
                  <c:v>166.1985771251</c:v>
                </c:pt>
                <c:pt idx="19">
                  <c:v>165.75655764499999</c:v>
                </c:pt>
                <c:pt idx="20">
                  <c:v>164.49401239330001</c:v>
                </c:pt>
                <c:pt idx="21">
                  <c:v>165.0008344149</c:v>
                </c:pt>
                <c:pt idx="22">
                  <c:v>166.6438276694</c:v>
                </c:pt>
                <c:pt idx="23">
                  <c:v>166.43034373879999</c:v>
                </c:pt>
                <c:pt idx="24">
                  <c:v>173.03897157439999</c:v>
                </c:pt>
                <c:pt idx="25">
                  <c:v>173.53412478760001</c:v>
                </c:pt>
                <c:pt idx="26">
                  <c:v>174.1081234143</c:v>
                </c:pt>
                <c:pt idx="27">
                  <c:v>173.02181763140001</c:v>
                </c:pt>
                <c:pt idx="28">
                  <c:v>172.99686546730001</c:v>
                </c:pt>
                <c:pt idx="29">
                  <c:v>172.93488266630001</c:v>
                </c:pt>
                <c:pt idx="30">
                  <c:v>178.09029727679999</c:v>
                </c:pt>
                <c:pt idx="31">
                  <c:v>177.462397667</c:v>
                </c:pt>
                <c:pt idx="32">
                  <c:v>177.25256860019999</c:v>
                </c:pt>
                <c:pt idx="33">
                  <c:v>177.5652705535</c:v>
                </c:pt>
                <c:pt idx="34">
                  <c:v>179.16829955910001</c:v>
                </c:pt>
                <c:pt idx="35">
                  <c:v>179.45879145040001</c:v>
                </c:pt>
                <c:pt idx="36">
                  <c:v>187.36836601370001</c:v>
                </c:pt>
                <c:pt idx="37">
                  <c:v>188.1729463403</c:v>
                </c:pt>
                <c:pt idx="38">
                  <c:v>188.80935727150001</c:v>
                </c:pt>
                <c:pt idx="39">
                  <c:v>188.0856877361</c:v>
                </c:pt>
                <c:pt idx="40">
                  <c:v>189.38823222569999</c:v>
                </c:pt>
                <c:pt idx="41">
                  <c:v>189.3834459425</c:v>
                </c:pt>
                <c:pt idx="42">
                  <c:v>188.83868202849999</c:v>
                </c:pt>
                <c:pt idx="43">
                  <c:v>188.88344638929999</c:v>
                </c:pt>
                <c:pt idx="44">
                  <c:v>190.472066681</c:v>
                </c:pt>
                <c:pt idx="45">
                  <c:v>192.4222180566</c:v>
                </c:pt>
                <c:pt idx="46">
                  <c:v>192.6837544098</c:v>
                </c:pt>
                <c:pt idx="47">
                  <c:v>192.33952275089999</c:v>
                </c:pt>
                <c:pt idx="48">
                  <c:v>200.6430566416</c:v>
                </c:pt>
                <c:pt idx="49">
                  <c:v>201.7504097424</c:v>
                </c:pt>
                <c:pt idx="50">
                  <c:v>202.1472703053</c:v>
                </c:pt>
                <c:pt idx="51">
                  <c:v>202.58598446159999</c:v>
                </c:pt>
                <c:pt idx="52">
                  <c:v>203.96221181140001</c:v>
                </c:pt>
                <c:pt idx="53">
                  <c:v>203.15124286860001</c:v>
                </c:pt>
                <c:pt idx="54">
                  <c:v>204.66259129170001</c:v>
                </c:pt>
                <c:pt idx="55">
                  <c:v>206.58928426</c:v>
                </c:pt>
                <c:pt idx="56">
                  <c:v>208.75973863199999</c:v>
                </c:pt>
                <c:pt idx="57">
                  <c:v>209.56422452059999</c:v>
                </c:pt>
                <c:pt idx="58">
                  <c:v>208.8848036613</c:v>
                </c:pt>
                <c:pt idx="59">
                  <c:v>209.7849727194</c:v>
                </c:pt>
                <c:pt idx="60">
                  <c:v>218.91046340299999</c:v>
                </c:pt>
                <c:pt idx="61">
                  <c:v>219.94117889189999</c:v>
                </c:pt>
                <c:pt idx="62">
                  <c:v>220.4747101886</c:v>
                </c:pt>
                <c:pt idx="63">
                  <c:v>218.71332418310001</c:v>
                </c:pt>
                <c:pt idx="64">
                  <c:v>218.7692598001</c:v>
                </c:pt>
                <c:pt idx="65">
                  <c:v>218.76656489379999</c:v>
                </c:pt>
                <c:pt idx="66">
                  <c:v>218.26922909539999</c:v>
                </c:pt>
                <c:pt idx="67">
                  <c:v>219.63138722720001</c:v>
                </c:pt>
                <c:pt idx="68">
                  <c:v>219.9667540367</c:v>
                </c:pt>
                <c:pt idx="69">
                  <c:v>221.4774398447</c:v>
                </c:pt>
                <c:pt idx="70">
                  <c:v>221.14279183670001</c:v>
                </c:pt>
                <c:pt idx="71">
                  <c:v>221.02077160339999</c:v>
                </c:pt>
                <c:pt idx="72">
                  <c:v>229.34059787609999</c:v>
                </c:pt>
                <c:pt idx="73">
                  <c:v>234.0069716523</c:v>
                </c:pt>
                <c:pt idx="74">
                  <c:v>237.39752073720001</c:v>
                </c:pt>
                <c:pt idx="75">
                  <c:v>240.69927965529999</c:v>
                </c:pt>
                <c:pt idx="76">
                  <c:v>246.0777333879</c:v>
                </c:pt>
                <c:pt idx="77">
                  <c:v>247.55228528500001</c:v>
                </c:pt>
                <c:pt idx="78">
                  <c:v>250.81262235790001</c:v>
                </c:pt>
                <c:pt idx="79">
                  <c:v>252.21613522659999</c:v>
                </c:pt>
                <c:pt idx="80">
                  <c:v>254.2618119869</c:v>
                </c:pt>
                <c:pt idx="81">
                  <c:v>257.22644762179999</c:v>
                </c:pt>
                <c:pt idx="82">
                  <c:v>261.86854188260003</c:v>
                </c:pt>
                <c:pt idx="83">
                  <c:v>266.10663901710001</c:v>
                </c:pt>
                <c:pt idx="84">
                  <c:v>257.96706593610003</c:v>
                </c:pt>
                <c:pt idx="85">
                  <c:v>272.72214853510002</c:v>
                </c:pt>
                <c:pt idx="86">
                  <c:v>277.24024884630001</c:v>
                </c:pt>
                <c:pt idx="87">
                  <c:v>281.93096058729998</c:v>
                </c:pt>
                <c:pt idx="88">
                  <c:v>287.77388111089999</c:v>
                </c:pt>
                <c:pt idx="89">
                  <c:v>288.34206748299999</c:v>
                </c:pt>
                <c:pt idx="90">
                  <c:v>294.34477653760001</c:v>
                </c:pt>
                <c:pt idx="91">
                  <c:v>293.56478088450001</c:v>
                </c:pt>
                <c:pt idx="92">
                  <c:v>293.97772779500002</c:v>
                </c:pt>
                <c:pt idx="93">
                  <c:v>288.79855554839997</c:v>
                </c:pt>
                <c:pt idx="94">
                  <c:v>288.231471828</c:v>
                </c:pt>
                <c:pt idx="95">
                  <c:v>289.439289809</c:v>
                </c:pt>
                <c:pt idx="96">
                  <c:v>288.62754563520002</c:v>
                </c:pt>
                <c:pt idx="97">
                  <c:v>294.11279627710002</c:v>
                </c:pt>
                <c:pt idx="98">
                  <c:v>291.45873750959998</c:v>
                </c:pt>
                <c:pt idx="99">
                  <c:v>288.89453727310001</c:v>
                </c:pt>
                <c:pt idx="100">
                  <c:v>289.43474039680001</c:v>
                </c:pt>
                <c:pt idx="101">
                  <c:v>286.4433294369</c:v>
                </c:pt>
                <c:pt idx="102">
                  <c:v>285.65257563749998</c:v>
                </c:pt>
                <c:pt idx="103">
                  <c:v>286.87361105309998</c:v>
                </c:pt>
              </c:numCache>
            </c:numRef>
          </c:val>
          <c:smooth val="0"/>
          <c:extLst>
            <c:ext xmlns:c16="http://schemas.microsoft.com/office/drawing/2014/chart" uri="{C3380CC4-5D6E-409C-BE32-E72D297353CC}">
              <c16:uniqueId val="{00000003-003C-424E-A217-04AF99F2221E}"/>
            </c:ext>
          </c:extLst>
        </c:ser>
        <c:dLbls>
          <c:showLegendKey val="0"/>
          <c:showVal val="0"/>
          <c:showCatName val="0"/>
          <c:showSerName val="0"/>
          <c:showPercent val="0"/>
          <c:showBubbleSize val="0"/>
        </c:dLbls>
        <c:marker val="1"/>
        <c:smooth val="0"/>
        <c:axId val="1558158336"/>
        <c:axId val="1388939840"/>
      </c:lineChart>
      <c:dateAx>
        <c:axId val="15581583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s-CO"/>
          </a:p>
        </c:txPr>
        <c:crossAx val="1388939840"/>
        <c:crosses val="autoZero"/>
        <c:auto val="1"/>
        <c:lblOffset val="100"/>
        <c:baseTimeUnit val="months"/>
      </c:dateAx>
      <c:valAx>
        <c:axId val="1388939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55815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2825896762905"/>
          <c:y val="4.4927422115713815E-2"/>
          <c:w val="0.87129396325459318"/>
          <c:h val="0.74483915850690718"/>
        </c:manualLayout>
      </c:layout>
      <c:barChart>
        <c:barDir val="col"/>
        <c:grouping val="clustered"/>
        <c:varyColors val="0"/>
        <c:ser>
          <c:idx val="0"/>
          <c:order val="1"/>
          <c:tx>
            <c:strRef>
              <c:f>'[230904 Revisión SICEP.xlsx]PIVOT Tiempos'!$I$8</c:f>
              <c:strCache>
                <c:ptCount val="1"/>
                <c:pt idx="0">
                  <c:v>DÍAS HÁBILES PROM. OBSERVADOS</c:v>
                </c:pt>
              </c:strCache>
            </c:strRef>
          </c:tx>
          <c:spPr>
            <a:solidFill>
              <a:schemeClr val="accent1"/>
            </a:solidFill>
            <a:ln>
              <a:noFill/>
            </a:ln>
            <a:effectLst/>
          </c:spPr>
          <c:invertIfNegative val="0"/>
          <c:dLbls>
            <c:dLbl>
              <c:idx val="0"/>
              <c:layout>
                <c:manualLayout>
                  <c:x val="-2.1560768608195682E-17"/>
                  <c:y val="-1.4114326040931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5A-4F9B-91C7-621B8486E5F4}"/>
                </c:ext>
              </c:extLst>
            </c:dLbl>
            <c:dLbl>
              <c:idx val="2"/>
              <c:layout>
                <c:manualLayout>
                  <c:x val="-8.6243074432782728E-17"/>
                  <c:y val="2.1171489061397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5A-4F9B-91C7-621B8486E5F4}"/>
                </c:ext>
              </c:extLst>
            </c:dLbl>
            <c:dLbl>
              <c:idx val="3"/>
              <c:layout>
                <c:manualLayout>
                  <c:x val="0"/>
                  <c:y val="2.1171489061397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5A-4F9B-91C7-621B8486E5F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Tiempos'!$G$9:$G$12</c:f>
              <c:numCache>
                <c:formatCode>General</c:formatCode>
                <c:ptCount val="4"/>
                <c:pt idx="0">
                  <c:v>2020</c:v>
                </c:pt>
                <c:pt idx="1">
                  <c:v>2021</c:v>
                </c:pt>
                <c:pt idx="2">
                  <c:v>2022</c:v>
                </c:pt>
                <c:pt idx="3">
                  <c:v>2023</c:v>
                </c:pt>
              </c:numCache>
            </c:numRef>
          </c:cat>
          <c:val>
            <c:numRef>
              <c:f>'[230904 Revisión SICEP.xlsx]PIVOT Tiempos'!$I$9:$I$12</c:f>
              <c:numCache>
                <c:formatCode>0.00</c:formatCode>
                <c:ptCount val="4"/>
                <c:pt idx="0">
                  <c:v>13.955882352941176</c:v>
                </c:pt>
                <c:pt idx="1">
                  <c:v>14.173913043478262</c:v>
                </c:pt>
                <c:pt idx="2">
                  <c:v>12.770114942528735</c:v>
                </c:pt>
                <c:pt idx="3">
                  <c:v>13.184615384615384</c:v>
                </c:pt>
              </c:numCache>
            </c:numRef>
          </c:val>
          <c:extLst>
            <c:ext xmlns:c16="http://schemas.microsoft.com/office/drawing/2014/chart" uri="{C3380CC4-5D6E-409C-BE32-E72D297353CC}">
              <c16:uniqueId val="{00000000-7821-4083-8BFC-3D047994CFDF}"/>
            </c:ext>
          </c:extLst>
        </c:ser>
        <c:dLbls>
          <c:showLegendKey val="0"/>
          <c:showVal val="1"/>
          <c:showCatName val="0"/>
          <c:showSerName val="0"/>
          <c:showPercent val="0"/>
          <c:showBubbleSize val="0"/>
        </c:dLbls>
        <c:gapWidth val="91"/>
        <c:axId val="1512863440"/>
        <c:axId val="1710518959"/>
      </c:barChart>
      <c:lineChart>
        <c:grouping val="standard"/>
        <c:varyColors val="0"/>
        <c:ser>
          <c:idx val="2"/>
          <c:order val="0"/>
          <c:tx>
            <c:strRef>
              <c:f>'[230904 Revisión SICEP.xlsx]PIVOT Tiempos'!$H$8</c:f>
              <c:strCache>
                <c:ptCount val="1"/>
                <c:pt idx="0">
                  <c:v>LÍMITE R.130</c:v>
                </c:pt>
              </c:strCache>
            </c:strRef>
          </c:tx>
          <c:spPr>
            <a:ln w="28575" cap="rnd">
              <a:solidFill>
                <a:schemeClr val="accent3"/>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5-7821-4083-8BFC-3D047994CFDF}"/>
                </c:ext>
              </c:extLst>
            </c:dLbl>
            <c:dLbl>
              <c:idx val="1"/>
              <c:delete val="1"/>
              <c:extLst>
                <c:ext xmlns:c15="http://schemas.microsoft.com/office/drawing/2012/chart" uri="{CE6537A1-D6FC-4f65-9D91-7224C49458BB}"/>
                <c:ext xmlns:c16="http://schemas.microsoft.com/office/drawing/2014/chart" uri="{C3380CC4-5D6E-409C-BE32-E72D297353CC}">
                  <c16:uniqueId val="{00000004-7821-4083-8BFC-3D047994CFDF}"/>
                </c:ext>
              </c:extLst>
            </c:dLbl>
            <c:dLbl>
              <c:idx val="2"/>
              <c:delete val="1"/>
              <c:extLst>
                <c:ext xmlns:c15="http://schemas.microsoft.com/office/drawing/2012/chart" uri="{CE6537A1-D6FC-4f65-9D91-7224C49458BB}"/>
                <c:ext xmlns:c16="http://schemas.microsoft.com/office/drawing/2014/chart" uri="{C3380CC4-5D6E-409C-BE32-E72D297353CC}">
                  <c16:uniqueId val="{00000003-7821-4083-8BFC-3D047994CFDF}"/>
                </c:ext>
              </c:extLst>
            </c:dLbl>
            <c:dLbl>
              <c:idx val="3"/>
              <c:layout>
                <c:manualLayout>
                  <c:x val="3.7236001749781276E-2"/>
                  <c:y val="-9.9636530149721688E-18"/>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FF0000"/>
                      </a:solidFill>
                      <a:latin typeface="+mn-lt"/>
                      <a:ea typeface="+mn-ea"/>
                      <a:cs typeface="+mn-cs"/>
                    </a:defRPr>
                  </a:pPr>
                  <a:endParaRPr lang="es-CO"/>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21-4083-8BFC-3D047994CFD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Tiempos'!$G$9:$G$12</c:f>
              <c:numCache>
                <c:formatCode>General</c:formatCode>
                <c:ptCount val="4"/>
                <c:pt idx="0">
                  <c:v>2020</c:v>
                </c:pt>
                <c:pt idx="1">
                  <c:v>2021</c:v>
                </c:pt>
                <c:pt idx="2">
                  <c:v>2022</c:v>
                </c:pt>
                <c:pt idx="3">
                  <c:v>2023</c:v>
                </c:pt>
              </c:numCache>
            </c:numRef>
          </c:cat>
          <c:val>
            <c:numRef>
              <c:f>'[230904 Revisión SICEP.xlsx]PIVOT Tiempos'!$H$9:$H$12</c:f>
              <c:numCache>
                <c:formatCode>0</c:formatCode>
                <c:ptCount val="4"/>
                <c:pt idx="0">
                  <c:v>15</c:v>
                </c:pt>
                <c:pt idx="1">
                  <c:v>15</c:v>
                </c:pt>
                <c:pt idx="2">
                  <c:v>15</c:v>
                </c:pt>
                <c:pt idx="3">
                  <c:v>15</c:v>
                </c:pt>
              </c:numCache>
            </c:numRef>
          </c:val>
          <c:smooth val="0"/>
          <c:extLst>
            <c:ext xmlns:c16="http://schemas.microsoft.com/office/drawing/2014/chart" uri="{C3380CC4-5D6E-409C-BE32-E72D297353CC}">
              <c16:uniqueId val="{00000001-7821-4083-8BFC-3D047994CFDF}"/>
            </c:ext>
          </c:extLst>
        </c:ser>
        <c:dLbls>
          <c:showLegendKey val="0"/>
          <c:showVal val="0"/>
          <c:showCatName val="0"/>
          <c:showSerName val="0"/>
          <c:showPercent val="0"/>
          <c:showBubbleSize val="0"/>
        </c:dLbls>
        <c:marker val="1"/>
        <c:smooth val="0"/>
        <c:axId val="1678602623"/>
        <c:axId val="1657250703"/>
      </c:lineChart>
      <c:catAx>
        <c:axId val="151286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10518959"/>
        <c:crosses val="autoZero"/>
        <c:auto val="1"/>
        <c:lblAlgn val="ctr"/>
        <c:lblOffset val="100"/>
        <c:noMultiLvlLbl val="0"/>
      </c:catAx>
      <c:valAx>
        <c:axId val="1710518959"/>
        <c:scaling>
          <c:orientation val="minMax"/>
          <c:min val="0"/>
        </c:scaling>
        <c:delete val="1"/>
        <c:axPos val="l"/>
        <c:numFmt formatCode="0" sourceLinked="0"/>
        <c:majorTickMark val="none"/>
        <c:minorTickMark val="none"/>
        <c:tickLblPos val="nextTo"/>
        <c:crossAx val="1512863440"/>
        <c:crosses val="autoZero"/>
        <c:crossBetween val="between"/>
      </c:valAx>
      <c:valAx>
        <c:axId val="1657250703"/>
        <c:scaling>
          <c:orientation val="minMax"/>
        </c:scaling>
        <c:delete val="1"/>
        <c:axPos val="r"/>
        <c:numFmt formatCode="0" sourceLinked="1"/>
        <c:majorTickMark val="out"/>
        <c:minorTickMark val="none"/>
        <c:tickLblPos val="nextTo"/>
        <c:crossAx val="1678602623"/>
        <c:crosses val="max"/>
        <c:crossBetween val="between"/>
      </c:valAx>
      <c:catAx>
        <c:axId val="1678602623"/>
        <c:scaling>
          <c:orientation val="minMax"/>
        </c:scaling>
        <c:delete val="1"/>
        <c:axPos val="b"/>
        <c:numFmt formatCode="General" sourceLinked="1"/>
        <c:majorTickMark val="out"/>
        <c:minorTickMark val="none"/>
        <c:tickLblPos val="nextTo"/>
        <c:crossAx val="1657250703"/>
        <c:crosses val="autoZero"/>
        <c:auto val="1"/>
        <c:lblAlgn val="ctr"/>
        <c:lblOffset val="100"/>
        <c:noMultiLvlLbl val="0"/>
      </c:catAx>
      <c:spPr>
        <a:noFill/>
        <a:ln>
          <a:noFill/>
        </a:ln>
        <a:effectLst/>
      </c:spPr>
    </c:plotArea>
    <c:legend>
      <c:legendPos val="r"/>
      <c:layout>
        <c:manualLayout>
          <c:xMode val="edge"/>
          <c:yMode val="edge"/>
          <c:x val="0"/>
          <c:y val="0.89088000333512252"/>
          <c:w val="0.98062756200418755"/>
          <c:h val="0.109119996664877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2825896762905"/>
          <c:y val="6.4814814814814811E-2"/>
          <c:w val="0.87129396325459318"/>
          <c:h val="0.70207337864818176"/>
        </c:manualLayout>
      </c:layout>
      <c:barChart>
        <c:barDir val="col"/>
        <c:grouping val="clustered"/>
        <c:varyColors val="0"/>
        <c:ser>
          <c:idx val="0"/>
          <c:order val="1"/>
          <c:tx>
            <c:strRef>
              <c:f>'[230904 Revisión SICEP.xlsx]PIVOT Tiempos'!$I$8</c:f>
              <c:strCache>
                <c:ptCount val="1"/>
                <c:pt idx="0">
                  <c:v>DÍAS HÁBILES PROM. OBSERVADOS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Tiempos'!$G$21:$G$24</c:f>
              <c:numCache>
                <c:formatCode>General</c:formatCode>
                <c:ptCount val="4"/>
                <c:pt idx="0">
                  <c:v>2020</c:v>
                </c:pt>
                <c:pt idx="1">
                  <c:v>2021</c:v>
                </c:pt>
                <c:pt idx="2">
                  <c:v>2022</c:v>
                </c:pt>
                <c:pt idx="3">
                  <c:v>2023</c:v>
                </c:pt>
              </c:numCache>
            </c:numRef>
          </c:cat>
          <c:val>
            <c:numRef>
              <c:f>'[230904 Revisión SICEP.xlsx]PIVOT Tiempos'!$I$21:$I$24</c:f>
              <c:numCache>
                <c:formatCode>0.00</c:formatCode>
                <c:ptCount val="4"/>
                <c:pt idx="0">
                  <c:v>21.882352941176471</c:v>
                </c:pt>
                <c:pt idx="1">
                  <c:v>22.115942028985508</c:v>
                </c:pt>
                <c:pt idx="2">
                  <c:v>21.919540229885058</c:v>
                </c:pt>
                <c:pt idx="3">
                  <c:v>21.430769230769229</c:v>
                </c:pt>
              </c:numCache>
            </c:numRef>
          </c:val>
          <c:extLst>
            <c:ext xmlns:c16="http://schemas.microsoft.com/office/drawing/2014/chart" uri="{C3380CC4-5D6E-409C-BE32-E72D297353CC}">
              <c16:uniqueId val="{00000000-4457-4CFC-8114-A39E9C63E630}"/>
            </c:ext>
          </c:extLst>
        </c:ser>
        <c:dLbls>
          <c:showLegendKey val="0"/>
          <c:showVal val="1"/>
          <c:showCatName val="0"/>
          <c:showSerName val="0"/>
          <c:showPercent val="0"/>
          <c:showBubbleSize val="0"/>
        </c:dLbls>
        <c:gapWidth val="91"/>
        <c:axId val="1512863440"/>
        <c:axId val="1710518959"/>
      </c:barChart>
      <c:lineChart>
        <c:grouping val="standard"/>
        <c:varyColors val="0"/>
        <c:ser>
          <c:idx val="2"/>
          <c:order val="0"/>
          <c:tx>
            <c:strRef>
              <c:f>'[230904 Revisión SICEP.xlsx]PIVOT Tiempos'!$H$8</c:f>
              <c:strCache>
                <c:ptCount val="1"/>
                <c:pt idx="0">
                  <c:v>LÍMITE R.130</c:v>
                </c:pt>
              </c:strCache>
            </c:strRef>
          </c:tx>
          <c:spPr>
            <a:ln w="28575" cap="rnd">
              <a:solidFill>
                <a:schemeClr val="accent6"/>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4-4457-4CFC-8114-A39E9C63E630}"/>
                </c:ext>
              </c:extLst>
            </c:dLbl>
            <c:dLbl>
              <c:idx val="1"/>
              <c:delete val="1"/>
              <c:extLst>
                <c:ext xmlns:c15="http://schemas.microsoft.com/office/drawing/2012/chart" uri="{CE6537A1-D6FC-4f65-9D91-7224C49458BB}"/>
                <c:ext xmlns:c16="http://schemas.microsoft.com/office/drawing/2014/chart" uri="{C3380CC4-5D6E-409C-BE32-E72D297353CC}">
                  <c16:uniqueId val="{00000003-4457-4CFC-8114-A39E9C63E630}"/>
                </c:ext>
              </c:extLst>
            </c:dLbl>
            <c:dLbl>
              <c:idx val="2"/>
              <c:delete val="1"/>
              <c:extLst>
                <c:ext xmlns:c15="http://schemas.microsoft.com/office/drawing/2012/chart" uri="{CE6537A1-D6FC-4f65-9D91-7224C49458BB}"/>
                <c:ext xmlns:c16="http://schemas.microsoft.com/office/drawing/2014/chart" uri="{C3380CC4-5D6E-409C-BE32-E72D297353CC}">
                  <c16:uniqueId val="{00000005-4457-4CFC-8114-A39E9C63E630}"/>
                </c:ext>
              </c:extLst>
            </c:dLbl>
            <c:dLbl>
              <c:idx val="3"/>
              <c:layout>
                <c:manualLayout>
                  <c:x val="4.1251221631380994E-2"/>
                  <c:y val="-2.492877492877509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57-4CFC-8114-A39E9C63E630}"/>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FF0000"/>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'[230904 Revisión SICEP.xlsx]PIVOT Tiempos'!$G$21:$G$24</c:f>
              <c:numCache>
                <c:formatCode>General</c:formatCode>
                <c:ptCount val="4"/>
                <c:pt idx="0">
                  <c:v>2020</c:v>
                </c:pt>
                <c:pt idx="1">
                  <c:v>2021</c:v>
                </c:pt>
                <c:pt idx="2">
                  <c:v>2022</c:v>
                </c:pt>
                <c:pt idx="3">
                  <c:v>2023</c:v>
                </c:pt>
              </c:numCache>
            </c:numRef>
          </c:cat>
          <c:val>
            <c:numRef>
              <c:f>'[230904 Revisión SICEP.xlsx]PIVOT Tiempos'!$H$21:$H$24</c:f>
              <c:numCache>
                <c:formatCode>0</c:formatCode>
                <c:ptCount val="4"/>
                <c:pt idx="0">
                  <c:v>20</c:v>
                </c:pt>
                <c:pt idx="1">
                  <c:v>20</c:v>
                </c:pt>
                <c:pt idx="2">
                  <c:v>20</c:v>
                </c:pt>
                <c:pt idx="3">
                  <c:v>20</c:v>
                </c:pt>
              </c:numCache>
            </c:numRef>
          </c:val>
          <c:smooth val="0"/>
          <c:extLst>
            <c:ext xmlns:c16="http://schemas.microsoft.com/office/drawing/2014/chart" uri="{C3380CC4-5D6E-409C-BE32-E72D297353CC}">
              <c16:uniqueId val="{00000001-4457-4CFC-8114-A39E9C63E630}"/>
            </c:ext>
          </c:extLst>
        </c:ser>
        <c:dLbls>
          <c:showLegendKey val="0"/>
          <c:showVal val="0"/>
          <c:showCatName val="0"/>
          <c:showSerName val="0"/>
          <c:showPercent val="0"/>
          <c:showBubbleSize val="0"/>
        </c:dLbls>
        <c:marker val="1"/>
        <c:smooth val="0"/>
        <c:axId val="1331309439"/>
        <c:axId val="1640598271"/>
      </c:lineChart>
      <c:catAx>
        <c:axId val="151286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10518959"/>
        <c:crosses val="autoZero"/>
        <c:auto val="1"/>
        <c:lblAlgn val="ctr"/>
        <c:lblOffset val="100"/>
        <c:noMultiLvlLbl val="0"/>
      </c:catAx>
      <c:valAx>
        <c:axId val="1710518959"/>
        <c:scaling>
          <c:orientation val="minMax"/>
          <c:min val="0"/>
        </c:scaling>
        <c:delete val="1"/>
        <c:axPos val="l"/>
        <c:numFmt formatCode="0" sourceLinked="0"/>
        <c:majorTickMark val="none"/>
        <c:minorTickMark val="none"/>
        <c:tickLblPos val="nextTo"/>
        <c:crossAx val="1512863440"/>
        <c:crosses val="autoZero"/>
        <c:crossBetween val="between"/>
      </c:valAx>
      <c:valAx>
        <c:axId val="1640598271"/>
        <c:scaling>
          <c:orientation val="minMax"/>
        </c:scaling>
        <c:delete val="1"/>
        <c:axPos val="r"/>
        <c:numFmt formatCode="0" sourceLinked="1"/>
        <c:majorTickMark val="out"/>
        <c:minorTickMark val="none"/>
        <c:tickLblPos val="nextTo"/>
        <c:crossAx val="1331309439"/>
        <c:crosses val="max"/>
        <c:crossBetween val="between"/>
      </c:valAx>
      <c:catAx>
        <c:axId val="1331309439"/>
        <c:scaling>
          <c:orientation val="minMax"/>
        </c:scaling>
        <c:delete val="1"/>
        <c:axPos val="b"/>
        <c:numFmt formatCode="General" sourceLinked="1"/>
        <c:majorTickMark val="out"/>
        <c:minorTickMark val="none"/>
        <c:tickLblPos val="nextTo"/>
        <c:crossAx val="1640598271"/>
        <c:crosses val="autoZero"/>
        <c:auto val="1"/>
        <c:lblAlgn val="ctr"/>
        <c:lblOffset val="100"/>
        <c:noMultiLvlLbl val="0"/>
      </c:catAx>
      <c:spPr>
        <a:noFill/>
        <a:ln>
          <a:noFill/>
        </a:ln>
        <a:effectLst/>
      </c:spPr>
    </c:plotArea>
    <c:legend>
      <c:legendPos val="r"/>
      <c:layout>
        <c:manualLayout>
          <c:xMode val="edge"/>
          <c:yMode val="edge"/>
          <c:x val="2.5614339953073127E-2"/>
          <c:y val="0.87793424860353997"/>
          <c:w val="0.95372805977149222"/>
          <c:h val="0.1130773717387890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DDBF8EA4AC10409E5DD136B884FF26" ma:contentTypeVersion="15" ma:contentTypeDescription="Crear nuevo documento." ma:contentTypeScope="" ma:versionID="a4811fd81d9c8a584a4293fbceb800d6">
  <xsd:schema xmlns:xsd="http://www.w3.org/2001/XMLSchema" xmlns:xs="http://www.w3.org/2001/XMLSchema" xmlns:p="http://schemas.microsoft.com/office/2006/metadata/properties" xmlns:ns2="dc013113-1dca-4df1-85dc-f9b02cbd6c8a" xmlns:ns3="59649a11-d5e3-4d79-a1ca-9592dfa242c6" targetNamespace="http://schemas.microsoft.com/office/2006/metadata/properties" ma:root="true" ma:fieldsID="e6fc1f94d17a89f563dd8cfc32129f5f" ns2:_="" ns3:_="">
    <xsd:import namespace="dc013113-1dca-4df1-85dc-f9b02cbd6c8a"/>
    <xsd:import namespace="59649a11-d5e3-4d79-a1ca-9592dfa242c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3113-1dca-4df1-85dc-f9b02cbd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49a11-d5e3-4d79-a1ca-9592dfa242c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0083b729-77ee-4b02-ac0b-cf44bfe93552}" ma:internalName="TaxCatchAll" ma:showField="CatchAllData" ma:web="59649a11-d5e3-4d79-a1ca-9592dfa24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649a11-d5e3-4d79-a1ca-9592dfa242c6" xsi:nil="true"/>
    <lcf76f155ced4ddcb4097134ff3c332f xmlns="dc013113-1dca-4df1-85dc-f9b02cbd6c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B172-F4D1-46AA-B1DD-007E2219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3113-1dca-4df1-85dc-f9b02cbd6c8a"/>
    <ds:schemaRef ds:uri="59649a11-d5e3-4d79-a1ca-9592dfa2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A84C7-30C1-4B94-BF64-4D85C27CB76B}">
  <ds:schemaRefs>
    <ds:schemaRef ds:uri="http://schemas.microsoft.com/office/2006/metadata/properties"/>
    <ds:schemaRef ds:uri="http://schemas.microsoft.com/office/infopath/2007/PartnerControls"/>
    <ds:schemaRef ds:uri="59649a11-d5e3-4d79-a1ca-9592dfa242c6"/>
    <ds:schemaRef ds:uri="dc013113-1dca-4df1-85dc-f9b02cbd6c8a"/>
  </ds:schemaRefs>
</ds:datastoreItem>
</file>

<file path=customXml/itemProps3.xml><?xml version="1.0" encoding="utf-8"?>
<ds:datastoreItem xmlns:ds="http://schemas.openxmlformats.org/officeDocument/2006/customXml" ds:itemID="{58205DA5-6555-47C4-BD7A-7E85DFD928BD}">
  <ds:schemaRefs>
    <ds:schemaRef ds:uri="http://schemas.microsoft.com/sharepoint/v3/contenttype/forms"/>
  </ds:schemaRefs>
</ds:datastoreItem>
</file>

<file path=customXml/itemProps4.xml><?xml version="1.0" encoding="utf-8"?>
<ds:datastoreItem xmlns:ds="http://schemas.openxmlformats.org/officeDocument/2006/customXml" ds:itemID="{FB2C999F-2F6A-4928-BF61-1B36F934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6240</Words>
  <Characters>35713</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3 espacios (Interlineado sencillo)</vt:lpstr>
    </vt:vector>
  </TitlesOfParts>
  <Company>CREG</Company>
  <LinksUpToDate>false</LinksUpToDate>
  <CharactersWithSpaces>41870</CharactersWithSpaces>
  <SharedDoc>false</SharedDoc>
  <HLinks>
    <vt:vector size="120" baseType="variant">
      <vt:variant>
        <vt:i4>1638454</vt:i4>
      </vt:variant>
      <vt:variant>
        <vt:i4>117</vt:i4>
      </vt:variant>
      <vt:variant>
        <vt:i4>0</vt:i4>
      </vt:variant>
      <vt:variant>
        <vt:i4>5</vt:i4>
      </vt:variant>
      <vt:variant>
        <vt:lpwstr/>
      </vt:variant>
      <vt:variant>
        <vt:lpwstr>_Toc144900337</vt:lpwstr>
      </vt:variant>
      <vt:variant>
        <vt:i4>1638454</vt:i4>
      </vt:variant>
      <vt:variant>
        <vt:i4>111</vt:i4>
      </vt:variant>
      <vt:variant>
        <vt:i4>0</vt:i4>
      </vt:variant>
      <vt:variant>
        <vt:i4>5</vt:i4>
      </vt:variant>
      <vt:variant>
        <vt:lpwstr/>
      </vt:variant>
      <vt:variant>
        <vt:lpwstr>_Toc144900336</vt:lpwstr>
      </vt:variant>
      <vt:variant>
        <vt:i4>1638454</vt:i4>
      </vt:variant>
      <vt:variant>
        <vt:i4>105</vt:i4>
      </vt:variant>
      <vt:variant>
        <vt:i4>0</vt:i4>
      </vt:variant>
      <vt:variant>
        <vt:i4>5</vt:i4>
      </vt:variant>
      <vt:variant>
        <vt:lpwstr/>
      </vt:variant>
      <vt:variant>
        <vt:lpwstr>_Toc144900335</vt:lpwstr>
      </vt:variant>
      <vt:variant>
        <vt:i4>1638454</vt:i4>
      </vt:variant>
      <vt:variant>
        <vt:i4>99</vt:i4>
      </vt:variant>
      <vt:variant>
        <vt:i4>0</vt:i4>
      </vt:variant>
      <vt:variant>
        <vt:i4>5</vt:i4>
      </vt:variant>
      <vt:variant>
        <vt:lpwstr/>
      </vt:variant>
      <vt:variant>
        <vt:lpwstr>_Toc144900334</vt:lpwstr>
      </vt:variant>
      <vt:variant>
        <vt:i4>1638454</vt:i4>
      </vt:variant>
      <vt:variant>
        <vt:i4>93</vt:i4>
      </vt:variant>
      <vt:variant>
        <vt:i4>0</vt:i4>
      </vt:variant>
      <vt:variant>
        <vt:i4>5</vt:i4>
      </vt:variant>
      <vt:variant>
        <vt:lpwstr/>
      </vt:variant>
      <vt:variant>
        <vt:lpwstr>_Toc144900333</vt:lpwstr>
      </vt:variant>
      <vt:variant>
        <vt:i4>1638454</vt:i4>
      </vt:variant>
      <vt:variant>
        <vt:i4>87</vt:i4>
      </vt:variant>
      <vt:variant>
        <vt:i4>0</vt:i4>
      </vt:variant>
      <vt:variant>
        <vt:i4>5</vt:i4>
      </vt:variant>
      <vt:variant>
        <vt:lpwstr/>
      </vt:variant>
      <vt:variant>
        <vt:lpwstr>_Toc144900332</vt:lpwstr>
      </vt:variant>
      <vt:variant>
        <vt:i4>1638454</vt:i4>
      </vt:variant>
      <vt:variant>
        <vt:i4>81</vt:i4>
      </vt:variant>
      <vt:variant>
        <vt:i4>0</vt:i4>
      </vt:variant>
      <vt:variant>
        <vt:i4>5</vt:i4>
      </vt:variant>
      <vt:variant>
        <vt:lpwstr/>
      </vt:variant>
      <vt:variant>
        <vt:lpwstr>_Toc144900331</vt:lpwstr>
      </vt:variant>
      <vt:variant>
        <vt:i4>1638454</vt:i4>
      </vt:variant>
      <vt:variant>
        <vt:i4>75</vt:i4>
      </vt:variant>
      <vt:variant>
        <vt:i4>0</vt:i4>
      </vt:variant>
      <vt:variant>
        <vt:i4>5</vt:i4>
      </vt:variant>
      <vt:variant>
        <vt:lpwstr/>
      </vt:variant>
      <vt:variant>
        <vt:lpwstr>_Toc144900330</vt:lpwstr>
      </vt:variant>
      <vt:variant>
        <vt:i4>1572918</vt:i4>
      </vt:variant>
      <vt:variant>
        <vt:i4>69</vt:i4>
      </vt:variant>
      <vt:variant>
        <vt:i4>0</vt:i4>
      </vt:variant>
      <vt:variant>
        <vt:i4>5</vt:i4>
      </vt:variant>
      <vt:variant>
        <vt:lpwstr/>
      </vt:variant>
      <vt:variant>
        <vt:lpwstr>_Toc144900329</vt:lpwstr>
      </vt:variant>
      <vt:variant>
        <vt:i4>1572918</vt:i4>
      </vt:variant>
      <vt:variant>
        <vt:i4>63</vt:i4>
      </vt:variant>
      <vt:variant>
        <vt:i4>0</vt:i4>
      </vt:variant>
      <vt:variant>
        <vt:i4>5</vt:i4>
      </vt:variant>
      <vt:variant>
        <vt:lpwstr/>
      </vt:variant>
      <vt:variant>
        <vt:lpwstr>_Toc144900328</vt:lpwstr>
      </vt:variant>
      <vt:variant>
        <vt:i4>1376316</vt:i4>
      </vt:variant>
      <vt:variant>
        <vt:i4>56</vt:i4>
      </vt:variant>
      <vt:variant>
        <vt:i4>0</vt:i4>
      </vt:variant>
      <vt:variant>
        <vt:i4>5</vt:i4>
      </vt:variant>
      <vt:variant>
        <vt:lpwstr/>
      </vt:variant>
      <vt:variant>
        <vt:lpwstr>_Toc144899072</vt:lpwstr>
      </vt:variant>
      <vt:variant>
        <vt:i4>1376316</vt:i4>
      </vt:variant>
      <vt:variant>
        <vt:i4>50</vt:i4>
      </vt:variant>
      <vt:variant>
        <vt:i4>0</vt:i4>
      </vt:variant>
      <vt:variant>
        <vt:i4>5</vt:i4>
      </vt:variant>
      <vt:variant>
        <vt:lpwstr/>
      </vt:variant>
      <vt:variant>
        <vt:lpwstr>_Toc144899071</vt:lpwstr>
      </vt:variant>
      <vt:variant>
        <vt:i4>1376316</vt:i4>
      </vt:variant>
      <vt:variant>
        <vt:i4>44</vt:i4>
      </vt:variant>
      <vt:variant>
        <vt:i4>0</vt:i4>
      </vt:variant>
      <vt:variant>
        <vt:i4>5</vt:i4>
      </vt:variant>
      <vt:variant>
        <vt:lpwstr/>
      </vt:variant>
      <vt:variant>
        <vt:lpwstr>_Toc144899070</vt:lpwstr>
      </vt:variant>
      <vt:variant>
        <vt:i4>1310780</vt:i4>
      </vt:variant>
      <vt:variant>
        <vt:i4>38</vt:i4>
      </vt:variant>
      <vt:variant>
        <vt:i4>0</vt:i4>
      </vt:variant>
      <vt:variant>
        <vt:i4>5</vt:i4>
      </vt:variant>
      <vt:variant>
        <vt:lpwstr/>
      </vt:variant>
      <vt:variant>
        <vt:lpwstr>_Toc144899069</vt:lpwstr>
      </vt:variant>
      <vt:variant>
        <vt:i4>1310780</vt:i4>
      </vt:variant>
      <vt:variant>
        <vt:i4>32</vt:i4>
      </vt:variant>
      <vt:variant>
        <vt:i4>0</vt:i4>
      </vt:variant>
      <vt:variant>
        <vt:i4>5</vt:i4>
      </vt:variant>
      <vt:variant>
        <vt:lpwstr/>
      </vt:variant>
      <vt:variant>
        <vt:lpwstr>_Toc144899068</vt:lpwstr>
      </vt:variant>
      <vt:variant>
        <vt:i4>1310780</vt:i4>
      </vt:variant>
      <vt:variant>
        <vt:i4>26</vt:i4>
      </vt:variant>
      <vt:variant>
        <vt:i4>0</vt:i4>
      </vt:variant>
      <vt:variant>
        <vt:i4>5</vt:i4>
      </vt:variant>
      <vt:variant>
        <vt:lpwstr/>
      </vt:variant>
      <vt:variant>
        <vt:lpwstr>_Toc144899067</vt:lpwstr>
      </vt:variant>
      <vt:variant>
        <vt:i4>1310780</vt:i4>
      </vt:variant>
      <vt:variant>
        <vt:i4>20</vt:i4>
      </vt:variant>
      <vt:variant>
        <vt:i4>0</vt:i4>
      </vt:variant>
      <vt:variant>
        <vt:i4>5</vt:i4>
      </vt:variant>
      <vt:variant>
        <vt:lpwstr/>
      </vt:variant>
      <vt:variant>
        <vt:lpwstr>_Toc144899066</vt:lpwstr>
      </vt:variant>
      <vt:variant>
        <vt:i4>1310780</vt:i4>
      </vt:variant>
      <vt:variant>
        <vt:i4>14</vt:i4>
      </vt:variant>
      <vt:variant>
        <vt:i4>0</vt:i4>
      </vt:variant>
      <vt:variant>
        <vt:i4>5</vt:i4>
      </vt:variant>
      <vt:variant>
        <vt:lpwstr/>
      </vt:variant>
      <vt:variant>
        <vt:lpwstr>_Toc144899065</vt:lpwstr>
      </vt:variant>
      <vt:variant>
        <vt:i4>1310780</vt:i4>
      </vt:variant>
      <vt:variant>
        <vt:i4>8</vt:i4>
      </vt:variant>
      <vt:variant>
        <vt:i4>0</vt:i4>
      </vt:variant>
      <vt:variant>
        <vt:i4>5</vt:i4>
      </vt:variant>
      <vt:variant>
        <vt:lpwstr/>
      </vt:variant>
      <vt:variant>
        <vt:lpwstr>_Toc144899064</vt:lpwstr>
      </vt:variant>
      <vt:variant>
        <vt:i4>1310780</vt:i4>
      </vt:variant>
      <vt:variant>
        <vt:i4>2</vt:i4>
      </vt:variant>
      <vt:variant>
        <vt:i4>0</vt:i4>
      </vt:variant>
      <vt:variant>
        <vt:i4>5</vt:i4>
      </vt:variant>
      <vt:variant>
        <vt:lpwstr/>
      </vt:variant>
      <vt:variant>
        <vt:lpwstr>_Toc144899063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cp:lastModifiedBy>Eliana Rodriguez Fonseca</cp:lastModifiedBy>
  <cp:revision>2</cp:revision>
  <cp:lastPrinted>2004-01-15T04:05:00Z</cp:lastPrinted>
  <dcterms:created xsi:type="dcterms:W3CDTF">2023-09-18T14:31:00Z</dcterms:created>
  <dcterms:modified xsi:type="dcterms:W3CDTF">2023-09-18T14:31:00Z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0x010100F9DDBF8EA4AC10409E5DD136B884FF26</vt:lpwstr>
  </property>
  <property fmtid="{D5CDD505-2E9C-101B-9397-08002B2CF9AE}" pid="3" name="MediaServiceImageTags">
    <vt:lpwstr/>
  </property>
</Properties>
</file>