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1A1BF" w14:textId="77777777" w:rsidR="00625DC6" w:rsidRPr="00572A42" w:rsidRDefault="00000000" w:rsidP="00012259">
      <w:pPr>
        <w:pStyle w:val="Encabezado"/>
        <w:tabs>
          <w:tab w:val="clear" w:pos="8504"/>
          <w:tab w:val="left" w:pos="0"/>
          <w:tab w:val="right" w:pos="9356"/>
        </w:tabs>
        <w:ind w:left="0"/>
        <w:jc w:val="both"/>
        <w:rPr>
          <w:rFonts w:ascii="Arial" w:hAnsi="Arial" w:cs="Arial"/>
          <w:szCs w:val="24"/>
        </w:rPr>
      </w:pPr>
      <w:r>
        <w:rPr>
          <w:rFonts w:ascii="Arial" w:hAnsi="Arial" w:cs="Arial"/>
          <w:noProof/>
          <w:szCs w:val="24"/>
        </w:rPr>
        <w:object w:dxaOrig="1440" w:dyaOrig="1440" w14:anchorId="51E2E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14.4pt;margin-top:-43.75pt;width:38.9pt;height:39.05pt;z-index:251658240" fillcolor="#0c9">
            <v:imagedata r:id="rId9" o:title=""/>
          </v:shape>
          <o:OLEObject Type="Embed" ProgID="PBrush" ShapeID="_x0000_s2050" DrawAspect="Content" ObjectID="_1757881588" r:id="rId10"/>
        </w:object>
      </w:r>
    </w:p>
    <w:p w14:paraId="67770A74" w14:textId="77777777" w:rsidR="00625DC6" w:rsidRPr="00572A42" w:rsidRDefault="00625DC6" w:rsidP="00012259">
      <w:pPr>
        <w:pStyle w:val="Encabezado"/>
        <w:tabs>
          <w:tab w:val="clear" w:pos="8504"/>
          <w:tab w:val="left" w:pos="0"/>
          <w:tab w:val="right" w:pos="9356"/>
        </w:tabs>
        <w:ind w:left="0"/>
        <w:jc w:val="both"/>
        <w:rPr>
          <w:rFonts w:ascii="Arial" w:hAnsi="Arial" w:cs="Arial"/>
          <w:szCs w:val="24"/>
        </w:rPr>
      </w:pPr>
    </w:p>
    <w:p w14:paraId="5CD8FDD3" w14:textId="77777777" w:rsidR="00CA77FB" w:rsidRPr="00572A42" w:rsidRDefault="00CA77FB" w:rsidP="00012259">
      <w:pPr>
        <w:pStyle w:val="Ttulo4"/>
        <w:tabs>
          <w:tab w:val="left" w:pos="0"/>
          <w:tab w:val="right" w:pos="9356"/>
        </w:tabs>
        <w:ind w:left="0"/>
        <w:rPr>
          <w:b w:val="0"/>
          <w:bCs/>
          <w:noProof/>
          <w:sz w:val="24"/>
          <w:szCs w:val="24"/>
          <w:lang w:val="es-ES"/>
        </w:rPr>
      </w:pPr>
      <w:r w:rsidRPr="00572A42">
        <w:rPr>
          <w:b w:val="0"/>
          <w:bCs/>
          <w:sz w:val="24"/>
          <w:szCs w:val="24"/>
        </w:rPr>
        <w:t>Ministerio de Minas y Energía</w:t>
      </w:r>
    </w:p>
    <w:p w14:paraId="0B8E60E5" w14:textId="77777777" w:rsidR="00CA77FB" w:rsidRPr="00572A42" w:rsidRDefault="00CA77FB" w:rsidP="00012259">
      <w:pPr>
        <w:pStyle w:val="Ttulo4"/>
        <w:tabs>
          <w:tab w:val="left" w:pos="0"/>
          <w:tab w:val="right" w:pos="9356"/>
        </w:tabs>
        <w:ind w:left="0"/>
        <w:rPr>
          <w:b w:val="0"/>
          <w:bCs/>
          <w:sz w:val="24"/>
          <w:szCs w:val="24"/>
        </w:rPr>
      </w:pPr>
    </w:p>
    <w:p w14:paraId="7027F17A" w14:textId="77777777" w:rsidR="00CA77FB" w:rsidRPr="00572A42" w:rsidRDefault="00CA77FB" w:rsidP="00012259">
      <w:pPr>
        <w:pStyle w:val="Ttulo3"/>
        <w:tabs>
          <w:tab w:val="left" w:pos="0"/>
          <w:tab w:val="right" w:pos="9356"/>
        </w:tabs>
        <w:ind w:left="0"/>
        <w:rPr>
          <w:rFonts w:ascii="Arial" w:hAnsi="Arial" w:cs="Arial"/>
          <w:spacing w:val="20"/>
          <w:szCs w:val="24"/>
        </w:rPr>
      </w:pPr>
      <w:r w:rsidRPr="00572A42">
        <w:rPr>
          <w:rFonts w:ascii="Arial" w:hAnsi="Arial" w:cs="Arial"/>
          <w:spacing w:val="20"/>
          <w:szCs w:val="24"/>
        </w:rPr>
        <w:t>COMISIÓN DE REGULACIÓN DE ENERGÍA Y GAS</w:t>
      </w:r>
    </w:p>
    <w:p w14:paraId="4767CFAE" w14:textId="77777777" w:rsidR="00CA77FB" w:rsidRPr="00572A42" w:rsidRDefault="00CA77FB" w:rsidP="00012259">
      <w:pPr>
        <w:pStyle w:val="Ttulo5"/>
        <w:tabs>
          <w:tab w:val="left" w:pos="0"/>
          <w:tab w:val="right" w:pos="9356"/>
        </w:tabs>
        <w:ind w:left="0"/>
        <w:rPr>
          <w:sz w:val="24"/>
          <w:szCs w:val="24"/>
        </w:rPr>
      </w:pPr>
    </w:p>
    <w:p w14:paraId="74971183" w14:textId="77777777" w:rsidR="00CA77FB" w:rsidRPr="00572A42" w:rsidRDefault="00CA77FB" w:rsidP="00012259">
      <w:pPr>
        <w:pStyle w:val="Ttulo5"/>
        <w:tabs>
          <w:tab w:val="left" w:pos="0"/>
          <w:tab w:val="right" w:pos="9356"/>
        </w:tabs>
        <w:ind w:left="0"/>
        <w:rPr>
          <w:sz w:val="24"/>
          <w:szCs w:val="24"/>
        </w:rPr>
      </w:pPr>
    </w:p>
    <w:p w14:paraId="67AC44F2" w14:textId="545C70DF" w:rsidR="00A06511" w:rsidRPr="00572A42" w:rsidRDefault="00191838" w:rsidP="00A06511">
      <w:pPr>
        <w:pStyle w:val="Ttulo5"/>
        <w:tabs>
          <w:tab w:val="left" w:pos="0"/>
          <w:tab w:val="right" w:pos="9356"/>
        </w:tabs>
        <w:ind w:left="0"/>
        <w:rPr>
          <w:sz w:val="24"/>
          <w:szCs w:val="24"/>
        </w:rPr>
      </w:pPr>
      <w:r>
        <w:rPr>
          <w:sz w:val="24"/>
          <w:szCs w:val="24"/>
        </w:rPr>
        <w:t xml:space="preserve">PROYECTO DE </w:t>
      </w:r>
      <w:r w:rsidR="00A06511" w:rsidRPr="00572A42">
        <w:rPr>
          <w:sz w:val="24"/>
          <w:szCs w:val="24"/>
        </w:rPr>
        <w:t xml:space="preserve">RESOLUCIÓN No. </w:t>
      </w:r>
      <w:r w:rsidR="00A06511" w:rsidRPr="00162FF9">
        <w:rPr>
          <w:sz w:val="32"/>
          <w:szCs w:val="32"/>
        </w:rPr>
        <w:fldChar w:fldCharType="begin"/>
      </w:r>
      <w:r w:rsidR="00A06511" w:rsidRPr="00162FF9">
        <w:rPr>
          <w:sz w:val="32"/>
          <w:szCs w:val="32"/>
        </w:rPr>
        <w:instrText xml:space="preserve"> MERGEFIELD  NumeroResolucion  \* MERGEFORMAT </w:instrText>
      </w:r>
      <w:r w:rsidR="00A06511" w:rsidRPr="00162FF9">
        <w:rPr>
          <w:sz w:val="32"/>
          <w:szCs w:val="32"/>
        </w:rPr>
        <w:fldChar w:fldCharType="separate"/>
      </w:r>
      <w:r w:rsidR="00A06511" w:rsidRPr="00162FF9">
        <w:rPr>
          <w:sz w:val="32"/>
          <w:szCs w:val="32"/>
        </w:rPr>
        <w:t>703 004</w:t>
      </w:r>
      <w:r w:rsidR="00A06511" w:rsidRPr="00162FF9">
        <w:rPr>
          <w:sz w:val="32"/>
          <w:szCs w:val="32"/>
        </w:rPr>
        <w:fldChar w:fldCharType="end"/>
      </w:r>
      <w:r w:rsidR="00A06511" w:rsidRPr="00572A42">
        <w:rPr>
          <w:sz w:val="24"/>
          <w:szCs w:val="24"/>
        </w:rPr>
        <w:t xml:space="preserve"> </w:t>
      </w:r>
    </w:p>
    <w:p w14:paraId="0C7D114C" w14:textId="77777777" w:rsidR="00CA77FB" w:rsidRPr="00572A42" w:rsidRDefault="00CA77FB" w:rsidP="00012259">
      <w:pPr>
        <w:tabs>
          <w:tab w:val="left" w:pos="0"/>
          <w:tab w:val="right" w:pos="9356"/>
        </w:tabs>
        <w:ind w:left="0"/>
        <w:jc w:val="center"/>
        <w:rPr>
          <w:rFonts w:ascii="Arial" w:hAnsi="Arial" w:cs="Arial"/>
          <w:b/>
          <w:snapToGrid w:val="0"/>
          <w:color w:val="000000"/>
          <w:lang w:val="es-ES_tradnl"/>
        </w:rPr>
      </w:pPr>
    </w:p>
    <w:p w14:paraId="350D3C85" w14:textId="0AC3AB40" w:rsidR="00CA77FB" w:rsidRPr="00162FF9" w:rsidRDefault="00CA77FB" w:rsidP="00012259">
      <w:pPr>
        <w:pStyle w:val="Ttulo3"/>
        <w:tabs>
          <w:tab w:val="left" w:pos="0"/>
          <w:tab w:val="right" w:pos="9356"/>
        </w:tabs>
        <w:ind w:left="0"/>
        <w:rPr>
          <w:rFonts w:ascii="Arial" w:hAnsi="Arial" w:cs="Arial"/>
          <w:bCs/>
          <w:szCs w:val="24"/>
        </w:rPr>
      </w:pPr>
      <w:r w:rsidRPr="00162FF9">
        <w:rPr>
          <w:rFonts w:ascii="Arial" w:hAnsi="Arial" w:cs="Arial"/>
          <w:bCs/>
          <w:szCs w:val="24"/>
        </w:rPr>
        <w:t>(</w:t>
      </w:r>
      <w:r w:rsidR="00162FF9" w:rsidRPr="00162FF9">
        <w:rPr>
          <w:rFonts w:ascii="Arial" w:hAnsi="Arial" w:cs="Arial"/>
          <w:bCs/>
          <w:szCs w:val="24"/>
        </w:rPr>
        <w:t>03 OCT. 2023</w:t>
      </w:r>
      <w:r w:rsidRPr="00162FF9">
        <w:rPr>
          <w:rFonts w:ascii="Arial" w:hAnsi="Arial" w:cs="Arial"/>
          <w:bCs/>
          <w:szCs w:val="24"/>
        </w:rPr>
        <w:t>)</w:t>
      </w:r>
    </w:p>
    <w:p w14:paraId="57D77EBA" w14:textId="77777777" w:rsidR="00CA77FB" w:rsidRPr="00572A42" w:rsidRDefault="00CA77FB" w:rsidP="00012259">
      <w:pPr>
        <w:tabs>
          <w:tab w:val="left" w:pos="0"/>
          <w:tab w:val="right" w:pos="9356"/>
        </w:tabs>
        <w:ind w:left="0"/>
        <w:jc w:val="center"/>
        <w:rPr>
          <w:rFonts w:ascii="Arial" w:hAnsi="Arial" w:cs="Arial"/>
          <w:lang w:val="es-ES_tradnl"/>
        </w:rPr>
      </w:pPr>
    </w:p>
    <w:p w14:paraId="15A71B8E" w14:textId="77777777" w:rsidR="00B351B4" w:rsidRDefault="00B351B4" w:rsidP="00012259">
      <w:pPr>
        <w:ind w:left="0"/>
        <w:rPr>
          <w:rFonts w:ascii="Arial" w:hAnsi="Arial" w:cs="Arial"/>
          <w:bCs/>
          <w:lang w:val="es-CO"/>
        </w:rPr>
      </w:pPr>
    </w:p>
    <w:p w14:paraId="26C9731A" w14:textId="3C64E9D4" w:rsidR="00ED04F0" w:rsidRDefault="00965854" w:rsidP="00EC0AC8">
      <w:pPr>
        <w:ind w:left="0"/>
        <w:rPr>
          <w:rFonts w:ascii="Arial" w:hAnsi="Arial" w:cs="Arial"/>
          <w:bCs/>
          <w:lang w:val="es-CO"/>
        </w:rPr>
      </w:pPr>
      <w:r w:rsidRPr="00965854">
        <w:rPr>
          <w:rFonts w:ascii="Arial" w:hAnsi="Arial" w:cs="Arial"/>
          <w:bCs/>
          <w:lang w:val="es-CO"/>
        </w:rPr>
        <w:t>La Comisión de Regulación de Energía y Gas</w:t>
      </w:r>
      <w:r w:rsidRPr="00162FF9">
        <w:rPr>
          <w:rFonts w:ascii="Arial" w:hAnsi="Arial" w:cs="Arial"/>
          <w:bCs/>
          <w:lang w:val="es-CO"/>
        </w:rPr>
        <w:t xml:space="preserve">, en su sesión </w:t>
      </w:r>
      <w:r w:rsidR="00162FF9" w:rsidRPr="00162FF9">
        <w:rPr>
          <w:rFonts w:ascii="Arial" w:hAnsi="Arial" w:cs="Arial"/>
          <w:lang w:val="es-CO"/>
        </w:rPr>
        <w:t>1291</w:t>
      </w:r>
      <w:r w:rsidRPr="00162FF9">
        <w:rPr>
          <w:rFonts w:ascii="Arial" w:hAnsi="Arial" w:cs="Arial"/>
          <w:lang w:val="es-CO"/>
        </w:rPr>
        <w:t xml:space="preserve"> del </w:t>
      </w:r>
      <w:r w:rsidR="00162FF9" w:rsidRPr="00162FF9">
        <w:rPr>
          <w:rFonts w:ascii="Arial" w:hAnsi="Arial" w:cs="Arial"/>
          <w:lang w:val="es-CO"/>
        </w:rPr>
        <w:t>03</w:t>
      </w:r>
      <w:r w:rsidRPr="00162FF9">
        <w:rPr>
          <w:rFonts w:ascii="Arial" w:hAnsi="Arial" w:cs="Arial"/>
          <w:lang w:val="es-CO"/>
        </w:rPr>
        <w:t xml:space="preserve"> de </w:t>
      </w:r>
      <w:r w:rsidR="00162FF9" w:rsidRPr="00162FF9">
        <w:rPr>
          <w:rFonts w:ascii="Arial" w:hAnsi="Arial" w:cs="Arial"/>
          <w:lang w:val="es-CO"/>
        </w:rPr>
        <w:t>octubre</w:t>
      </w:r>
      <w:r w:rsidRPr="00965854">
        <w:rPr>
          <w:rFonts w:ascii="Arial" w:hAnsi="Arial" w:cs="Arial"/>
          <w:bCs/>
          <w:lang w:val="es-CO"/>
        </w:rPr>
        <w:t xml:space="preserve"> </w:t>
      </w:r>
      <w:r w:rsidRPr="000B7608">
        <w:rPr>
          <w:rFonts w:ascii="Arial" w:hAnsi="Arial" w:cs="Arial"/>
          <w:bCs/>
          <w:lang w:val="es-CO"/>
        </w:rPr>
        <w:t xml:space="preserve">de 2023, aprobó someter a consulta pública el presente proyecto de resolución </w:t>
      </w:r>
      <w:r w:rsidR="00A56C97" w:rsidRPr="000B7608">
        <w:rPr>
          <w:rFonts w:ascii="Arial" w:hAnsi="Arial" w:cs="Arial"/>
          <w:bCs/>
          <w:lang w:val="es-CO"/>
        </w:rPr>
        <w:t>hasta las 12:00</w:t>
      </w:r>
      <w:r w:rsidRPr="000B7608">
        <w:rPr>
          <w:rFonts w:ascii="Arial" w:hAnsi="Arial" w:cs="Arial"/>
          <w:lang w:val="es-CO"/>
        </w:rPr>
        <w:t xml:space="preserve"> del </w:t>
      </w:r>
      <w:r w:rsidR="0063475A" w:rsidRPr="000B7608">
        <w:rPr>
          <w:rFonts w:ascii="Arial" w:hAnsi="Arial" w:cs="Arial"/>
          <w:bCs/>
          <w:lang w:val="es-CO"/>
        </w:rPr>
        <w:t>mediodía</w:t>
      </w:r>
      <w:r w:rsidR="00A56C97" w:rsidRPr="000B7608">
        <w:rPr>
          <w:rFonts w:ascii="Arial" w:hAnsi="Arial" w:cs="Arial"/>
          <w:bCs/>
          <w:lang w:val="es-CO"/>
        </w:rPr>
        <w:t xml:space="preserve"> </w:t>
      </w:r>
      <w:r w:rsidR="0063475A" w:rsidRPr="000B7608">
        <w:rPr>
          <w:rFonts w:ascii="Arial" w:hAnsi="Arial" w:cs="Arial"/>
          <w:bCs/>
          <w:lang w:val="es-CO"/>
        </w:rPr>
        <w:t>d</w:t>
      </w:r>
      <w:r w:rsidR="00A56C97" w:rsidRPr="000B7608">
        <w:rPr>
          <w:rFonts w:ascii="Arial" w:hAnsi="Arial" w:cs="Arial"/>
          <w:bCs/>
          <w:lang w:val="es-CO"/>
        </w:rPr>
        <w:t>el 4 de octubre</w:t>
      </w:r>
      <w:r w:rsidRPr="000B7608">
        <w:rPr>
          <w:rFonts w:ascii="Arial" w:hAnsi="Arial" w:cs="Arial"/>
          <w:lang w:val="es-CO"/>
        </w:rPr>
        <w:t xml:space="preserve"> de </w:t>
      </w:r>
      <w:r w:rsidR="00A56C97" w:rsidRPr="000B7608">
        <w:rPr>
          <w:rFonts w:ascii="Arial" w:hAnsi="Arial" w:cs="Arial"/>
          <w:bCs/>
          <w:lang w:val="es-CO"/>
        </w:rPr>
        <w:t>2023</w:t>
      </w:r>
      <w:r w:rsidRPr="000B7608">
        <w:rPr>
          <w:rFonts w:ascii="Arial" w:hAnsi="Arial" w:cs="Arial"/>
          <w:bCs/>
          <w:lang w:val="es-CO"/>
        </w:rPr>
        <w:t>.</w:t>
      </w:r>
      <w:r w:rsidR="008B58C9">
        <w:rPr>
          <w:rFonts w:ascii="Arial" w:hAnsi="Arial" w:cs="Arial"/>
          <w:bCs/>
          <w:lang w:val="es-CO"/>
        </w:rPr>
        <w:t xml:space="preserve"> </w:t>
      </w:r>
    </w:p>
    <w:p w14:paraId="049763A5" w14:textId="77777777" w:rsidR="00ED04F0" w:rsidRDefault="00ED04F0" w:rsidP="00EC0AC8">
      <w:pPr>
        <w:ind w:left="0"/>
        <w:rPr>
          <w:rFonts w:ascii="Arial" w:hAnsi="Arial" w:cs="Arial"/>
          <w:bCs/>
          <w:lang w:val="es-CO"/>
        </w:rPr>
      </w:pPr>
    </w:p>
    <w:p w14:paraId="5FB2A99D" w14:textId="0E11BFEC" w:rsidR="00137286" w:rsidRDefault="00ED04F0" w:rsidP="007379BF">
      <w:pPr>
        <w:ind w:left="0"/>
        <w:rPr>
          <w:rFonts w:ascii="Arial" w:hAnsi="Arial" w:cs="Arial"/>
          <w:bCs/>
          <w:lang w:val="es-CO"/>
        </w:rPr>
      </w:pPr>
      <w:r>
        <w:rPr>
          <w:rFonts w:ascii="Arial" w:hAnsi="Arial" w:cs="Arial"/>
          <w:bCs/>
          <w:lang w:val="es-CO"/>
        </w:rPr>
        <w:t xml:space="preserve">De conformidad con el segundo inciso del artículo 34 de la Resolución CREG 105 003 de 2023 </w:t>
      </w:r>
      <w:r w:rsidR="00EC0AC8" w:rsidRPr="00EC0AC8">
        <w:rPr>
          <w:rFonts w:ascii="Arial" w:hAnsi="Arial" w:cs="Arial"/>
          <w:bCs/>
          <w:lang w:val="es-CO"/>
        </w:rPr>
        <w:t xml:space="preserve">la CREG podrá publicar proyectos de regulación </w:t>
      </w:r>
      <w:r w:rsidR="007379BF">
        <w:rPr>
          <w:rFonts w:ascii="Arial" w:hAnsi="Arial" w:cs="Arial"/>
          <w:bCs/>
          <w:lang w:val="es-CO"/>
        </w:rPr>
        <w:t>por un plazo inferior</w:t>
      </w:r>
      <w:r w:rsidR="00EC0AC8" w:rsidRPr="00EC0AC8">
        <w:rPr>
          <w:rFonts w:ascii="Arial" w:hAnsi="Arial" w:cs="Arial"/>
          <w:bCs/>
          <w:lang w:val="es-CO"/>
        </w:rPr>
        <w:t xml:space="preserve"> a diez (10) días hábiles</w:t>
      </w:r>
      <w:r w:rsidR="007379BF">
        <w:rPr>
          <w:rFonts w:ascii="Arial" w:hAnsi="Arial" w:cs="Arial"/>
          <w:bCs/>
          <w:lang w:val="es-CO"/>
        </w:rPr>
        <w:t xml:space="preserve"> c</w:t>
      </w:r>
      <w:r w:rsidR="00EC0AC8" w:rsidRPr="00EC0AC8">
        <w:rPr>
          <w:rFonts w:ascii="Arial" w:hAnsi="Arial" w:cs="Arial"/>
          <w:bCs/>
          <w:lang w:val="es-CO"/>
        </w:rPr>
        <w:t>uando se requiera tomar medidas urgentes para garantizar el abastecimiento del producto o la continuidad y confiabilidad del servicio</w:t>
      </w:r>
      <w:r w:rsidR="00466D6B">
        <w:rPr>
          <w:rFonts w:ascii="Arial" w:hAnsi="Arial" w:cs="Arial"/>
          <w:bCs/>
          <w:lang w:val="es-CO"/>
        </w:rPr>
        <w:t>, situación que se explica en la parte motiva del presente proyecto de resolución.</w:t>
      </w:r>
    </w:p>
    <w:p w14:paraId="472684C8" w14:textId="77777777" w:rsidR="00003B99" w:rsidRDefault="00003B99" w:rsidP="007379BF">
      <w:pPr>
        <w:ind w:left="0"/>
        <w:rPr>
          <w:rFonts w:ascii="Arial" w:hAnsi="Arial" w:cs="Arial"/>
          <w:bCs/>
          <w:lang w:val="es-CO"/>
        </w:rPr>
      </w:pPr>
    </w:p>
    <w:p w14:paraId="5EB1370F" w14:textId="30F8CBEA" w:rsidR="00AD78AD" w:rsidRDefault="00965854" w:rsidP="00012259">
      <w:pPr>
        <w:ind w:left="0"/>
        <w:rPr>
          <w:rFonts w:ascii="Arial" w:hAnsi="Arial" w:cs="Arial"/>
          <w:bCs/>
          <w:lang w:val="es-CO"/>
        </w:rPr>
      </w:pPr>
      <w:r w:rsidRPr="00965854">
        <w:rPr>
          <w:rFonts w:ascii="Arial" w:hAnsi="Arial" w:cs="Arial"/>
          <w:bCs/>
          <w:lang w:val="es-CO"/>
        </w:rPr>
        <w:t xml:space="preserve">Se invita a las empresas, los usuarios las autoridades y demás partes interesadas a presentar sus observaciones y sugerencias dentro del plazo establecido, mediante comunicaciones electrónicas dirigidas al </w:t>
      </w:r>
      <w:proofErr w:type="gramStart"/>
      <w:r w:rsidRPr="00965854">
        <w:rPr>
          <w:rFonts w:ascii="Arial" w:hAnsi="Arial" w:cs="Arial"/>
          <w:bCs/>
          <w:lang w:val="es-CO"/>
        </w:rPr>
        <w:t>Director Ejecutivo</w:t>
      </w:r>
      <w:proofErr w:type="gramEnd"/>
      <w:r w:rsidRPr="00965854">
        <w:rPr>
          <w:rFonts w:ascii="Arial" w:hAnsi="Arial" w:cs="Arial"/>
          <w:bCs/>
          <w:lang w:val="es-CO"/>
        </w:rPr>
        <w:t xml:space="preserve"> de la CREG, a la cuenta creg@creg.gov.co, con asunto: “</w:t>
      </w:r>
      <w:r w:rsidRPr="00425B11">
        <w:rPr>
          <w:rFonts w:ascii="Arial" w:hAnsi="Arial" w:cs="Arial"/>
          <w:i/>
          <w:lang w:val="es-CO"/>
        </w:rPr>
        <w:t xml:space="preserve">Comentarios sobre la propuesta </w:t>
      </w:r>
      <w:r w:rsidR="003815A6" w:rsidRPr="00425B11">
        <w:rPr>
          <w:rFonts w:ascii="Arial" w:hAnsi="Arial" w:cs="Arial"/>
          <w:i/>
          <w:lang w:val="es-CO"/>
        </w:rPr>
        <w:t>de medidas regulatorias transitorias para la comercialización de GLP de fuentes de precio regulado</w:t>
      </w:r>
      <w:r w:rsidRPr="00965854">
        <w:rPr>
          <w:rFonts w:ascii="Arial" w:hAnsi="Arial" w:cs="Arial"/>
          <w:bCs/>
          <w:lang w:val="es-CO"/>
        </w:rPr>
        <w:t>”.</w:t>
      </w:r>
    </w:p>
    <w:p w14:paraId="66707C63" w14:textId="77777777" w:rsidR="00AD78AD" w:rsidRDefault="00AD78AD" w:rsidP="00012259">
      <w:pPr>
        <w:ind w:left="0"/>
        <w:rPr>
          <w:rFonts w:ascii="Arial" w:hAnsi="Arial" w:cs="Arial"/>
          <w:bCs/>
          <w:lang w:val="es-CO"/>
        </w:rPr>
      </w:pPr>
    </w:p>
    <w:p w14:paraId="6813F87F" w14:textId="114A9A65" w:rsidR="00965854" w:rsidRDefault="00965854" w:rsidP="00012259">
      <w:pPr>
        <w:ind w:left="0"/>
        <w:rPr>
          <w:rFonts w:ascii="Arial" w:hAnsi="Arial" w:cs="Arial"/>
          <w:bCs/>
          <w:lang w:val="es-CO"/>
        </w:rPr>
      </w:pPr>
      <w:r w:rsidRPr="00965854">
        <w:rPr>
          <w:rFonts w:ascii="Arial" w:hAnsi="Arial" w:cs="Arial"/>
          <w:bCs/>
          <w:lang w:val="es-CO"/>
        </w:rPr>
        <w:t>Al vencimiento de la consulta pública, la CREG determinará si el proyecto debe ser informado a la Superintendencia de Industria y Comercio, para el ejercicio de la Abogacía de la Competencia, con fundamento en las disposiciones del Decreto 1074 de 2015, Artículo 2.2.2.30.5.</w:t>
      </w:r>
    </w:p>
    <w:p w14:paraId="5978015D" w14:textId="77777777" w:rsidR="00965854" w:rsidRDefault="00965854" w:rsidP="00012259">
      <w:pPr>
        <w:ind w:left="0"/>
        <w:rPr>
          <w:rFonts w:ascii="Arial" w:hAnsi="Arial" w:cs="Arial"/>
          <w:bCs/>
          <w:lang w:val="es-CO"/>
        </w:rPr>
      </w:pPr>
    </w:p>
    <w:p w14:paraId="610B09C3" w14:textId="77777777" w:rsidR="00EB32AA" w:rsidRDefault="00EB32AA" w:rsidP="00012259">
      <w:pPr>
        <w:ind w:left="0"/>
        <w:rPr>
          <w:rFonts w:ascii="Arial" w:hAnsi="Arial" w:cs="Arial"/>
          <w:bCs/>
          <w:lang w:val="es-CO"/>
        </w:rPr>
      </w:pPr>
    </w:p>
    <w:p w14:paraId="08EFE8A8" w14:textId="243B7032" w:rsidR="00965854" w:rsidRPr="00162DD2" w:rsidRDefault="00162DD2" w:rsidP="00162DD2">
      <w:pPr>
        <w:ind w:left="0"/>
        <w:jc w:val="center"/>
        <w:rPr>
          <w:rFonts w:ascii="Arial" w:hAnsi="Arial" w:cs="Arial"/>
          <w:b/>
          <w:lang w:val="es-CO"/>
        </w:rPr>
      </w:pPr>
      <w:r w:rsidRPr="00162DD2">
        <w:rPr>
          <w:rFonts w:ascii="Arial" w:hAnsi="Arial" w:cs="Arial"/>
          <w:b/>
          <w:lang w:val="es-CO"/>
        </w:rPr>
        <w:t>PROYECTO DE RESOLUCIÓN</w:t>
      </w:r>
    </w:p>
    <w:p w14:paraId="52C4C984" w14:textId="77777777" w:rsidR="00965854" w:rsidRPr="00572A42" w:rsidRDefault="00965854" w:rsidP="00012259">
      <w:pPr>
        <w:ind w:left="0"/>
        <w:rPr>
          <w:rFonts w:ascii="Arial" w:hAnsi="Arial" w:cs="Arial"/>
          <w:bCs/>
          <w:lang w:val="es-CO"/>
        </w:rPr>
      </w:pPr>
    </w:p>
    <w:p w14:paraId="46D8C664" w14:textId="28AD6C6E" w:rsidR="00045D3D" w:rsidRPr="00572A42" w:rsidRDefault="00045D3D" w:rsidP="00045D3D">
      <w:pPr>
        <w:ind w:left="0"/>
        <w:jc w:val="center"/>
        <w:rPr>
          <w:rFonts w:ascii="Arial" w:hAnsi="Arial" w:cs="Arial"/>
        </w:rPr>
      </w:pPr>
      <w:r w:rsidRPr="00572A42">
        <w:rPr>
          <w:rFonts w:ascii="Arial" w:hAnsi="Arial" w:cs="Arial"/>
        </w:rPr>
        <w:t xml:space="preserve">Por </w:t>
      </w:r>
      <w:r w:rsidR="001525FF" w:rsidRPr="001525FF">
        <w:rPr>
          <w:rFonts w:ascii="Arial" w:hAnsi="Arial" w:cs="Arial"/>
        </w:rPr>
        <w:t>la cual se adoptan medidas regulatorias transitorias para la comercialización de GLP de fuentes de precio regulado</w:t>
      </w:r>
    </w:p>
    <w:p w14:paraId="5B2F2477" w14:textId="77777777" w:rsidR="001525FF" w:rsidRDefault="001525FF" w:rsidP="001525FF">
      <w:pPr>
        <w:ind w:left="0" w:right="51"/>
        <w:rPr>
          <w:rFonts w:ascii="Arial" w:hAnsi="Arial" w:cs="Arial"/>
        </w:rPr>
      </w:pPr>
    </w:p>
    <w:p w14:paraId="53EF02D1" w14:textId="77777777" w:rsidR="00EB32AA" w:rsidRPr="00572A42" w:rsidRDefault="00EB32AA" w:rsidP="001525FF">
      <w:pPr>
        <w:ind w:left="0" w:right="51"/>
        <w:rPr>
          <w:rFonts w:ascii="Arial" w:hAnsi="Arial" w:cs="Arial"/>
        </w:rPr>
      </w:pPr>
    </w:p>
    <w:p w14:paraId="7B67FAFA" w14:textId="77777777" w:rsidR="00045D3D" w:rsidRPr="00572A42" w:rsidRDefault="00045D3D" w:rsidP="00045D3D">
      <w:pPr>
        <w:ind w:right="51"/>
        <w:jc w:val="center"/>
        <w:rPr>
          <w:rFonts w:ascii="Arial" w:hAnsi="Arial" w:cs="Arial"/>
          <w:b/>
        </w:rPr>
      </w:pPr>
      <w:r w:rsidRPr="00572A42">
        <w:rPr>
          <w:rFonts w:ascii="Arial" w:hAnsi="Arial" w:cs="Arial"/>
          <w:b/>
        </w:rPr>
        <w:t xml:space="preserve">LA COMISIÓN DE REGULACIÓN </w:t>
      </w:r>
      <w:r w:rsidR="007B5A60" w:rsidRPr="00572A42">
        <w:rPr>
          <w:rFonts w:ascii="Arial" w:hAnsi="Arial" w:cs="Arial"/>
          <w:b/>
        </w:rPr>
        <w:t>DE ENERGÍA</w:t>
      </w:r>
      <w:r w:rsidRPr="00572A42">
        <w:rPr>
          <w:rFonts w:ascii="Arial" w:hAnsi="Arial" w:cs="Arial"/>
          <w:b/>
        </w:rPr>
        <w:t xml:space="preserve"> Y GAS</w:t>
      </w:r>
    </w:p>
    <w:p w14:paraId="5F144221" w14:textId="77777777" w:rsidR="00045D3D" w:rsidRPr="00572A42" w:rsidRDefault="00045D3D" w:rsidP="00045D3D">
      <w:pPr>
        <w:ind w:left="0" w:right="51"/>
        <w:rPr>
          <w:rFonts w:ascii="Arial" w:hAnsi="Arial" w:cs="Arial"/>
        </w:rPr>
      </w:pPr>
    </w:p>
    <w:p w14:paraId="6FC1C4F9" w14:textId="51DA0BE5" w:rsidR="00BF0F7B" w:rsidRPr="00D85768" w:rsidRDefault="00BF0F7B" w:rsidP="00C21BF8">
      <w:pPr>
        <w:pStyle w:val="Textoindependiente3"/>
        <w:shd w:val="clear" w:color="auto" w:fill="FFFFFF" w:themeFill="background1"/>
        <w:ind w:left="0"/>
        <w:rPr>
          <w:b w:val="0"/>
        </w:rPr>
      </w:pPr>
      <w:r w:rsidRPr="00D85768">
        <w:rPr>
          <w:b w:val="0"/>
        </w:rPr>
        <w:t>En ejercicio de sus atribuciones constitucionales y legales, en especial las conferidas por las leyes 142 y 143 de 1994, y en desarrollo de los decretos 1524 y 2253 de 1994</w:t>
      </w:r>
      <w:r>
        <w:rPr>
          <w:b w:val="0"/>
        </w:rPr>
        <w:t xml:space="preserve"> </w:t>
      </w:r>
      <w:r w:rsidRPr="00C21BF8">
        <w:rPr>
          <w:b w:val="0"/>
        </w:rPr>
        <w:t xml:space="preserve">y la </w:t>
      </w:r>
      <w:r w:rsidR="00C21BF8">
        <w:rPr>
          <w:b w:val="0"/>
        </w:rPr>
        <w:t>r</w:t>
      </w:r>
      <w:r w:rsidRPr="00C21BF8">
        <w:rPr>
          <w:b w:val="0"/>
        </w:rPr>
        <w:t xml:space="preserve">esolución </w:t>
      </w:r>
      <w:r w:rsidR="00C21BF8" w:rsidRPr="00C21BF8">
        <w:rPr>
          <w:b w:val="0"/>
        </w:rPr>
        <w:t>40593</w:t>
      </w:r>
      <w:r w:rsidR="00485D9A" w:rsidRPr="00C21BF8">
        <w:rPr>
          <w:b w:val="0"/>
        </w:rPr>
        <w:t xml:space="preserve"> de </w:t>
      </w:r>
      <w:r w:rsidR="00C21BF8" w:rsidRPr="00C21BF8">
        <w:rPr>
          <w:b w:val="0"/>
        </w:rPr>
        <w:t>2023</w:t>
      </w:r>
      <w:r w:rsidR="0078624E">
        <w:rPr>
          <w:b w:val="0"/>
        </w:rPr>
        <w:t xml:space="preserve"> </w:t>
      </w:r>
      <w:r w:rsidR="00F21F97" w:rsidRPr="00C21BF8">
        <w:rPr>
          <w:b w:val="0"/>
        </w:rPr>
        <w:t>de</w:t>
      </w:r>
      <w:r w:rsidR="0078624E">
        <w:rPr>
          <w:b w:val="0"/>
        </w:rPr>
        <w:t>l</w:t>
      </w:r>
      <w:r w:rsidR="00F21F97" w:rsidRPr="00C21BF8">
        <w:rPr>
          <w:b w:val="0"/>
        </w:rPr>
        <w:t xml:space="preserve"> </w:t>
      </w:r>
      <w:r w:rsidRPr="00C21BF8">
        <w:rPr>
          <w:b w:val="0"/>
        </w:rPr>
        <w:t>M</w:t>
      </w:r>
      <w:r w:rsidR="00F21F97" w:rsidRPr="00C21BF8">
        <w:rPr>
          <w:b w:val="0"/>
        </w:rPr>
        <w:t xml:space="preserve">inisterio de </w:t>
      </w:r>
      <w:r w:rsidRPr="00C21BF8">
        <w:rPr>
          <w:b w:val="0"/>
        </w:rPr>
        <w:t>M</w:t>
      </w:r>
      <w:r w:rsidR="00F21F97" w:rsidRPr="00C21BF8">
        <w:rPr>
          <w:b w:val="0"/>
        </w:rPr>
        <w:t xml:space="preserve">inas y </w:t>
      </w:r>
      <w:r w:rsidRPr="00C21BF8">
        <w:rPr>
          <w:b w:val="0"/>
        </w:rPr>
        <w:t>E</w:t>
      </w:r>
      <w:r w:rsidR="00F21F97" w:rsidRPr="00C21BF8">
        <w:rPr>
          <w:b w:val="0"/>
        </w:rPr>
        <w:t>nergía</w:t>
      </w:r>
      <w:r w:rsidRPr="00C21BF8">
        <w:rPr>
          <w:b w:val="0"/>
        </w:rPr>
        <w:t>.</w:t>
      </w:r>
      <w:r w:rsidR="00485D9A">
        <w:rPr>
          <w:b w:val="0"/>
        </w:rPr>
        <w:t xml:space="preserve"> </w:t>
      </w:r>
    </w:p>
    <w:p w14:paraId="77AE6C61" w14:textId="77777777" w:rsidR="00BF0F7B" w:rsidRDefault="00BF0F7B" w:rsidP="00BF0F7B">
      <w:pPr>
        <w:ind w:left="0" w:right="51"/>
        <w:rPr>
          <w:rFonts w:ascii="Arial" w:hAnsi="Arial" w:cs="Arial"/>
        </w:rPr>
      </w:pPr>
    </w:p>
    <w:p w14:paraId="7980C30A" w14:textId="77777777" w:rsidR="00BF0F7B" w:rsidRPr="00D85768" w:rsidRDefault="00BF0F7B" w:rsidP="00BF0F7B">
      <w:pPr>
        <w:ind w:left="0" w:right="51"/>
        <w:rPr>
          <w:rFonts w:ascii="Arial" w:hAnsi="Arial" w:cs="Arial"/>
        </w:rPr>
      </w:pPr>
    </w:p>
    <w:p w14:paraId="5BC755EF" w14:textId="77777777" w:rsidR="00BF0F7B" w:rsidRPr="00D85768" w:rsidRDefault="00BF0F7B" w:rsidP="00BF0F7B">
      <w:pPr>
        <w:ind w:right="51"/>
        <w:jc w:val="center"/>
        <w:rPr>
          <w:rFonts w:ascii="Arial" w:hAnsi="Arial" w:cs="Arial"/>
          <w:b/>
        </w:rPr>
      </w:pPr>
      <w:r w:rsidRPr="00D85768">
        <w:rPr>
          <w:rFonts w:ascii="Arial" w:hAnsi="Arial" w:cs="Arial"/>
          <w:b/>
        </w:rPr>
        <w:t>C O N S I D E R A N D O   Q U E:</w:t>
      </w:r>
    </w:p>
    <w:p w14:paraId="0938A30B" w14:textId="77777777" w:rsidR="00BF0F7B" w:rsidRPr="00406F71" w:rsidRDefault="00BF0F7B" w:rsidP="00BF0F7B">
      <w:pPr>
        <w:ind w:left="0"/>
        <w:jc w:val="both"/>
        <w:rPr>
          <w:rFonts w:ascii="Arial" w:hAnsi="Arial" w:cs="Arial"/>
        </w:rPr>
      </w:pPr>
    </w:p>
    <w:p w14:paraId="5CD3A214" w14:textId="77777777" w:rsidR="00BF0F7B" w:rsidRPr="00406F71" w:rsidRDefault="00BF0F7B" w:rsidP="00BF0F7B">
      <w:pPr>
        <w:ind w:left="0"/>
        <w:contextualSpacing/>
        <w:jc w:val="both"/>
        <w:rPr>
          <w:rFonts w:ascii="Arial" w:hAnsi="Arial" w:cs="Arial"/>
        </w:rPr>
      </w:pPr>
      <w:r w:rsidRPr="00406F71">
        <w:rPr>
          <w:rFonts w:ascii="Arial" w:hAnsi="Arial" w:cs="Arial"/>
        </w:rPr>
        <w:t xml:space="preserve">De acuerdo con lo estipulado en el artículo 74.1 de la Ley 142 de 1994, es función de la CREG </w:t>
      </w:r>
      <w:r>
        <w:rPr>
          <w:rFonts w:ascii="Arial" w:hAnsi="Arial" w:cs="Arial"/>
        </w:rPr>
        <w:t>“</w:t>
      </w:r>
      <w:r w:rsidRPr="00406F71">
        <w:rPr>
          <w:rFonts w:ascii="Arial" w:hAnsi="Arial" w:cs="Arial"/>
        </w:rPr>
        <w:t xml:space="preserve">regular el ejercicio de las actividades de los sectores de energía y gas </w:t>
      </w:r>
      <w:r w:rsidRPr="00406F71">
        <w:rPr>
          <w:rFonts w:ascii="Arial" w:hAnsi="Arial" w:cs="Arial"/>
        </w:rPr>
        <w:lastRenderedPageBreak/>
        <w:t>combustible para asegurar la disponibilidad de una oferta energética eficiente, propiciar la competencia en el sector de minas y energía y proponer la adopción de las medidas necesarias para impedir abusos de posición dominante y buscar la liberación gradual de los mercados hacia la libre competencia</w:t>
      </w:r>
      <w:r>
        <w:rPr>
          <w:rFonts w:ascii="Arial" w:hAnsi="Arial" w:cs="Arial"/>
        </w:rPr>
        <w:t>”</w:t>
      </w:r>
      <w:r w:rsidRPr="00406F71">
        <w:rPr>
          <w:rFonts w:ascii="Arial" w:hAnsi="Arial" w:cs="Arial"/>
        </w:rPr>
        <w:t>.</w:t>
      </w:r>
    </w:p>
    <w:p w14:paraId="3DFDC53D" w14:textId="77777777" w:rsidR="00BF0F7B" w:rsidRPr="00406F71" w:rsidRDefault="00BF0F7B" w:rsidP="00BF0F7B">
      <w:pPr>
        <w:ind w:left="0"/>
        <w:contextualSpacing/>
        <w:jc w:val="both"/>
        <w:rPr>
          <w:rFonts w:ascii="Arial" w:hAnsi="Arial" w:cs="Arial"/>
        </w:rPr>
      </w:pPr>
    </w:p>
    <w:p w14:paraId="4B84852F" w14:textId="77777777" w:rsidR="00BF0F7B" w:rsidRPr="00406F71" w:rsidRDefault="00BF0F7B" w:rsidP="00BF0F7B">
      <w:pPr>
        <w:ind w:left="0"/>
        <w:contextualSpacing/>
        <w:jc w:val="both"/>
        <w:rPr>
          <w:rFonts w:ascii="Arial" w:hAnsi="Arial" w:cs="Arial"/>
        </w:rPr>
      </w:pPr>
      <w:r w:rsidRPr="00406F71">
        <w:rPr>
          <w:rFonts w:ascii="Arial" w:hAnsi="Arial" w:cs="Arial"/>
        </w:rPr>
        <w:t>Según lo previsto en los artículos 1, 2 y 4 de la Ley 142 de 1994, la distribución de gas combustible y sus actividades complementarias constituyen servicios públicos domiciliarios esenciales, y el Estado intervendrá en los mismos a fin de, entre otros, garantizar la calidad del bien y su disposición final para asegurar el mejoramiento de la calidad de vida de los usuarios, así como su prestación continua, ininterrumpida y eficiente.</w:t>
      </w:r>
    </w:p>
    <w:p w14:paraId="35F6359D" w14:textId="77777777" w:rsidR="00BF0F7B" w:rsidRPr="00406F71" w:rsidRDefault="00BF0F7B" w:rsidP="00BF0F7B">
      <w:pPr>
        <w:ind w:left="0"/>
        <w:contextualSpacing/>
        <w:jc w:val="both"/>
        <w:rPr>
          <w:rFonts w:ascii="Arial" w:hAnsi="Arial" w:cs="Arial"/>
        </w:rPr>
      </w:pPr>
    </w:p>
    <w:p w14:paraId="4173A432" w14:textId="77777777" w:rsidR="00BF0F7B" w:rsidRPr="00406F71" w:rsidRDefault="00BF0F7B" w:rsidP="00BF0F7B">
      <w:pPr>
        <w:ind w:left="0"/>
        <w:contextualSpacing/>
        <w:jc w:val="both"/>
        <w:rPr>
          <w:rFonts w:ascii="Arial" w:hAnsi="Arial" w:cs="Arial"/>
          <w:lang w:val="es-CO"/>
        </w:rPr>
      </w:pPr>
      <w:r w:rsidRPr="00406F71">
        <w:rPr>
          <w:rFonts w:ascii="Arial" w:hAnsi="Arial" w:cs="Arial"/>
          <w:lang w:val="es-CO"/>
        </w:rPr>
        <w:t xml:space="preserve">Dentro de las medidas regulatorias expedidas a efectos de llevar a cabo la comercialización mayorista de GLP, además de las previstas en materia tarifaria, se encuentran aquellas relacionadas con los mecanismos para la asignación del producto, y los parámetros de conducta de los agentes y su posición en el mercado en esta actividad. </w:t>
      </w:r>
    </w:p>
    <w:p w14:paraId="0C6EFC0B" w14:textId="77777777" w:rsidR="00BF0F7B" w:rsidRPr="00406F71" w:rsidRDefault="00BF0F7B" w:rsidP="00BF0F7B">
      <w:pPr>
        <w:ind w:left="0"/>
        <w:contextualSpacing/>
        <w:jc w:val="both"/>
        <w:rPr>
          <w:rFonts w:ascii="Arial" w:hAnsi="Arial" w:cs="Arial"/>
          <w:lang w:val="es-CO"/>
        </w:rPr>
      </w:pPr>
    </w:p>
    <w:p w14:paraId="18C7D85D" w14:textId="77777777" w:rsidR="00BF0F7B" w:rsidRPr="00406F71" w:rsidRDefault="00BF0F7B" w:rsidP="00BF0F7B">
      <w:pPr>
        <w:ind w:left="0"/>
        <w:contextualSpacing/>
        <w:jc w:val="both"/>
        <w:rPr>
          <w:rFonts w:ascii="Arial" w:hAnsi="Arial" w:cs="Arial"/>
          <w:spacing w:val="-5"/>
          <w:lang w:val="es-CO" w:eastAsia="en-US"/>
        </w:rPr>
      </w:pPr>
      <w:r w:rsidRPr="00406F71">
        <w:rPr>
          <w:rFonts w:ascii="Arial" w:hAnsi="Arial" w:cs="Arial"/>
          <w:lang w:val="es-CO"/>
        </w:rPr>
        <w:t xml:space="preserve">A efectos de dar cumplimiento a estos fines y objetivos, en el marco de la Ley 142 de 1994, </w:t>
      </w:r>
      <w:r w:rsidRPr="00406F71">
        <w:rPr>
          <w:rFonts w:ascii="Arial" w:hAnsi="Arial" w:cs="Arial"/>
          <w:spacing w:val="-5"/>
          <w:lang w:val="es-CO" w:eastAsia="en-US"/>
        </w:rPr>
        <w:t>dentro del mecanismo de asignación de producto mediante ofertas públicas de cantidad, OPC, se establecieron disposiciones particulares, entre otras, las relativas a las condiciones generales para la oferta pública de GLP con precio regulado, así como dentro de las obligaciones de los comercializadores mayoristas para la comercialización de GLP, donde en la Resolución CREG 053 de 2011, artículo 6, literales a, c y d, artículo 13, literal c, y artículo 16, literal a, respectivamente, establecen lo siguiente:</w:t>
      </w:r>
    </w:p>
    <w:p w14:paraId="45C41B43" w14:textId="77777777" w:rsidR="00BF0F7B" w:rsidRPr="00406F71" w:rsidRDefault="00BF0F7B" w:rsidP="00BF0F7B">
      <w:pPr>
        <w:ind w:left="0"/>
        <w:contextualSpacing/>
        <w:jc w:val="both"/>
        <w:rPr>
          <w:rFonts w:ascii="Arial" w:hAnsi="Arial" w:cs="Arial"/>
          <w:spacing w:val="-5"/>
          <w:lang w:val="es-CO" w:eastAsia="en-US"/>
        </w:rPr>
      </w:pPr>
    </w:p>
    <w:p w14:paraId="0F56AB04" w14:textId="77777777" w:rsidR="00BF0F7B" w:rsidRPr="00406F71" w:rsidRDefault="00BF0F7B" w:rsidP="00BF0F7B">
      <w:pPr>
        <w:contextualSpacing/>
        <w:jc w:val="both"/>
        <w:rPr>
          <w:rFonts w:ascii="Arial" w:hAnsi="Arial" w:cs="Arial"/>
          <w:i/>
          <w:spacing w:val="-5"/>
          <w:sz w:val="22"/>
          <w:szCs w:val="22"/>
          <w:lang w:val="es-CO" w:eastAsia="en-US"/>
        </w:rPr>
      </w:pPr>
      <w:r w:rsidRPr="00406F71">
        <w:rPr>
          <w:rFonts w:ascii="Arial" w:hAnsi="Arial" w:cs="Arial"/>
          <w:i/>
          <w:spacing w:val="-5"/>
          <w:sz w:val="22"/>
          <w:szCs w:val="22"/>
          <w:lang w:val="es-CO" w:eastAsia="en-US"/>
        </w:rPr>
        <w:t>“(…) Abstenerse de asumir compromisos de exportación sin haber ofrecido previamente al Mercado Mayorista todo el GLP del que disponen. (…)”</w:t>
      </w:r>
    </w:p>
    <w:p w14:paraId="0AEB6B7C" w14:textId="77777777" w:rsidR="00BF0F7B" w:rsidRPr="00406F71" w:rsidRDefault="00BF0F7B" w:rsidP="00BF0F7B">
      <w:pPr>
        <w:contextualSpacing/>
        <w:jc w:val="both"/>
        <w:rPr>
          <w:rFonts w:ascii="Arial" w:hAnsi="Arial" w:cs="Arial"/>
          <w:i/>
          <w:spacing w:val="-5"/>
          <w:sz w:val="22"/>
          <w:szCs w:val="22"/>
          <w:lang w:val="es-CO" w:eastAsia="en-US"/>
        </w:rPr>
      </w:pPr>
    </w:p>
    <w:p w14:paraId="04871BEA" w14:textId="77777777" w:rsidR="00BF0F7B" w:rsidRPr="00406F71" w:rsidRDefault="00BF0F7B" w:rsidP="00BF0F7B">
      <w:pPr>
        <w:contextualSpacing/>
        <w:jc w:val="both"/>
        <w:rPr>
          <w:rFonts w:ascii="Arial" w:hAnsi="Arial" w:cs="Arial"/>
          <w:i/>
          <w:spacing w:val="-5"/>
          <w:sz w:val="22"/>
          <w:szCs w:val="22"/>
          <w:lang w:val="es-CO" w:eastAsia="en-US"/>
        </w:rPr>
      </w:pPr>
      <w:r w:rsidRPr="00406F71">
        <w:rPr>
          <w:rFonts w:ascii="Arial" w:hAnsi="Arial" w:cs="Arial"/>
          <w:i/>
          <w:spacing w:val="-5"/>
          <w:sz w:val="22"/>
          <w:szCs w:val="22"/>
          <w:lang w:val="es-CO" w:eastAsia="en-US"/>
        </w:rPr>
        <w:t>Cuando se trate de GLP con Precio Regulado, ofrecerlo a través de una OPC, de la cual trata el artículo 11 y ajustada a las condiciones establecidas en el Capítulo 3, de esta Resolución.  Su venta será el resultado de las asignaciones de producto de la OPC. (…)</w:t>
      </w:r>
    </w:p>
    <w:p w14:paraId="4E468566" w14:textId="77777777" w:rsidR="00BF0F7B" w:rsidRPr="00406F71" w:rsidRDefault="00BF0F7B" w:rsidP="00BF0F7B">
      <w:pPr>
        <w:contextualSpacing/>
        <w:jc w:val="both"/>
        <w:rPr>
          <w:rFonts w:ascii="Arial" w:hAnsi="Arial" w:cs="Arial"/>
          <w:i/>
          <w:spacing w:val="-5"/>
          <w:sz w:val="22"/>
          <w:szCs w:val="22"/>
          <w:lang w:val="es-CO" w:eastAsia="en-US"/>
        </w:rPr>
      </w:pPr>
    </w:p>
    <w:p w14:paraId="02786609" w14:textId="77777777" w:rsidR="00BF0F7B" w:rsidRPr="00406F71" w:rsidRDefault="00BF0F7B" w:rsidP="00BF0F7B">
      <w:pPr>
        <w:contextualSpacing/>
        <w:jc w:val="both"/>
        <w:rPr>
          <w:rFonts w:ascii="Arial" w:hAnsi="Arial" w:cs="Arial"/>
          <w:i/>
          <w:spacing w:val="-5"/>
          <w:sz w:val="22"/>
          <w:szCs w:val="22"/>
          <w:lang w:val="es-CO" w:eastAsia="en-US"/>
        </w:rPr>
      </w:pPr>
      <w:r w:rsidRPr="00406F71">
        <w:rPr>
          <w:rFonts w:ascii="Arial" w:hAnsi="Arial" w:cs="Arial"/>
          <w:b/>
          <w:i/>
          <w:spacing w:val="-5"/>
          <w:sz w:val="22"/>
          <w:szCs w:val="22"/>
          <w:u w:val="single"/>
          <w:lang w:val="es-CO" w:eastAsia="en-US"/>
        </w:rPr>
        <w:t>Incorporar en su oferta de venta de GLP disponible las variaciones en la producción o importación previsibles, generadas por cualquier causa</w:t>
      </w:r>
      <w:r w:rsidRPr="00406F71">
        <w:rPr>
          <w:rFonts w:ascii="Arial" w:hAnsi="Arial" w:cs="Arial"/>
          <w:i/>
          <w:spacing w:val="-5"/>
          <w:sz w:val="22"/>
          <w:szCs w:val="22"/>
          <w:lang w:val="es-CO" w:eastAsia="en-US"/>
        </w:rPr>
        <w:t>. (…)</w:t>
      </w:r>
    </w:p>
    <w:p w14:paraId="5FEF21C9" w14:textId="77777777" w:rsidR="00BF0F7B" w:rsidRPr="00406F71" w:rsidRDefault="00BF0F7B" w:rsidP="00BF0F7B">
      <w:pPr>
        <w:tabs>
          <w:tab w:val="left" w:pos="5628"/>
        </w:tabs>
        <w:contextualSpacing/>
        <w:jc w:val="both"/>
        <w:rPr>
          <w:rFonts w:ascii="Arial" w:hAnsi="Arial" w:cs="Arial"/>
          <w:i/>
          <w:spacing w:val="-5"/>
          <w:sz w:val="22"/>
          <w:szCs w:val="22"/>
          <w:lang w:val="es-CO" w:eastAsia="en-US"/>
        </w:rPr>
      </w:pPr>
    </w:p>
    <w:p w14:paraId="73F016E7" w14:textId="77777777" w:rsidR="00BF0F7B" w:rsidRPr="00406F71" w:rsidRDefault="00BF0F7B" w:rsidP="00BF0F7B">
      <w:pPr>
        <w:contextualSpacing/>
        <w:jc w:val="both"/>
        <w:rPr>
          <w:rFonts w:ascii="Arial" w:hAnsi="Arial" w:cs="Arial"/>
          <w:i/>
          <w:spacing w:val="-5"/>
          <w:sz w:val="22"/>
          <w:szCs w:val="22"/>
          <w:lang w:val="es-CO" w:eastAsia="en-US"/>
        </w:rPr>
      </w:pPr>
      <w:r w:rsidRPr="00406F71">
        <w:rPr>
          <w:rFonts w:ascii="Arial" w:hAnsi="Arial" w:cs="Arial"/>
          <w:b/>
          <w:i/>
          <w:spacing w:val="-5"/>
          <w:sz w:val="22"/>
          <w:szCs w:val="22"/>
          <w:u w:val="single"/>
          <w:lang w:val="es-CO" w:eastAsia="en-US"/>
        </w:rPr>
        <w:t>La OPC debe hacerse ofreciendo el producto de manera independiente para cada fuente de producción nacional</w:t>
      </w:r>
      <w:r w:rsidRPr="00406F71">
        <w:rPr>
          <w:rFonts w:ascii="Arial" w:hAnsi="Arial" w:cs="Arial"/>
          <w:i/>
          <w:spacing w:val="-5"/>
          <w:sz w:val="22"/>
          <w:szCs w:val="22"/>
          <w:lang w:val="es-CO" w:eastAsia="en-US"/>
        </w:rPr>
        <w:t xml:space="preserve"> y de manera simultánea para todas ellas (…)</w:t>
      </w:r>
    </w:p>
    <w:p w14:paraId="5CAB8890" w14:textId="77777777" w:rsidR="00BF0F7B" w:rsidRPr="00406F71" w:rsidRDefault="00BF0F7B" w:rsidP="00BF0F7B">
      <w:pPr>
        <w:contextualSpacing/>
        <w:jc w:val="both"/>
        <w:rPr>
          <w:rFonts w:ascii="Arial" w:hAnsi="Arial" w:cs="Arial"/>
          <w:i/>
          <w:spacing w:val="-5"/>
          <w:sz w:val="22"/>
          <w:szCs w:val="22"/>
          <w:lang w:val="es-CO" w:eastAsia="en-US"/>
        </w:rPr>
      </w:pPr>
    </w:p>
    <w:p w14:paraId="3BA2E4D7" w14:textId="77777777" w:rsidR="00BF0F7B" w:rsidRPr="00406F71" w:rsidRDefault="00BF0F7B" w:rsidP="00BF0F7B">
      <w:pPr>
        <w:contextualSpacing/>
        <w:jc w:val="both"/>
        <w:rPr>
          <w:rFonts w:ascii="Arial" w:hAnsi="Arial" w:cs="Arial"/>
          <w:spacing w:val="-5"/>
          <w:sz w:val="22"/>
          <w:szCs w:val="22"/>
          <w:lang w:val="es-CO" w:eastAsia="en-US"/>
        </w:rPr>
      </w:pPr>
      <w:r w:rsidRPr="00406F71">
        <w:rPr>
          <w:rFonts w:ascii="Arial" w:hAnsi="Arial" w:cs="Arial"/>
          <w:i/>
          <w:spacing w:val="-5"/>
          <w:sz w:val="22"/>
          <w:szCs w:val="22"/>
          <w:lang w:val="es-CO" w:eastAsia="en-US"/>
        </w:rPr>
        <w:t xml:space="preserve">Se considera un incumplimiento en las condiciones de entrega del producto, por parte del vendedor, </w:t>
      </w:r>
      <w:r w:rsidRPr="00406F71">
        <w:rPr>
          <w:rFonts w:ascii="Arial" w:hAnsi="Arial" w:cs="Arial"/>
          <w:b/>
          <w:bCs/>
          <w:i/>
          <w:spacing w:val="-5"/>
          <w:sz w:val="22"/>
          <w:szCs w:val="22"/>
          <w:u w:val="single"/>
          <w:lang w:val="es-CO" w:eastAsia="en-US"/>
        </w:rPr>
        <w:t>la modificación de los sitios de entrega pactados en el contrato, la variación en las cantidades entregadas diferentes a las pactadas en el contrato</w:t>
      </w:r>
      <w:r w:rsidRPr="00406F71">
        <w:rPr>
          <w:rFonts w:ascii="Arial" w:hAnsi="Arial" w:cs="Arial"/>
          <w:i/>
          <w:spacing w:val="-5"/>
          <w:sz w:val="22"/>
          <w:szCs w:val="22"/>
          <w:lang w:val="es-CO" w:eastAsia="en-US"/>
        </w:rPr>
        <w:t xml:space="preserve"> y el mayor tiempo de entrega con respecto al tiempo máximo pactado en el contrato,</w:t>
      </w:r>
      <w:r w:rsidRPr="00406F71">
        <w:rPr>
          <w:rFonts w:ascii="Arial" w:hAnsi="Arial" w:cs="Arial"/>
          <w:b/>
          <w:bCs/>
          <w:i/>
          <w:spacing w:val="-5"/>
          <w:sz w:val="22"/>
          <w:szCs w:val="22"/>
          <w:u w:val="single"/>
          <w:lang w:val="es-CO" w:eastAsia="en-US"/>
        </w:rPr>
        <w:t xml:space="preserve"> sea cual sea el origen de la causa de dichos incumplimientos</w:t>
      </w:r>
      <w:r w:rsidRPr="00406F71">
        <w:rPr>
          <w:rFonts w:ascii="Arial" w:hAnsi="Arial" w:cs="Arial"/>
          <w:i/>
          <w:spacing w:val="-5"/>
          <w:sz w:val="22"/>
          <w:szCs w:val="22"/>
          <w:lang w:val="es-CO" w:eastAsia="en-US"/>
        </w:rPr>
        <w:t>, con excepción de las situaciones establecidas en el artículo 17 de esta resolución. También se considera un incumplimiento en las condiciones de entrega del producto por parte del vendedor la no entrega de los reportes de calidad y de caracterización del GLP suministrado, en las condiciones previstas en los literales d</w:t>
      </w:r>
      <w:r>
        <w:rPr>
          <w:rFonts w:ascii="Arial" w:hAnsi="Arial" w:cs="Arial"/>
          <w:i/>
          <w:spacing w:val="-5"/>
          <w:sz w:val="22"/>
          <w:szCs w:val="22"/>
          <w:lang w:val="es-CO" w:eastAsia="en-US"/>
        </w:rPr>
        <w:t>)</w:t>
      </w:r>
      <w:r w:rsidRPr="00406F71">
        <w:rPr>
          <w:rFonts w:ascii="Arial" w:hAnsi="Arial" w:cs="Arial"/>
          <w:i/>
          <w:spacing w:val="-5"/>
          <w:sz w:val="22"/>
          <w:szCs w:val="22"/>
          <w:lang w:val="es-CO" w:eastAsia="en-US"/>
        </w:rPr>
        <w:t xml:space="preserve"> y e</w:t>
      </w:r>
      <w:r>
        <w:rPr>
          <w:rFonts w:ascii="Arial" w:hAnsi="Arial" w:cs="Arial"/>
          <w:i/>
          <w:spacing w:val="-5"/>
          <w:sz w:val="22"/>
          <w:szCs w:val="22"/>
          <w:lang w:val="es-CO" w:eastAsia="en-US"/>
        </w:rPr>
        <w:t>)</w:t>
      </w:r>
      <w:r w:rsidRPr="00406F71">
        <w:rPr>
          <w:rFonts w:ascii="Arial" w:hAnsi="Arial" w:cs="Arial"/>
          <w:i/>
          <w:spacing w:val="-5"/>
          <w:sz w:val="22"/>
          <w:szCs w:val="22"/>
          <w:lang w:val="es-CO" w:eastAsia="en-US"/>
        </w:rPr>
        <w:t xml:space="preserve"> del artículo 7 de esta resolución. (…)” </w:t>
      </w:r>
      <w:r w:rsidRPr="00406F71">
        <w:rPr>
          <w:rFonts w:ascii="Arial" w:hAnsi="Arial" w:cs="Arial"/>
          <w:spacing w:val="-5"/>
          <w:sz w:val="22"/>
          <w:szCs w:val="22"/>
          <w:lang w:val="es-CO" w:eastAsia="en-US"/>
        </w:rPr>
        <w:t>Resaltado y subrayado fuera de texto</w:t>
      </w:r>
    </w:p>
    <w:p w14:paraId="7331CE7D" w14:textId="77777777" w:rsidR="00BF0F7B" w:rsidRPr="00406F71" w:rsidRDefault="00BF0F7B" w:rsidP="00BF0F7B">
      <w:pPr>
        <w:ind w:left="0"/>
        <w:contextualSpacing/>
        <w:jc w:val="both"/>
        <w:rPr>
          <w:rFonts w:ascii="Arial" w:hAnsi="Arial" w:cs="Arial"/>
          <w:spacing w:val="-5"/>
          <w:lang w:val="es-CO" w:eastAsia="en-US"/>
        </w:rPr>
      </w:pPr>
    </w:p>
    <w:p w14:paraId="58CB8F10" w14:textId="77777777" w:rsidR="00BF0F7B" w:rsidRPr="00406F71" w:rsidRDefault="00BF0F7B" w:rsidP="00BF0F7B">
      <w:pPr>
        <w:ind w:left="0"/>
        <w:contextualSpacing/>
        <w:jc w:val="both"/>
        <w:rPr>
          <w:rFonts w:ascii="Arial" w:hAnsi="Arial" w:cs="Arial"/>
          <w:spacing w:val="-5"/>
          <w:lang w:val="es-CO" w:eastAsia="en-US"/>
        </w:rPr>
      </w:pPr>
      <w:r w:rsidRPr="00406F71">
        <w:rPr>
          <w:rFonts w:ascii="Arial" w:hAnsi="Arial" w:cs="Arial"/>
          <w:spacing w:val="-5"/>
          <w:lang w:val="es-CO" w:eastAsia="en-US"/>
        </w:rPr>
        <w:t>Adicionalmente, en el parágrafo 2 del artículo 13 de la Resolución CREG 053 de 2011, se establece que:</w:t>
      </w:r>
    </w:p>
    <w:p w14:paraId="143C4A2F" w14:textId="77777777" w:rsidR="00BF0F7B" w:rsidRPr="00406F71" w:rsidRDefault="00BF0F7B" w:rsidP="00BF0F7B">
      <w:pPr>
        <w:ind w:left="0"/>
        <w:contextualSpacing/>
        <w:jc w:val="both"/>
        <w:rPr>
          <w:rFonts w:ascii="Arial" w:hAnsi="Arial" w:cs="Arial"/>
          <w:spacing w:val="-5"/>
          <w:lang w:val="es-CO" w:eastAsia="en-US"/>
        </w:rPr>
      </w:pPr>
    </w:p>
    <w:p w14:paraId="67F699BB" w14:textId="77777777" w:rsidR="00BF0F7B" w:rsidRPr="00406F71" w:rsidRDefault="00BF0F7B" w:rsidP="00BF0F7B">
      <w:pPr>
        <w:contextualSpacing/>
        <w:jc w:val="both"/>
        <w:rPr>
          <w:rFonts w:ascii="Arial" w:hAnsi="Arial" w:cs="Arial"/>
          <w:spacing w:val="-5"/>
          <w:sz w:val="22"/>
          <w:szCs w:val="22"/>
          <w:lang w:val="es-CO" w:eastAsia="en-US"/>
        </w:rPr>
      </w:pPr>
      <w:r w:rsidRPr="00406F71">
        <w:rPr>
          <w:rFonts w:ascii="Arial" w:hAnsi="Arial" w:cs="Arial"/>
          <w:i/>
          <w:spacing w:val="-5"/>
          <w:sz w:val="22"/>
          <w:szCs w:val="22"/>
          <w:lang w:val="es-CO" w:eastAsia="en-US"/>
        </w:rPr>
        <w:t xml:space="preserve">“(…) </w:t>
      </w:r>
      <w:r w:rsidRPr="00406F71">
        <w:rPr>
          <w:rFonts w:ascii="Arial" w:hAnsi="Arial" w:cs="Arial"/>
          <w:b/>
          <w:i/>
          <w:spacing w:val="-5"/>
          <w:sz w:val="22"/>
          <w:szCs w:val="22"/>
          <w:u w:val="single"/>
          <w:lang w:val="es-CO" w:eastAsia="en-US"/>
        </w:rPr>
        <w:t>Estas OPC adicionales deberán cumplir todas las condiciones generales establecidas en el capítulo 3</w:t>
      </w:r>
      <w:r w:rsidRPr="00406F71">
        <w:rPr>
          <w:rFonts w:ascii="Arial" w:hAnsi="Arial" w:cs="Arial"/>
          <w:i/>
          <w:spacing w:val="-5"/>
          <w:sz w:val="22"/>
          <w:szCs w:val="22"/>
          <w:lang w:val="es-CO" w:eastAsia="en-US"/>
        </w:rPr>
        <w:t xml:space="preserve">, con excepción del tiempo previo de un mes para la realización </w:t>
      </w:r>
      <w:r w:rsidRPr="00406F71">
        <w:rPr>
          <w:rFonts w:ascii="Arial" w:hAnsi="Arial" w:cs="Arial"/>
          <w:i/>
          <w:spacing w:val="-5"/>
          <w:sz w:val="22"/>
          <w:szCs w:val="22"/>
          <w:lang w:val="es-CO" w:eastAsia="en-US"/>
        </w:rPr>
        <w:lastRenderedPageBreak/>
        <w:t xml:space="preserve">de la oferta el cual puede ser menor. Tampoco se aplicará lo previsto en el literal a del artículo 14 de esta resolución. (…)” </w:t>
      </w:r>
      <w:r w:rsidRPr="00406F71">
        <w:rPr>
          <w:rFonts w:ascii="Arial" w:hAnsi="Arial" w:cs="Arial"/>
          <w:spacing w:val="-5"/>
          <w:sz w:val="22"/>
          <w:szCs w:val="22"/>
          <w:lang w:val="es-CO" w:eastAsia="en-US"/>
        </w:rPr>
        <w:t>Subrayado y resaltado fuera de texto</w:t>
      </w:r>
    </w:p>
    <w:p w14:paraId="7A747EA9" w14:textId="77777777" w:rsidR="00BF0F7B" w:rsidRPr="00406F71" w:rsidRDefault="00BF0F7B" w:rsidP="00BF0F7B">
      <w:pPr>
        <w:ind w:left="0"/>
        <w:contextualSpacing/>
        <w:jc w:val="both"/>
        <w:rPr>
          <w:rFonts w:ascii="Arial" w:hAnsi="Arial" w:cs="Arial"/>
          <w:spacing w:val="-5"/>
          <w:lang w:val="es-CO" w:eastAsia="en-US"/>
        </w:rPr>
      </w:pPr>
    </w:p>
    <w:p w14:paraId="622C1087" w14:textId="77777777" w:rsidR="00BF0F7B" w:rsidRPr="00406F71" w:rsidRDefault="00BF0F7B" w:rsidP="00BF0F7B">
      <w:pPr>
        <w:ind w:left="0"/>
        <w:contextualSpacing/>
        <w:jc w:val="both"/>
        <w:rPr>
          <w:rFonts w:ascii="Arial" w:hAnsi="Arial" w:cs="Arial"/>
          <w:spacing w:val="-5"/>
          <w:lang w:val="es-CO" w:eastAsia="en-US"/>
        </w:rPr>
      </w:pPr>
      <w:r w:rsidRPr="00406F71">
        <w:rPr>
          <w:rFonts w:ascii="Arial" w:hAnsi="Arial" w:cs="Arial"/>
          <w:spacing w:val="-5"/>
          <w:lang w:val="es-CO" w:eastAsia="en-US"/>
        </w:rPr>
        <w:t>Así mismo, mediante Resolución CREG 064 de 2016, en la cual se modifica el parágrafo 1 del artículo 13 del reglamento de comercialización mayorista de GLP, se establece lo siguiente:</w:t>
      </w:r>
    </w:p>
    <w:p w14:paraId="4F83040D" w14:textId="77777777" w:rsidR="00BF0F7B" w:rsidRPr="00406F71" w:rsidRDefault="00BF0F7B" w:rsidP="00BF0F7B">
      <w:pPr>
        <w:ind w:left="0"/>
        <w:contextualSpacing/>
        <w:jc w:val="both"/>
        <w:rPr>
          <w:rFonts w:ascii="Arial" w:hAnsi="Arial" w:cs="Arial"/>
          <w:spacing w:val="-5"/>
          <w:lang w:val="es-CO" w:eastAsia="en-US"/>
        </w:rPr>
      </w:pPr>
    </w:p>
    <w:p w14:paraId="703F4DF9" w14:textId="77777777" w:rsidR="00BF0F7B" w:rsidRPr="00406F71" w:rsidRDefault="00BF0F7B" w:rsidP="00BF0F7B">
      <w:pPr>
        <w:contextualSpacing/>
        <w:jc w:val="both"/>
        <w:rPr>
          <w:rFonts w:ascii="Arial" w:hAnsi="Arial" w:cs="Arial"/>
          <w:i/>
          <w:iCs/>
          <w:sz w:val="22"/>
          <w:szCs w:val="22"/>
          <w:lang w:val="es-CO" w:eastAsia="en-US"/>
        </w:rPr>
      </w:pPr>
      <w:r w:rsidRPr="00406F71">
        <w:rPr>
          <w:rFonts w:ascii="Arial" w:hAnsi="Arial" w:cs="Arial"/>
          <w:i/>
          <w:iCs/>
          <w:spacing w:val="-5"/>
          <w:sz w:val="22"/>
          <w:szCs w:val="22"/>
          <w:lang w:val="es-CO" w:eastAsia="en-US"/>
        </w:rPr>
        <w:t xml:space="preserve">“(…) </w:t>
      </w:r>
      <w:r w:rsidRPr="00406F71">
        <w:rPr>
          <w:rFonts w:ascii="Arial" w:hAnsi="Arial" w:cs="Arial"/>
          <w:i/>
          <w:iCs/>
          <w:sz w:val="22"/>
          <w:szCs w:val="22"/>
          <w:lang w:val="es-CO" w:eastAsia="en-US"/>
        </w:rPr>
        <w:t>Durante el período de ejecución de los contratos resultantes de una OPC original, podrán hacerse OPC adicionales para para (sic) períodos de entrega entre un mes y el plazo máximo de la OPC definido en el literal d) de este artículo, sin exceder en todo caso los periodos de ejecución de dichos contratos. El producto ofrecido mediante una OPC adicional deberá ofrecerse con un precio inferior al 50% del precio máximo regulado”.</w:t>
      </w:r>
    </w:p>
    <w:p w14:paraId="479F2ED6" w14:textId="77777777" w:rsidR="00BF0F7B" w:rsidRDefault="00BF0F7B" w:rsidP="00BF0F7B">
      <w:pPr>
        <w:ind w:left="0"/>
        <w:contextualSpacing/>
        <w:jc w:val="both"/>
        <w:rPr>
          <w:rFonts w:ascii="Arial" w:hAnsi="Arial" w:cs="Arial"/>
          <w:lang w:val="es-CO"/>
        </w:rPr>
      </w:pPr>
    </w:p>
    <w:p w14:paraId="40D49871" w14:textId="77777777" w:rsidR="00BF0F7B" w:rsidRPr="00406F71" w:rsidRDefault="00BF0F7B" w:rsidP="00BF0F7B">
      <w:pPr>
        <w:ind w:left="0"/>
        <w:contextualSpacing/>
        <w:jc w:val="both"/>
        <w:rPr>
          <w:rFonts w:ascii="Arial" w:hAnsi="Arial" w:cs="Arial"/>
          <w:lang w:val="es-CO"/>
        </w:rPr>
      </w:pPr>
      <w:r w:rsidRPr="00406F71">
        <w:rPr>
          <w:rFonts w:ascii="Arial" w:hAnsi="Arial" w:cs="Arial"/>
          <w:lang w:val="es-CO"/>
        </w:rPr>
        <w:t xml:space="preserve">Mediante comunicación con radicado CREG </w:t>
      </w:r>
      <w:r w:rsidRPr="00230E40">
        <w:rPr>
          <w:rFonts w:ascii="Arial" w:hAnsi="Arial" w:cs="Arial"/>
          <w:lang w:val="es-CO"/>
        </w:rPr>
        <w:t>E2023015527</w:t>
      </w:r>
      <w:r w:rsidRPr="00406F71">
        <w:rPr>
          <w:rFonts w:ascii="Arial" w:hAnsi="Arial" w:cs="Arial"/>
          <w:lang w:val="es-CO"/>
        </w:rPr>
        <w:t xml:space="preserve">, del </w:t>
      </w:r>
      <w:r>
        <w:rPr>
          <w:rFonts w:ascii="Arial" w:hAnsi="Arial" w:cs="Arial"/>
          <w:lang w:val="es-CO"/>
        </w:rPr>
        <w:t>28</w:t>
      </w:r>
      <w:r w:rsidRPr="00406F71">
        <w:rPr>
          <w:rFonts w:ascii="Arial" w:hAnsi="Arial" w:cs="Arial"/>
          <w:lang w:val="es-CO"/>
        </w:rPr>
        <w:t xml:space="preserve"> de </w:t>
      </w:r>
      <w:r>
        <w:rPr>
          <w:rFonts w:ascii="Arial" w:hAnsi="Arial" w:cs="Arial"/>
          <w:lang w:val="es-CO"/>
        </w:rPr>
        <w:t>agosto</w:t>
      </w:r>
      <w:r w:rsidRPr="00406F71">
        <w:rPr>
          <w:rFonts w:ascii="Arial" w:hAnsi="Arial" w:cs="Arial"/>
          <w:lang w:val="es-CO"/>
        </w:rPr>
        <w:t xml:space="preserve"> de 202</w:t>
      </w:r>
      <w:r>
        <w:rPr>
          <w:rFonts w:ascii="Arial" w:hAnsi="Arial" w:cs="Arial"/>
          <w:lang w:val="es-CO"/>
        </w:rPr>
        <w:t>3</w:t>
      </w:r>
      <w:r w:rsidRPr="00406F71">
        <w:rPr>
          <w:rFonts w:ascii="Arial" w:hAnsi="Arial" w:cs="Arial"/>
          <w:lang w:val="es-CO"/>
        </w:rPr>
        <w:t xml:space="preserve">, </w:t>
      </w:r>
      <w:r>
        <w:rPr>
          <w:rFonts w:ascii="Arial" w:hAnsi="Arial" w:cs="Arial"/>
          <w:lang w:val="es-CO"/>
        </w:rPr>
        <w:t xml:space="preserve">la Asociación Colombiana de GLP, GASNOVA, </w:t>
      </w:r>
      <w:r w:rsidRPr="00406F71">
        <w:rPr>
          <w:rFonts w:ascii="Arial" w:hAnsi="Arial" w:cs="Arial"/>
          <w:lang w:val="es-CO"/>
        </w:rPr>
        <w:t>expuso lo siguiente:</w:t>
      </w:r>
    </w:p>
    <w:p w14:paraId="36E8F294" w14:textId="77777777" w:rsidR="00BF0F7B" w:rsidRPr="00406F71" w:rsidRDefault="00BF0F7B" w:rsidP="00BF0F7B">
      <w:pPr>
        <w:ind w:left="0"/>
        <w:contextualSpacing/>
        <w:jc w:val="both"/>
        <w:rPr>
          <w:rFonts w:ascii="Arial" w:hAnsi="Arial" w:cs="Arial"/>
          <w:lang w:val="es-CO"/>
        </w:rPr>
      </w:pPr>
    </w:p>
    <w:p w14:paraId="21AEF534" w14:textId="77777777" w:rsidR="00BF0F7B" w:rsidRDefault="00BF0F7B" w:rsidP="00BF0F7B">
      <w:pPr>
        <w:contextualSpacing/>
        <w:jc w:val="both"/>
        <w:rPr>
          <w:rFonts w:ascii="Arial" w:hAnsi="Arial" w:cs="Arial"/>
          <w:i/>
          <w:iCs/>
          <w:sz w:val="22"/>
          <w:szCs w:val="22"/>
          <w:lang w:val="es-CO"/>
        </w:rPr>
      </w:pPr>
      <w:r w:rsidRPr="00406F71">
        <w:rPr>
          <w:rFonts w:ascii="Arial" w:hAnsi="Arial" w:cs="Arial"/>
          <w:i/>
          <w:iCs/>
          <w:sz w:val="22"/>
          <w:szCs w:val="22"/>
          <w:lang w:val="es-CO"/>
        </w:rPr>
        <w:t>“</w:t>
      </w:r>
      <w:r>
        <w:rPr>
          <w:rFonts w:ascii="Arial" w:hAnsi="Arial" w:cs="Arial"/>
          <w:i/>
          <w:iCs/>
          <w:sz w:val="22"/>
          <w:szCs w:val="22"/>
          <w:lang w:val="es-CO"/>
        </w:rPr>
        <w:t xml:space="preserve">(…) </w:t>
      </w:r>
      <w:r w:rsidRPr="000F0A7B">
        <w:rPr>
          <w:rFonts w:ascii="Arial" w:hAnsi="Arial" w:cs="Arial"/>
          <w:i/>
          <w:iCs/>
          <w:sz w:val="22"/>
          <w:szCs w:val="22"/>
          <w:lang w:val="es-CO"/>
        </w:rPr>
        <w:t xml:space="preserve">Como es de su conocimiento, las principales fuentes de suministro de GAS LICUADO DEL PETRÓLEO – GLP para el país, están situadas en los llanos orientales en los campos de Cusiana y </w:t>
      </w:r>
      <w:proofErr w:type="spellStart"/>
      <w:r w:rsidRPr="000F0A7B">
        <w:rPr>
          <w:rFonts w:ascii="Arial" w:hAnsi="Arial" w:cs="Arial"/>
          <w:i/>
          <w:iCs/>
          <w:sz w:val="22"/>
          <w:szCs w:val="22"/>
          <w:lang w:val="es-CO"/>
        </w:rPr>
        <w:t>Cupiagua</w:t>
      </w:r>
      <w:proofErr w:type="spellEnd"/>
      <w:r w:rsidRPr="000F0A7B">
        <w:rPr>
          <w:rFonts w:ascii="Arial" w:hAnsi="Arial" w:cs="Arial"/>
          <w:i/>
          <w:iCs/>
          <w:sz w:val="22"/>
          <w:szCs w:val="22"/>
          <w:lang w:val="es-CO"/>
        </w:rPr>
        <w:t>, que abastecen el 56% de la oferta nacional. Debido al colapso de las vías que comunican a los llanos con el centro del país, no es posible el transporte de manera regular de este combustible que es indispensable para atender las necesidades energéticas de los usuarios residenciales que lo usan para cocción de alimentos, así como para pequeñas empresas comerciales e industriales. Los usuarios residenciales son principalmente familias de menores recursos y comunidades étnicas que no tienen otra alternativa energética.</w:t>
      </w:r>
    </w:p>
    <w:p w14:paraId="500192C6" w14:textId="77777777" w:rsidR="00BF0F7B" w:rsidRDefault="00BF0F7B" w:rsidP="00BF0F7B">
      <w:pPr>
        <w:contextualSpacing/>
        <w:jc w:val="both"/>
        <w:rPr>
          <w:rFonts w:ascii="Arial" w:hAnsi="Arial" w:cs="Arial"/>
          <w:i/>
          <w:iCs/>
          <w:sz w:val="22"/>
          <w:szCs w:val="22"/>
          <w:lang w:val="es-CO"/>
        </w:rPr>
      </w:pPr>
    </w:p>
    <w:p w14:paraId="67688953" w14:textId="77777777" w:rsidR="00BF0F7B" w:rsidRDefault="00BF0F7B" w:rsidP="00BF0F7B">
      <w:pPr>
        <w:contextualSpacing/>
        <w:jc w:val="both"/>
        <w:rPr>
          <w:rFonts w:ascii="Arial" w:hAnsi="Arial" w:cs="Arial"/>
          <w:i/>
          <w:iCs/>
          <w:sz w:val="22"/>
          <w:szCs w:val="22"/>
          <w:lang w:val="es-CO"/>
        </w:rPr>
      </w:pPr>
      <w:bookmarkStart w:id="0" w:name="_Hlk144736544"/>
      <w:r w:rsidRPr="000F0A7B">
        <w:rPr>
          <w:rFonts w:ascii="Arial" w:hAnsi="Arial" w:cs="Arial"/>
          <w:i/>
          <w:iCs/>
          <w:sz w:val="22"/>
          <w:szCs w:val="22"/>
          <w:lang w:val="es-CO"/>
        </w:rPr>
        <w:t xml:space="preserve">Es importante anotar que la vía por Villavicencio está cerrada por la caída de material rocoso que la obstruye en varios puntos; la otra vía que podía usarse como alterna, saliendo por Sogamoso, quedó inhabilitada por la caída del viaducto Los Grillos en la zona de Pajarito y la última opción que sería la transversal del </w:t>
      </w:r>
      <w:proofErr w:type="spellStart"/>
      <w:r w:rsidRPr="000F0A7B">
        <w:rPr>
          <w:rFonts w:ascii="Arial" w:hAnsi="Arial" w:cs="Arial"/>
          <w:i/>
          <w:iCs/>
          <w:sz w:val="22"/>
          <w:szCs w:val="22"/>
          <w:lang w:val="es-CO"/>
        </w:rPr>
        <w:t>Sisga</w:t>
      </w:r>
      <w:proofErr w:type="spellEnd"/>
      <w:r w:rsidRPr="000F0A7B">
        <w:rPr>
          <w:rFonts w:ascii="Arial" w:hAnsi="Arial" w:cs="Arial"/>
          <w:i/>
          <w:iCs/>
          <w:sz w:val="22"/>
          <w:szCs w:val="22"/>
          <w:lang w:val="es-CO"/>
        </w:rPr>
        <w:t>, no puede usarse para el tránsito de vehículos de más de 30 toneladas. A estas anomalías se suman los bloqueos que en forma intermitente hacen las comunidades a lo largo de las vías, tal como ha ocurrido en estos días en la zona de Guayabetal. Se prevé que esta situación puede prolongarse debido a los sismos y continuas lluvias que se presentan en las zonas afectadas por derrumbes y a que el puente no podrá repararse en corto tiempo.</w:t>
      </w:r>
    </w:p>
    <w:p w14:paraId="3069155D" w14:textId="77777777" w:rsidR="00BF0F7B" w:rsidRDefault="00BF0F7B" w:rsidP="00BF0F7B">
      <w:pPr>
        <w:contextualSpacing/>
        <w:jc w:val="both"/>
        <w:rPr>
          <w:rFonts w:ascii="Arial" w:hAnsi="Arial" w:cs="Arial"/>
          <w:i/>
          <w:iCs/>
          <w:sz w:val="22"/>
          <w:szCs w:val="22"/>
          <w:lang w:val="es-CO"/>
        </w:rPr>
      </w:pPr>
    </w:p>
    <w:bookmarkEnd w:id="0"/>
    <w:p w14:paraId="4A654CF4" w14:textId="77777777" w:rsidR="00BF0F7B" w:rsidRDefault="00BF0F7B" w:rsidP="00BF0F7B">
      <w:pPr>
        <w:contextualSpacing/>
        <w:jc w:val="both"/>
        <w:rPr>
          <w:rFonts w:ascii="Arial" w:hAnsi="Arial" w:cs="Arial"/>
          <w:i/>
          <w:iCs/>
          <w:sz w:val="22"/>
          <w:szCs w:val="22"/>
          <w:lang w:val="es-CO"/>
        </w:rPr>
      </w:pPr>
      <w:r w:rsidRPr="000F0A7B">
        <w:rPr>
          <w:rFonts w:ascii="Arial" w:hAnsi="Arial" w:cs="Arial"/>
          <w:i/>
          <w:iCs/>
          <w:sz w:val="22"/>
          <w:szCs w:val="22"/>
          <w:lang w:val="es-CO"/>
        </w:rPr>
        <w:t>La demanda nacional actual de GLP es de 60.000 ton/mes y la afectación de las vías que aquí nos ocupa, impide disponer del 56 % de esta oferta. Vale la pena recordar que el 70% de usuarios de GLP son familias de escasos recursos y comunidades étnicas que lo usan para sus necesidades de cocción. El 30% restante cubre las necesidades de pequeñas industrias, como panaderías, sector avícola, restaurantes y pequeño comercio, que, de no contar con el combustible, ven amenazados sus ingresos básicos.</w:t>
      </w:r>
    </w:p>
    <w:p w14:paraId="2B460103" w14:textId="77777777" w:rsidR="00BF0F7B" w:rsidRDefault="00BF0F7B" w:rsidP="00BF0F7B">
      <w:pPr>
        <w:contextualSpacing/>
        <w:jc w:val="both"/>
        <w:rPr>
          <w:rFonts w:ascii="Arial" w:hAnsi="Arial" w:cs="Arial"/>
          <w:i/>
          <w:iCs/>
          <w:sz w:val="22"/>
          <w:szCs w:val="22"/>
          <w:lang w:val="es-CO"/>
        </w:rPr>
      </w:pPr>
    </w:p>
    <w:p w14:paraId="37A197CC" w14:textId="77777777" w:rsidR="00BF0F7B" w:rsidRDefault="00BF0F7B" w:rsidP="00BF0F7B">
      <w:pPr>
        <w:contextualSpacing/>
        <w:jc w:val="both"/>
        <w:rPr>
          <w:rFonts w:ascii="Arial" w:hAnsi="Arial" w:cs="Arial"/>
          <w:i/>
          <w:iCs/>
          <w:sz w:val="22"/>
          <w:szCs w:val="22"/>
          <w:lang w:val="es-CO"/>
        </w:rPr>
      </w:pPr>
      <w:r w:rsidRPr="00704BBE">
        <w:rPr>
          <w:rFonts w:ascii="Arial" w:hAnsi="Arial" w:cs="Arial"/>
          <w:i/>
          <w:iCs/>
          <w:sz w:val="22"/>
          <w:szCs w:val="22"/>
          <w:lang w:val="es-CO"/>
        </w:rPr>
        <w:t xml:space="preserve">Así las cosas, aunque no se ha interrumpido la producción de GLP y el producto se encuentra disponible en las plantas de Ecopetrol en Cusiana y </w:t>
      </w:r>
      <w:proofErr w:type="spellStart"/>
      <w:r w:rsidRPr="00704BBE">
        <w:rPr>
          <w:rFonts w:ascii="Arial" w:hAnsi="Arial" w:cs="Arial"/>
          <w:i/>
          <w:iCs/>
          <w:sz w:val="22"/>
          <w:szCs w:val="22"/>
          <w:lang w:val="es-CO"/>
        </w:rPr>
        <w:t>Cupiagua</w:t>
      </w:r>
      <w:proofErr w:type="spellEnd"/>
      <w:r w:rsidRPr="00704BBE">
        <w:rPr>
          <w:rFonts w:ascii="Arial" w:hAnsi="Arial" w:cs="Arial"/>
          <w:i/>
          <w:iCs/>
          <w:sz w:val="22"/>
          <w:szCs w:val="22"/>
          <w:lang w:val="es-CO"/>
        </w:rPr>
        <w:t>, no puede ser transportado a los centros</w:t>
      </w:r>
      <w:r>
        <w:rPr>
          <w:rFonts w:ascii="Arial" w:hAnsi="Arial" w:cs="Arial"/>
          <w:i/>
          <w:iCs/>
          <w:sz w:val="22"/>
          <w:szCs w:val="22"/>
          <w:lang w:val="es-CO"/>
        </w:rPr>
        <w:t xml:space="preserve"> </w:t>
      </w:r>
      <w:r w:rsidRPr="00704BBE">
        <w:rPr>
          <w:rFonts w:ascii="Arial" w:hAnsi="Arial" w:cs="Arial"/>
          <w:i/>
          <w:iCs/>
          <w:sz w:val="22"/>
          <w:szCs w:val="22"/>
          <w:lang w:val="es-CO"/>
        </w:rPr>
        <w:t>de consumo en el interior del país, lo cual pone en serio riesgo de desabastecimiento a los usuarios Actualmente, la demanda se está abasteciendo con el producto de inventarios de las compañías distribuidoras que solo alcanzaría para dos días más.</w:t>
      </w:r>
    </w:p>
    <w:p w14:paraId="4D49406E" w14:textId="77777777" w:rsidR="00BF0F7B" w:rsidRDefault="00BF0F7B" w:rsidP="00BF0F7B">
      <w:pPr>
        <w:contextualSpacing/>
        <w:jc w:val="both"/>
        <w:rPr>
          <w:rFonts w:ascii="Arial" w:hAnsi="Arial" w:cs="Arial"/>
          <w:i/>
          <w:iCs/>
          <w:sz w:val="22"/>
          <w:szCs w:val="22"/>
          <w:lang w:val="es-CO"/>
        </w:rPr>
      </w:pPr>
    </w:p>
    <w:p w14:paraId="0E399534" w14:textId="6C7A91E0" w:rsidR="00BF0F7B" w:rsidRDefault="00BF0F7B" w:rsidP="00BF0F7B">
      <w:pPr>
        <w:contextualSpacing/>
        <w:jc w:val="both"/>
        <w:rPr>
          <w:rFonts w:ascii="Arial" w:hAnsi="Arial" w:cs="Arial"/>
          <w:i/>
          <w:iCs/>
          <w:sz w:val="22"/>
          <w:szCs w:val="22"/>
          <w:lang w:val="es-CO"/>
        </w:rPr>
      </w:pPr>
      <w:r w:rsidRPr="00704BBE">
        <w:rPr>
          <w:rFonts w:ascii="Arial" w:hAnsi="Arial" w:cs="Arial"/>
          <w:i/>
          <w:iCs/>
          <w:sz w:val="22"/>
          <w:szCs w:val="22"/>
          <w:lang w:val="es-CO"/>
        </w:rPr>
        <w:t xml:space="preserve">Lo anteriormente descrito está causando una verdadera emergencia en el sector de GLP en el país, por lo cual les solicitamos tomar medidas excepcionales para situaciones de crisis que afecten el transporte de GLP, que contribuyan a dar solución a este serio problema, que dadas las causas que lo originan, con mucha probabilidad se repetirá en el futuro. </w:t>
      </w:r>
      <w:proofErr w:type="gramStart"/>
      <w:r w:rsidRPr="00704BBE">
        <w:rPr>
          <w:rFonts w:ascii="Arial" w:hAnsi="Arial" w:cs="Arial"/>
          <w:i/>
          <w:iCs/>
          <w:sz w:val="22"/>
          <w:szCs w:val="22"/>
          <w:lang w:val="es-CO"/>
        </w:rPr>
        <w:t>Conjuntamente con</w:t>
      </w:r>
      <w:proofErr w:type="gramEnd"/>
      <w:r w:rsidRPr="00704BBE">
        <w:rPr>
          <w:rFonts w:ascii="Arial" w:hAnsi="Arial" w:cs="Arial"/>
          <w:i/>
          <w:iCs/>
          <w:sz w:val="22"/>
          <w:szCs w:val="22"/>
          <w:lang w:val="es-CO"/>
        </w:rPr>
        <w:t xml:space="preserve"> el Ministerio de Minas y Energía, la CREG y Ecopetrol, hemos venido estudiando la situación y de ello han surgido propuestas que permitirían aliviar los </w:t>
      </w:r>
      <w:r w:rsidRPr="00704BBE">
        <w:rPr>
          <w:rFonts w:ascii="Arial" w:hAnsi="Arial" w:cs="Arial"/>
          <w:i/>
          <w:iCs/>
          <w:sz w:val="22"/>
          <w:szCs w:val="22"/>
          <w:lang w:val="es-CO"/>
        </w:rPr>
        <w:lastRenderedPageBreak/>
        <w:t>efectos de esta contingencia y que, a la vez, pueden adoptarse como medidas permanentes para conveniencia de los usuarios finales y de toda la cadena que abastece el sector.</w:t>
      </w:r>
    </w:p>
    <w:p w14:paraId="521DAC2E" w14:textId="77777777" w:rsidR="00BF0F7B" w:rsidRDefault="00BF0F7B" w:rsidP="00BF0F7B">
      <w:pPr>
        <w:contextualSpacing/>
        <w:jc w:val="both"/>
        <w:rPr>
          <w:rFonts w:ascii="Arial" w:hAnsi="Arial" w:cs="Arial"/>
          <w:i/>
          <w:iCs/>
          <w:sz w:val="22"/>
          <w:szCs w:val="22"/>
          <w:lang w:val="es-CO"/>
        </w:rPr>
      </w:pPr>
    </w:p>
    <w:p w14:paraId="576334B4" w14:textId="77777777" w:rsidR="00BF0F7B" w:rsidRDefault="00BF0F7B" w:rsidP="00BF0F7B">
      <w:pPr>
        <w:contextualSpacing/>
        <w:jc w:val="both"/>
        <w:rPr>
          <w:rFonts w:ascii="Arial" w:hAnsi="Arial" w:cs="Arial"/>
          <w:i/>
          <w:iCs/>
          <w:sz w:val="22"/>
          <w:szCs w:val="22"/>
          <w:lang w:val="es-CO"/>
        </w:rPr>
      </w:pPr>
      <w:r w:rsidRPr="00704BBE">
        <w:rPr>
          <w:rFonts w:ascii="Arial" w:hAnsi="Arial" w:cs="Arial"/>
          <w:i/>
          <w:iCs/>
          <w:sz w:val="22"/>
          <w:szCs w:val="22"/>
          <w:lang w:val="es-CO"/>
        </w:rPr>
        <w:t>Dichas propuestas, que sería conveniente adoptar simultáneamente, son las siguientes:</w:t>
      </w:r>
    </w:p>
    <w:p w14:paraId="13E9CEFC" w14:textId="77777777" w:rsidR="00BF0F7B" w:rsidRDefault="00BF0F7B" w:rsidP="00BF0F7B">
      <w:pPr>
        <w:contextualSpacing/>
        <w:jc w:val="both"/>
        <w:rPr>
          <w:rFonts w:ascii="Arial" w:hAnsi="Arial" w:cs="Arial"/>
          <w:i/>
          <w:iCs/>
          <w:sz w:val="22"/>
          <w:szCs w:val="22"/>
          <w:lang w:val="es-CO"/>
        </w:rPr>
      </w:pPr>
    </w:p>
    <w:p w14:paraId="0BB65B1D" w14:textId="77777777" w:rsidR="00BF0F7B" w:rsidRDefault="00BF0F7B" w:rsidP="00BF0F7B">
      <w:pPr>
        <w:contextualSpacing/>
        <w:jc w:val="both"/>
        <w:rPr>
          <w:rFonts w:ascii="Arial" w:hAnsi="Arial" w:cs="Arial"/>
          <w:i/>
          <w:iCs/>
          <w:sz w:val="22"/>
          <w:szCs w:val="22"/>
          <w:lang w:val="es-CO"/>
        </w:rPr>
      </w:pPr>
      <w:r w:rsidRPr="00704BBE">
        <w:rPr>
          <w:rFonts w:ascii="Arial" w:hAnsi="Arial" w:cs="Arial"/>
          <w:i/>
          <w:iCs/>
          <w:sz w:val="22"/>
          <w:szCs w:val="22"/>
          <w:lang w:val="es-CO"/>
        </w:rPr>
        <w:t>1. Dar flexibilidad al punto de entrega de producto de Ecopetrol: permitir a Ecopetrol entregar producto de fuentes diferentes a las originalmente pactadas, para dar cumplimiento pleno a sus contratos de suministro. Los costos asociados a cambio fuente serán asumidas por los correspondientes distribuidores.</w:t>
      </w:r>
    </w:p>
    <w:p w14:paraId="6DD21889" w14:textId="77777777" w:rsidR="00BF0F7B" w:rsidRDefault="00BF0F7B" w:rsidP="00BF0F7B">
      <w:pPr>
        <w:contextualSpacing/>
        <w:jc w:val="both"/>
        <w:rPr>
          <w:rFonts w:ascii="Arial" w:hAnsi="Arial" w:cs="Arial"/>
          <w:i/>
          <w:iCs/>
          <w:sz w:val="22"/>
          <w:szCs w:val="22"/>
          <w:lang w:val="es-CO"/>
        </w:rPr>
      </w:pPr>
    </w:p>
    <w:p w14:paraId="30043808" w14:textId="77777777" w:rsidR="00BF0F7B" w:rsidRDefault="00BF0F7B" w:rsidP="00BF0F7B">
      <w:pPr>
        <w:contextualSpacing/>
        <w:jc w:val="both"/>
        <w:rPr>
          <w:rFonts w:ascii="Arial" w:hAnsi="Arial" w:cs="Arial"/>
          <w:i/>
          <w:iCs/>
          <w:sz w:val="22"/>
          <w:szCs w:val="22"/>
          <w:lang w:val="es-CO"/>
        </w:rPr>
      </w:pPr>
      <w:r w:rsidRPr="00090505">
        <w:rPr>
          <w:rFonts w:ascii="Arial" w:hAnsi="Arial" w:cs="Arial"/>
          <w:i/>
          <w:iCs/>
          <w:sz w:val="22"/>
          <w:szCs w:val="22"/>
          <w:lang w:val="es-CO"/>
        </w:rPr>
        <w:t>2. Eliminar la penalidad regulatoria a ECP por ofrecer cantidades adicionales a las OPC, sujeto a que dichas cantidades se oferten con una anticipación de al menos 20 días:  bajo la regulación actual, durante el período de ejecución de una OPC, Ecopetrol puede realizar ofertas adicionales de producto, pero a un precio inferior al 50% del precio máximo regulado. Eliminar esta penalidad es ampliamente benéfico para Ecopetrol y también para el mercado, que podrá disponer de producto adicional, resultante de eventos imprevistos en operación, que no fueron considerados al momento de estructurar las OPC originales. Esto puede resultar especialmente útil en situaciones tales como un fenómeno del Niño y /o en situaciones de escasez.</w:t>
      </w:r>
    </w:p>
    <w:p w14:paraId="2CE652EA" w14:textId="77777777" w:rsidR="00BF0F7B" w:rsidRDefault="00BF0F7B" w:rsidP="00BF0F7B">
      <w:pPr>
        <w:contextualSpacing/>
        <w:jc w:val="both"/>
        <w:rPr>
          <w:rFonts w:ascii="Arial" w:hAnsi="Arial" w:cs="Arial"/>
          <w:i/>
          <w:iCs/>
          <w:sz w:val="22"/>
          <w:szCs w:val="22"/>
          <w:lang w:val="es-CO"/>
        </w:rPr>
      </w:pPr>
    </w:p>
    <w:p w14:paraId="1B07A3D7" w14:textId="77777777" w:rsidR="00BF0F7B" w:rsidRPr="00406F71" w:rsidRDefault="00BF0F7B" w:rsidP="00BF0F7B">
      <w:pPr>
        <w:contextualSpacing/>
        <w:jc w:val="both"/>
        <w:rPr>
          <w:rFonts w:ascii="Arial" w:hAnsi="Arial" w:cs="Arial"/>
          <w:i/>
          <w:iCs/>
          <w:sz w:val="22"/>
          <w:szCs w:val="22"/>
          <w:lang w:val="es-CO"/>
        </w:rPr>
      </w:pPr>
      <w:r w:rsidRPr="00090505">
        <w:rPr>
          <w:rFonts w:ascii="Arial" w:hAnsi="Arial" w:cs="Arial"/>
          <w:i/>
          <w:iCs/>
          <w:sz w:val="22"/>
          <w:szCs w:val="22"/>
          <w:lang w:val="es-CO"/>
        </w:rPr>
        <w:t xml:space="preserve">En consecuencia, solicitamos su pronta acción para poder hacer las modificaciones normativas que se requieran para poder poner en ejecución las soluciones que aquí se proponen. Queremos manifestar nuestro especial agradecimiento al Gobierno Nacional, por el manejo que le está dando a esta situación y nos ponemos totalmente a su disposición para suministrarles la información adicional que consideren necesaria y colaborar en la búsqueda de alternativas que puedan contribuir al mejor manejo de la situación antes considerada. </w:t>
      </w:r>
      <w:r>
        <w:rPr>
          <w:rFonts w:ascii="Arial" w:hAnsi="Arial" w:cs="Arial"/>
          <w:i/>
          <w:iCs/>
          <w:sz w:val="22"/>
          <w:szCs w:val="22"/>
          <w:lang w:val="es-CO"/>
        </w:rPr>
        <w:t>(…)</w:t>
      </w:r>
      <w:r w:rsidRPr="00406F71">
        <w:rPr>
          <w:rFonts w:ascii="Arial" w:hAnsi="Arial" w:cs="Arial"/>
          <w:i/>
          <w:iCs/>
          <w:sz w:val="22"/>
          <w:szCs w:val="22"/>
          <w:lang w:val="es-CO"/>
        </w:rPr>
        <w:t>”</w:t>
      </w:r>
    </w:p>
    <w:p w14:paraId="27ACEB86" w14:textId="77777777" w:rsidR="00BF0F7B" w:rsidRPr="00262988" w:rsidRDefault="00BF0F7B" w:rsidP="004F3E8B">
      <w:pPr>
        <w:ind w:left="0"/>
        <w:contextualSpacing/>
        <w:jc w:val="both"/>
        <w:rPr>
          <w:rFonts w:ascii="Arial" w:hAnsi="Arial" w:cs="Arial"/>
          <w:lang w:val="es-CO"/>
        </w:rPr>
      </w:pPr>
    </w:p>
    <w:p w14:paraId="27306667" w14:textId="3357F8AF" w:rsidR="00F21F97" w:rsidRPr="00406F71" w:rsidRDefault="00F21F97" w:rsidP="00F21F97">
      <w:pPr>
        <w:ind w:left="0"/>
        <w:contextualSpacing/>
        <w:jc w:val="both"/>
        <w:rPr>
          <w:rFonts w:ascii="Arial" w:hAnsi="Arial" w:cs="Arial"/>
          <w:lang w:val="es-CO"/>
        </w:rPr>
      </w:pPr>
      <w:r w:rsidRPr="00406F71">
        <w:rPr>
          <w:rFonts w:ascii="Arial" w:hAnsi="Arial" w:cs="Arial"/>
          <w:lang w:val="es-CO"/>
        </w:rPr>
        <w:t xml:space="preserve">Mediante comunicación con radicado CREG </w:t>
      </w:r>
      <w:r w:rsidRPr="00230E40">
        <w:rPr>
          <w:rFonts w:ascii="Arial" w:hAnsi="Arial" w:cs="Arial"/>
          <w:lang w:val="es-CO"/>
        </w:rPr>
        <w:t>E20230</w:t>
      </w:r>
      <w:r>
        <w:rPr>
          <w:rFonts w:ascii="Arial" w:hAnsi="Arial" w:cs="Arial"/>
          <w:lang w:val="es-CO"/>
        </w:rPr>
        <w:t>1</w:t>
      </w:r>
      <w:r w:rsidR="00F00FC7">
        <w:rPr>
          <w:rFonts w:ascii="Arial" w:hAnsi="Arial" w:cs="Arial"/>
          <w:lang w:val="es-CO"/>
        </w:rPr>
        <w:t>5708</w:t>
      </w:r>
      <w:r w:rsidRPr="00406F71">
        <w:rPr>
          <w:rFonts w:ascii="Arial" w:hAnsi="Arial" w:cs="Arial"/>
          <w:lang w:val="es-CO"/>
        </w:rPr>
        <w:t xml:space="preserve">, del </w:t>
      </w:r>
      <w:r w:rsidR="00F00FC7">
        <w:rPr>
          <w:rFonts w:ascii="Arial" w:hAnsi="Arial" w:cs="Arial"/>
          <w:lang w:val="es-CO"/>
        </w:rPr>
        <w:t xml:space="preserve">30 de agosto </w:t>
      </w:r>
      <w:r w:rsidRPr="00406F71">
        <w:rPr>
          <w:rFonts w:ascii="Arial" w:hAnsi="Arial" w:cs="Arial"/>
          <w:lang w:val="es-CO"/>
        </w:rPr>
        <w:t>de 202</w:t>
      </w:r>
      <w:r>
        <w:rPr>
          <w:rFonts w:ascii="Arial" w:hAnsi="Arial" w:cs="Arial"/>
          <w:lang w:val="es-CO"/>
        </w:rPr>
        <w:t>3</w:t>
      </w:r>
      <w:r w:rsidRPr="00406F71">
        <w:rPr>
          <w:rFonts w:ascii="Arial" w:hAnsi="Arial" w:cs="Arial"/>
          <w:lang w:val="es-CO"/>
        </w:rPr>
        <w:t xml:space="preserve">, </w:t>
      </w:r>
      <w:r>
        <w:rPr>
          <w:rFonts w:ascii="Arial" w:hAnsi="Arial" w:cs="Arial"/>
          <w:lang w:val="es-CO"/>
        </w:rPr>
        <w:t xml:space="preserve">ECOPETROL </w:t>
      </w:r>
      <w:r w:rsidRPr="00406F71">
        <w:rPr>
          <w:rFonts w:ascii="Arial" w:hAnsi="Arial" w:cs="Arial"/>
          <w:lang w:val="es-CO"/>
        </w:rPr>
        <w:t>expuso lo siguiente:</w:t>
      </w:r>
    </w:p>
    <w:p w14:paraId="7D27CA93" w14:textId="77777777" w:rsidR="00F21F97" w:rsidRDefault="00F21F97" w:rsidP="004F3E8B">
      <w:pPr>
        <w:ind w:left="0"/>
        <w:contextualSpacing/>
        <w:jc w:val="both"/>
        <w:rPr>
          <w:rFonts w:ascii="Arial" w:hAnsi="Arial" w:cs="Arial"/>
          <w:lang w:val="es-CO"/>
        </w:rPr>
      </w:pPr>
    </w:p>
    <w:p w14:paraId="6AFFFB86" w14:textId="77777777" w:rsidR="00055C60" w:rsidRDefault="00055C60" w:rsidP="00055C60">
      <w:pPr>
        <w:contextualSpacing/>
        <w:jc w:val="both"/>
        <w:rPr>
          <w:rFonts w:ascii="Arial" w:hAnsi="Arial" w:cs="Arial"/>
          <w:i/>
          <w:iCs/>
          <w:sz w:val="22"/>
          <w:szCs w:val="22"/>
          <w:lang w:val="es-CO"/>
        </w:rPr>
      </w:pPr>
      <w:r>
        <w:rPr>
          <w:rFonts w:ascii="Arial" w:hAnsi="Arial" w:cs="Arial"/>
          <w:i/>
          <w:iCs/>
          <w:sz w:val="22"/>
          <w:szCs w:val="22"/>
          <w:lang w:val="es-CO"/>
        </w:rPr>
        <w:t xml:space="preserve">“(…) </w:t>
      </w:r>
      <w:r w:rsidRPr="00055C60">
        <w:rPr>
          <w:rFonts w:ascii="Arial" w:hAnsi="Arial" w:cs="Arial"/>
          <w:i/>
          <w:iCs/>
          <w:sz w:val="22"/>
          <w:szCs w:val="22"/>
          <w:lang w:val="es-CO"/>
        </w:rPr>
        <w:t>De manera atenta ponemos a consideración de la Comisión de Regulación de Energía y Gas, CREG, una propuesta de modificación del marco regulatorio en materia de comercialización mayorista de GLP, que tiene la vocación de facilitar la atención de emergencias que pueden afectar la prestación del servicio. Vale la pena indicar que las medidas propuestas han sido analizadas con las empresas agremiadas en GASNOVA.</w:t>
      </w:r>
    </w:p>
    <w:p w14:paraId="22F79814" w14:textId="77777777" w:rsidR="00055C60" w:rsidRDefault="00055C60" w:rsidP="00055C60">
      <w:pPr>
        <w:contextualSpacing/>
        <w:jc w:val="both"/>
        <w:rPr>
          <w:rFonts w:ascii="Arial" w:hAnsi="Arial" w:cs="Arial"/>
          <w:i/>
          <w:iCs/>
          <w:sz w:val="22"/>
          <w:szCs w:val="22"/>
          <w:lang w:val="es-CO"/>
        </w:rPr>
      </w:pPr>
    </w:p>
    <w:p w14:paraId="57A623EC" w14:textId="70E95303" w:rsidR="00055C60" w:rsidRDefault="00055C60" w:rsidP="00055C60">
      <w:pPr>
        <w:contextualSpacing/>
        <w:jc w:val="both"/>
        <w:rPr>
          <w:rFonts w:ascii="Arial" w:hAnsi="Arial" w:cs="Arial"/>
          <w:i/>
          <w:iCs/>
          <w:sz w:val="22"/>
          <w:szCs w:val="22"/>
          <w:lang w:val="es-CO"/>
        </w:rPr>
      </w:pPr>
      <w:r w:rsidRPr="00055C60">
        <w:rPr>
          <w:rFonts w:ascii="Arial" w:hAnsi="Arial" w:cs="Arial"/>
          <w:i/>
          <w:iCs/>
          <w:sz w:val="22"/>
          <w:szCs w:val="22"/>
          <w:lang w:val="es-CO"/>
        </w:rPr>
        <w:t xml:space="preserve">En el marco del cierre de las vías que comunican el centro del país con los Llanos Orientales, específicamente con los campos en los que se produce GLP (Cusiana y </w:t>
      </w:r>
      <w:proofErr w:type="spellStart"/>
      <w:r w:rsidRPr="00055C60">
        <w:rPr>
          <w:rFonts w:ascii="Arial" w:hAnsi="Arial" w:cs="Arial"/>
          <w:i/>
          <w:iCs/>
          <w:sz w:val="22"/>
          <w:szCs w:val="22"/>
          <w:lang w:val="es-CO"/>
        </w:rPr>
        <w:t>Cupiagua</w:t>
      </w:r>
      <w:proofErr w:type="spellEnd"/>
      <w:r w:rsidRPr="00055C60">
        <w:rPr>
          <w:rFonts w:ascii="Arial" w:hAnsi="Arial" w:cs="Arial"/>
          <w:i/>
          <w:iCs/>
          <w:sz w:val="22"/>
          <w:szCs w:val="22"/>
          <w:lang w:val="es-CO"/>
        </w:rPr>
        <w:t>), hemos identificado medidas concretas que facilitarían la continuidad de la prestación del servicio, y permitirían manejar situaciones similares en el futuro.</w:t>
      </w:r>
    </w:p>
    <w:p w14:paraId="39CE9270" w14:textId="77777777" w:rsidR="00055C60" w:rsidRDefault="00055C60" w:rsidP="00055C60">
      <w:pPr>
        <w:contextualSpacing/>
        <w:jc w:val="both"/>
        <w:rPr>
          <w:rFonts w:ascii="Arial" w:hAnsi="Arial" w:cs="Arial"/>
          <w:i/>
          <w:iCs/>
          <w:sz w:val="22"/>
          <w:szCs w:val="22"/>
          <w:lang w:val="es-CO"/>
        </w:rPr>
      </w:pPr>
    </w:p>
    <w:p w14:paraId="44F8FBD2" w14:textId="77777777" w:rsidR="00055C60" w:rsidRDefault="00055C60" w:rsidP="00055C60">
      <w:pPr>
        <w:contextualSpacing/>
        <w:jc w:val="both"/>
        <w:rPr>
          <w:rFonts w:ascii="Arial" w:hAnsi="Arial" w:cs="Arial"/>
          <w:i/>
          <w:iCs/>
          <w:sz w:val="22"/>
          <w:szCs w:val="22"/>
          <w:lang w:val="es-CO"/>
        </w:rPr>
      </w:pPr>
      <w:r w:rsidRPr="00055C60">
        <w:rPr>
          <w:rFonts w:ascii="Arial" w:hAnsi="Arial" w:cs="Arial"/>
          <w:i/>
          <w:iCs/>
          <w:sz w:val="22"/>
          <w:szCs w:val="22"/>
          <w:lang w:val="es-CO"/>
        </w:rPr>
        <w:t xml:space="preserve">La vía por Villavicencio se encuentra cerrada por la caída de material rocoso que la obstruye en varios puntos. La vía alterna, por Sogamoso, se encuentra inhabilitada por el colapso del Viaducto Los Grillos, en la zona de Pajarito. Una última opción, que es la transversal del </w:t>
      </w:r>
      <w:proofErr w:type="spellStart"/>
      <w:r w:rsidRPr="00055C60">
        <w:rPr>
          <w:rFonts w:ascii="Arial" w:hAnsi="Arial" w:cs="Arial"/>
          <w:i/>
          <w:iCs/>
          <w:sz w:val="22"/>
          <w:szCs w:val="22"/>
          <w:lang w:val="es-CO"/>
        </w:rPr>
        <w:t>Sisga</w:t>
      </w:r>
      <w:proofErr w:type="spellEnd"/>
      <w:r w:rsidRPr="00055C60">
        <w:rPr>
          <w:rFonts w:ascii="Arial" w:hAnsi="Arial" w:cs="Arial"/>
          <w:i/>
          <w:iCs/>
          <w:sz w:val="22"/>
          <w:szCs w:val="22"/>
          <w:lang w:val="es-CO"/>
        </w:rPr>
        <w:t>, no puede usarse para el tránsito de vehículos de más de 30 toneladas. A estas anomalías se suman los bloqueos realizados de forma intermitente por las comunidades, tal como se ha venido presentando en la zona de Guayabetal. La afectación de las vías puede prolongarse debido a condiciones climáticas.</w:t>
      </w:r>
    </w:p>
    <w:p w14:paraId="4B68C911" w14:textId="77777777" w:rsidR="00055C60" w:rsidRDefault="00055C60" w:rsidP="00055C60">
      <w:pPr>
        <w:contextualSpacing/>
        <w:jc w:val="both"/>
        <w:rPr>
          <w:rFonts w:ascii="Arial" w:hAnsi="Arial" w:cs="Arial"/>
          <w:i/>
          <w:iCs/>
          <w:sz w:val="22"/>
          <w:szCs w:val="22"/>
          <w:lang w:val="es-CO"/>
        </w:rPr>
      </w:pPr>
    </w:p>
    <w:p w14:paraId="7D5E839D" w14:textId="77777777" w:rsidR="00055C60" w:rsidRDefault="00055C60" w:rsidP="00055C60">
      <w:pPr>
        <w:contextualSpacing/>
        <w:jc w:val="both"/>
        <w:rPr>
          <w:rFonts w:ascii="Arial" w:hAnsi="Arial" w:cs="Arial"/>
          <w:i/>
          <w:iCs/>
          <w:sz w:val="22"/>
          <w:szCs w:val="22"/>
          <w:lang w:val="es-CO"/>
        </w:rPr>
      </w:pPr>
      <w:r w:rsidRPr="00055C60">
        <w:rPr>
          <w:rFonts w:ascii="Arial" w:hAnsi="Arial" w:cs="Arial"/>
          <w:i/>
          <w:iCs/>
          <w:sz w:val="22"/>
          <w:szCs w:val="22"/>
          <w:lang w:val="es-CO"/>
        </w:rPr>
        <w:t>Estos cierres han hecho imposible el transporte regular de GLP; la demanda nacional de este combustible es de 60.000 toneladas mes y se encuentra afectada en un 56% por las razones mencionadas. Esto es, aunque no se ha interrumpido</w:t>
      </w:r>
      <w:r>
        <w:rPr>
          <w:rFonts w:ascii="Arial" w:hAnsi="Arial" w:cs="Arial"/>
          <w:i/>
          <w:iCs/>
          <w:sz w:val="22"/>
          <w:szCs w:val="22"/>
          <w:lang w:val="es-CO"/>
        </w:rPr>
        <w:t xml:space="preserve"> </w:t>
      </w:r>
      <w:r w:rsidRPr="00055C60">
        <w:rPr>
          <w:rFonts w:ascii="Arial" w:hAnsi="Arial" w:cs="Arial"/>
          <w:i/>
          <w:iCs/>
          <w:sz w:val="22"/>
          <w:szCs w:val="22"/>
          <w:lang w:val="es-CO"/>
        </w:rPr>
        <w:t xml:space="preserve">la producción de GLP y el producto se encuentra disponible en las plantas de Cusiana y </w:t>
      </w:r>
      <w:proofErr w:type="spellStart"/>
      <w:r w:rsidRPr="00055C60">
        <w:rPr>
          <w:rFonts w:ascii="Arial" w:hAnsi="Arial" w:cs="Arial"/>
          <w:i/>
          <w:iCs/>
          <w:sz w:val="22"/>
          <w:szCs w:val="22"/>
          <w:lang w:val="es-CO"/>
        </w:rPr>
        <w:t>Cupiagua</w:t>
      </w:r>
      <w:proofErr w:type="spellEnd"/>
      <w:r w:rsidRPr="00055C60">
        <w:rPr>
          <w:rFonts w:ascii="Arial" w:hAnsi="Arial" w:cs="Arial"/>
          <w:i/>
          <w:iCs/>
          <w:sz w:val="22"/>
          <w:szCs w:val="22"/>
          <w:lang w:val="es-CO"/>
        </w:rPr>
        <w:t>, los volúmenes antes mencionados no han podido ser retirados y transportados a los centros de consumo en el interior del país, por lo que los usuarios están en riesgo de desabastecimiento.</w:t>
      </w:r>
    </w:p>
    <w:p w14:paraId="570BB36D" w14:textId="77777777" w:rsidR="00055C60" w:rsidRDefault="00055C60" w:rsidP="00055C60">
      <w:pPr>
        <w:contextualSpacing/>
        <w:jc w:val="both"/>
        <w:rPr>
          <w:rFonts w:ascii="Arial" w:hAnsi="Arial" w:cs="Arial"/>
          <w:i/>
          <w:iCs/>
          <w:sz w:val="22"/>
          <w:szCs w:val="22"/>
          <w:lang w:val="es-CO"/>
        </w:rPr>
      </w:pPr>
    </w:p>
    <w:p w14:paraId="33989C45" w14:textId="77777777" w:rsidR="00055C60" w:rsidRDefault="00055C60" w:rsidP="00055C60">
      <w:pPr>
        <w:contextualSpacing/>
        <w:jc w:val="both"/>
        <w:rPr>
          <w:rFonts w:ascii="Arial" w:hAnsi="Arial" w:cs="Arial"/>
          <w:i/>
          <w:iCs/>
          <w:sz w:val="22"/>
          <w:szCs w:val="22"/>
          <w:lang w:val="es-CO"/>
        </w:rPr>
      </w:pPr>
      <w:r w:rsidRPr="00055C60">
        <w:rPr>
          <w:rFonts w:ascii="Arial" w:hAnsi="Arial" w:cs="Arial"/>
          <w:i/>
          <w:iCs/>
          <w:sz w:val="22"/>
          <w:szCs w:val="22"/>
          <w:lang w:val="es-CO"/>
        </w:rPr>
        <w:t>Teniendo en cuenta lo anterior, y la probabilidad de que se presenten situaciones similares en otras zonas del país, ya sea por fenómenos climáticos, asuntos sociales o asuntos que afecten la normal operación en la cadena de GLP, como sucedió en el suroccidente del país con la afectación a la vía Panamericana en enero de 2023, respetuosamente solicitamos adoptar medidas urgentes que contribuyan a mitigar la situación actual y a manejar contingencias futuras.</w:t>
      </w:r>
    </w:p>
    <w:p w14:paraId="716AB39D" w14:textId="77777777" w:rsidR="00055C60" w:rsidRDefault="00055C60" w:rsidP="00055C60">
      <w:pPr>
        <w:contextualSpacing/>
        <w:jc w:val="both"/>
        <w:rPr>
          <w:rFonts w:ascii="Arial" w:hAnsi="Arial" w:cs="Arial"/>
          <w:i/>
          <w:iCs/>
          <w:sz w:val="22"/>
          <w:szCs w:val="22"/>
          <w:lang w:val="es-CO"/>
        </w:rPr>
      </w:pPr>
    </w:p>
    <w:p w14:paraId="25186F05" w14:textId="77777777" w:rsidR="00055C60" w:rsidRDefault="00055C60" w:rsidP="00055C60">
      <w:pPr>
        <w:contextualSpacing/>
        <w:jc w:val="both"/>
        <w:rPr>
          <w:rFonts w:ascii="Arial" w:hAnsi="Arial" w:cs="Arial"/>
          <w:i/>
          <w:iCs/>
          <w:sz w:val="22"/>
          <w:szCs w:val="22"/>
          <w:lang w:val="es-CO"/>
        </w:rPr>
      </w:pPr>
      <w:r w:rsidRPr="00055C60">
        <w:rPr>
          <w:rFonts w:ascii="Arial" w:hAnsi="Arial" w:cs="Arial"/>
          <w:i/>
          <w:iCs/>
          <w:sz w:val="22"/>
          <w:szCs w:val="22"/>
          <w:lang w:val="es-CO"/>
        </w:rPr>
        <w:t>Medidas propuestas</w:t>
      </w:r>
    </w:p>
    <w:p w14:paraId="6E424276" w14:textId="77777777" w:rsidR="00055C60" w:rsidRDefault="00055C60" w:rsidP="00055C60">
      <w:pPr>
        <w:contextualSpacing/>
        <w:jc w:val="both"/>
        <w:rPr>
          <w:rFonts w:ascii="Arial" w:hAnsi="Arial" w:cs="Arial"/>
          <w:i/>
          <w:iCs/>
          <w:sz w:val="22"/>
          <w:szCs w:val="22"/>
          <w:lang w:val="es-CO"/>
        </w:rPr>
      </w:pPr>
    </w:p>
    <w:p w14:paraId="18DF07EA" w14:textId="77777777" w:rsidR="00055C60" w:rsidRDefault="00055C60" w:rsidP="00055C60">
      <w:pPr>
        <w:contextualSpacing/>
        <w:jc w:val="both"/>
        <w:rPr>
          <w:rFonts w:ascii="Arial" w:hAnsi="Arial" w:cs="Arial"/>
          <w:i/>
          <w:iCs/>
          <w:sz w:val="22"/>
          <w:szCs w:val="22"/>
          <w:lang w:val="es-CO"/>
        </w:rPr>
      </w:pPr>
      <w:r w:rsidRPr="00055C60">
        <w:rPr>
          <w:rFonts w:ascii="Arial" w:hAnsi="Arial" w:cs="Arial"/>
          <w:i/>
          <w:iCs/>
          <w:sz w:val="22"/>
          <w:szCs w:val="22"/>
          <w:lang w:val="es-CO"/>
        </w:rPr>
        <w:t>Por una parte, la regulación establece que el punto de entrega del GLP debe ser definido en el contrato de suministro, y se ha interpretado que la modificación del punto de entrega, incluso cuando media la voluntad de las partes, corresponde a un incumplimiento por parte del comercializador mayorista. Esto limita la posibilidad de que los comercializadores mayoristas y los compradores acuerden el cambio en los puntos de entrega del energético, en caso de que se requiera ante situaciones puntuales de corto plazo, como a la que asistimos actualmente.</w:t>
      </w:r>
    </w:p>
    <w:p w14:paraId="7BBF0F5F" w14:textId="77777777" w:rsidR="00055C60" w:rsidRDefault="00055C60" w:rsidP="00055C60">
      <w:pPr>
        <w:contextualSpacing/>
        <w:jc w:val="both"/>
        <w:rPr>
          <w:rFonts w:ascii="Arial" w:hAnsi="Arial" w:cs="Arial"/>
          <w:i/>
          <w:iCs/>
          <w:sz w:val="22"/>
          <w:szCs w:val="22"/>
          <w:lang w:val="es-CO"/>
        </w:rPr>
      </w:pPr>
    </w:p>
    <w:p w14:paraId="79DDCD13" w14:textId="77777777" w:rsidR="00055C60" w:rsidRDefault="00055C60" w:rsidP="00055C60">
      <w:pPr>
        <w:contextualSpacing/>
        <w:jc w:val="both"/>
        <w:rPr>
          <w:rFonts w:ascii="Arial" w:hAnsi="Arial" w:cs="Arial"/>
          <w:i/>
          <w:iCs/>
          <w:sz w:val="22"/>
          <w:szCs w:val="22"/>
          <w:lang w:val="es-CO"/>
        </w:rPr>
      </w:pPr>
      <w:r w:rsidRPr="00055C60">
        <w:rPr>
          <w:rFonts w:ascii="Arial" w:hAnsi="Arial" w:cs="Arial"/>
          <w:i/>
          <w:iCs/>
          <w:sz w:val="22"/>
          <w:szCs w:val="22"/>
          <w:lang w:val="es-CO"/>
        </w:rPr>
        <w:t>Por otra parte, la regulación establece que durante la ejecución de los contratos resultantes de la OPC semestral pueden hacerse OPC adicionales para para períodos de entrega de entre un (1) mes y el tiempo remanente de la OPC en ejecución. Sin embargo, el producto ofrecido así tiene un precio inferior al 50% del precio máximo regulado.</w:t>
      </w:r>
    </w:p>
    <w:p w14:paraId="2C7C2813" w14:textId="77777777" w:rsidR="00055C60" w:rsidRDefault="00055C60" w:rsidP="00055C60">
      <w:pPr>
        <w:contextualSpacing/>
        <w:jc w:val="both"/>
        <w:rPr>
          <w:rFonts w:ascii="Arial" w:hAnsi="Arial" w:cs="Arial"/>
          <w:i/>
          <w:iCs/>
          <w:sz w:val="22"/>
          <w:szCs w:val="22"/>
          <w:lang w:val="es-CO"/>
        </w:rPr>
      </w:pPr>
    </w:p>
    <w:p w14:paraId="2DF25726" w14:textId="77777777" w:rsidR="00055C60" w:rsidRDefault="00055C60" w:rsidP="00055C60">
      <w:pPr>
        <w:contextualSpacing/>
        <w:jc w:val="both"/>
        <w:rPr>
          <w:rFonts w:ascii="Arial" w:hAnsi="Arial" w:cs="Arial"/>
          <w:i/>
          <w:iCs/>
          <w:sz w:val="22"/>
          <w:szCs w:val="22"/>
          <w:lang w:val="es-CO"/>
        </w:rPr>
      </w:pPr>
      <w:r w:rsidRPr="00055C60">
        <w:rPr>
          <w:rFonts w:ascii="Arial" w:hAnsi="Arial" w:cs="Arial"/>
          <w:i/>
          <w:iCs/>
          <w:sz w:val="22"/>
          <w:szCs w:val="22"/>
          <w:lang w:val="es-CO"/>
        </w:rPr>
        <w:t>Como le hemos mostrado a la CREG, hay situaciones estrictamente operativas asociadas a la refinación de crudo y a la producción de gas natural que conllevan la variación de las cantidades de GLP inicialmente planeadas. En tal sentido, la regulación referida no conduce a controlar un potencial ejercicio de poder de mercado por parte del comercializador mayorista, como se ha pretendido. Pero</w:t>
      </w:r>
      <w:r>
        <w:rPr>
          <w:rFonts w:ascii="Arial" w:hAnsi="Arial" w:cs="Arial"/>
          <w:i/>
          <w:iCs/>
          <w:sz w:val="22"/>
          <w:szCs w:val="22"/>
          <w:lang w:val="es-CO"/>
        </w:rPr>
        <w:t xml:space="preserve"> </w:t>
      </w:r>
      <w:r w:rsidRPr="00055C60">
        <w:rPr>
          <w:rFonts w:ascii="Arial" w:hAnsi="Arial" w:cs="Arial"/>
          <w:i/>
          <w:iCs/>
          <w:sz w:val="22"/>
          <w:szCs w:val="22"/>
          <w:lang w:val="es-CO"/>
        </w:rPr>
        <w:t>de duración menor a seis (6) meses, pues castiga el precio de venta del energético a corto plazo.</w:t>
      </w:r>
    </w:p>
    <w:p w14:paraId="16E306AE" w14:textId="77777777" w:rsidR="00055C60" w:rsidRDefault="00055C60" w:rsidP="00055C60">
      <w:pPr>
        <w:contextualSpacing/>
        <w:jc w:val="both"/>
        <w:rPr>
          <w:rFonts w:ascii="Arial" w:hAnsi="Arial" w:cs="Arial"/>
          <w:i/>
          <w:iCs/>
          <w:sz w:val="22"/>
          <w:szCs w:val="22"/>
          <w:lang w:val="es-CO"/>
        </w:rPr>
      </w:pPr>
    </w:p>
    <w:p w14:paraId="613C8235" w14:textId="77777777" w:rsidR="00055C60" w:rsidRDefault="00055C60" w:rsidP="00055C60">
      <w:pPr>
        <w:contextualSpacing/>
        <w:jc w:val="both"/>
        <w:rPr>
          <w:rFonts w:ascii="Arial" w:hAnsi="Arial" w:cs="Arial"/>
          <w:i/>
          <w:iCs/>
          <w:sz w:val="22"/>
          <w:szCs w:val="22"/>
          <w:lang w:val="es-CO"/>
        </w:rPr>
      </w:pPr>
      <w:r w:rsidRPr="00055C60">
        <w:rPr>
          <w:rFonts w:ascii="Arial" w:hAnsi="Arial" w:cs="Arial"/>
          <w:i/>
          <w:iCs/>
          <w:sz w:val="22"/>
          <w:szCs w:val="22"/>
          <w:lang w:val="es-CO"/>
        </w:rPr>
        <w:t>Consideramos que esto limita la posibilidad de que exista un mercado de corto plazo al que los distribuidores puedan acudir para abastecerse de GLP, de haber cantidades disponibles.</w:t>
      </w:r>
    </w:p>
    <w:p w14:paraId="0BB1EA95" w14:textId="77777777" w:rsidR="00055C60" w:rsidRDefault="00055C60" w:rsidP="00055C60">
      <w:pPr>
        <w:contextualSpacing/>
        <w:jc w:val="both"/>
        <w:rPr>
          <w:rFonts w:ascii="Arial" w:hAnsi="Arial" w:cs="Arial"/>
          <w:i/>
          <w:iCs/>
          <w:sz w:val="22"/>
          <w:szCs w:val="22"/>
          <w:lang w:val="es-CO"/>
        </w:rPr>
      </w:pPr>
    </w:p>
    <w:p w14:paraId="49B60946" w14:textId="487CCF6E" w:rsidR="00F00FC7" w:rsidRDefault="00055C60" w:rsidP="00055C60">
      <w:pPr>
        <w:contextualSpacing/>
        <w:jc w:val="both"/>
        <w:rPr>
          <w:rFonts w:ascii="Arial" w:hAnsi="Arial" w:cs="Arial"/>
          <w:i/>
          <w:iCs/>
          <w:sz w:val="22"/>
          <w:szCs w:val="22"/>
          <w:lang w:val="es-CO"/>
        </w:rPr>
      </w:pPr>
      <w:r w:rsidRPr="00055C60">
        <w:rPr>
          <w:rFonts w:ascii="Arial" w:hAnsi="Arial" w:cs="Arial"/>
          <w:i/>
          <w:iCs/>
          <w:sz w:val="22"/>
          <w:szCs w:val="22"/>
          <w:lang w:val="es-CO"/>
        </w:rPr>
        <w:t>Teniendo en cuenta lo anterior, de manera atenta sugerimos que la CREG adopte las siguientes medidas:</w:t>
      </w:r>
    </w:p>
    <w:p w14:paraId="4D88460F" w14:textId="77777777" w:rsidR="00055C60" w:rsidRDefault="00055C60" w:rsidP="00055C60">
      <w:pPr>
        <w:contextualSpacing/>
        <w:jc w:val="both"/>
        <w:rPr>
          <w:rFonts w:ascii="Arial" w:hAnsi="Arial" w:cs="Arial"/>
          <w:i/>
          <w:iCs/>
          <w:sz w:val="22"/>
          <w:szCs w:val="22"/>
          <w:lang w:val="es-CO"/>
        </w:rPr>
      </w:pPr>
    </w:p>
    <w:p w14:paraId="7BC6BDD7" w14:textId="77777777" w:rsidR="00055C60" w:rsidRDefault="00055C60" w:rsidP="00055C60">
      <w:pPr>
        <w:contextualSpacing/>
        <w:jc w:val="both"/>
        <w:rPr>
          <w:rFonts w:ascii="Arial" w:hAnsi="Arial" w:cs="Arial"/>
          <w:i/>
          <w:iCs/>
          <w:sz w:val="22"/>
          <w:szCs w:val="22"/>
          <w:lang w:val="es-CO"/>
        </w:rPr>
      </w:pPr>
      <w:r w:rsidRPr="00055C60">
        <w:rPr>
          <w:rFonts w:ascii="Arial" w:hAnsi="Arial" w:cs="Arial"/>
          <w:i/>
          <w:iCs/>
          <w:sz w:val="22"/>
          <w:szCs w:val="22"/>
          <w:lang w:val="es-CO"/>
        </w:rPr>
        <w:t>1. Permitir que los comercializadores mayoristas y los compradores acuerden el cambio en los puntos de entrega inicialmente pactados en el contrato, caso en el cual los distribuidores asumirían los costos de transporte correspondientes.</w:t>
      </w:r>
    </w:p>
    <w:p w14:paraId="1CAB828D" w14:textId="77777777" w:rsidR="00055C60" w:rsidRDefault="00055C60" w:rsidP="00055C60">
      <w:pPr>
        <w:contextualSpacing/>
        <w:jc w:val="both"/>
        <w:rPr>
          <w:rFonts w:ascii="Arial" w:hAnsi="Arial" w:cs="Arial"/>
          <w:i/>
          <w:iCs/>
          <w:sz w:val="22"/>
          <w:szCs w:val="22"/>
          <w:lang w:val="es-CO"/>
        </w:rPr>
      </w:pPr>
    </w:p>
    <w:p w14:paraId="5FB22099" w14:textId="77777777" w:rsidR="00055C60" w:rsidRDefault="00055C60" w:rsidP="00055C60">
      <w:pPr>
        <w:contextualSpacing/>
        <w:jc w:val="both"/>
        <w:rPr>
          <w:rFonts w:ascii="Arial" w:hAnsi="Arial" w:cs="Arial"/>
          <w:i/>
          <w:iCs/>
          <w:sz w:val="22"/>
          <w:szCs w:val="22"/>
          <w:lang w:val="es-CO"/>
        </w:rPr>
      </w:pPr>
      <w:r w:rsidRPr="00055C60">
        <w:rPr>
          <w:rFonts w:ascii="Arial" w:hAnsi="Arial" w:cs="Arial"/>
          <w:i/>
          <w:iCs/>
          <w:sz w:val="22"/>
          <w:szCs w:val="22"/>
          <w:lang w:val="es-CO"/>
        </w:rPr>
        <w:t>2. Permitir que el GLP con precio regulado pueda ser suministrado mediante OPC adicionales, sin que el producto deba ofrecerse con un precio inferior al precio máximo regulado. En relación con dichas negociaciones, sugerimos que se establezca que:</w:t>
      </w:r>
    </w:p>
    <w:p w14:paraId="4BD963A1" w14:textId="77777777" w:rsidR="00055C60" w:rsidRDefault="00055C60" w:rsidP="00055C60">
      <w:pPr>
        <w:contextualSpacing/>
        <w:jc w:val="both"/>
        <w:rPr>
          <w:rFonts w:ascii="Arial" w:hAnsi="Arial" w:cs="Arial"/>
          <w:i/>
          <w:iCs/>
          <w:sz w:val="22"/>
          <w:szCs w:val="22"/>
          <w:lang w:val="es-CO"/>
        </w:rPr>
      </w:pPr>
    </w:p>
    <w:p w14:paraId="074CBE01" w14:textId="77777777" w:rsidR="00055C60" w:rsidRDefault="00055C60" w:rsidP="00055C60">
      <w:pPr>
        <w:contextualSpacing/>
        <w:jc w:val="both"/>
        <w:rPr>
          <w:rFonts w:ascii="Arial" w:hAnsi="Arial" w:cs="Arial"/>
          <w:i/>
          <w:iCs/>
          <w:sz w:val="22"/>
          <w:szCs w:val="22"/>
          <w:lang w:val="es-CO"/>
        </w:rPr>
      </w:pPr>
      <w:r w:rsidRPr="00055C60">
        <w:rPr>
          <w:rFonts w:ascii="Arial" w:hAnsi="Arial" w:cs="Arial"/>
          <w:i/>
          <w:iCs/>
          <w:sz w:val="22"/>
          <w:szCs w:val="22"/>
          <w:lang w:val="es-CO"/>
        </w:rPr>
        <w:t xml:space="preserve">• El comercializador mayorista, encargado de adelantar las OPC adicionales, informe las cantidades disponibles al menos cinco (5) días antes del periodo de entregas del producto. </w:t>
      </w:r>
    </w:p>
    <w:p w14:paraId="5ABEA6F0" w14:textId="021D46D1" w:rsidR="00055C60" w:rsidRPr="00055C60" w:rsidRDefault="00055C60" w:rsidP="00055C60">
      <w:pPr>
        <w:contextualSpacing/>
        <w:jc w:val="both"/>
        <w:rPr>
          <w:rFonts w:ascii="Arial" w:hAnsi="Arial" w:cs="Arial"/>
          <w:i/>
          <w:iCs/>
          <w:sz w:val="22"/>
          <w:szCs w:val="22"/>
          <w:lang w:val="es-CO"/>
        </w:rPr>
      </w:pPr>
      <w:r w:rsidRPr="00055C60">
        <w:rPr>
          <w:rFonts w:ascii="Arial" w:hAnsi="Arial" w:cs="Arial"/>
          <w:i/>
          <w:iCs/>
          <w:sz w:val="22"/>
          <w:szCs w:val="22"/>
          <w:lang w:val="es-CO"/>
        </w:rPr>
        <w:t>• El comercializador mayorista, encargado de adelantar la OPC adicional, ofrezca un plazo mínimo de cuarenta y ocho (48) horas, a partir de la publicación de la oferta, para que los interesados puedan presentar sus solicitudes de compra.</w:t>
      </w:r>
      <w:r>
        <w:rPr>
          <w:rFonts w:ascii="Arial" w:hAnsi="Arial" w:cs="Arial"/>
          <w:i/>
          <w:iCs/>
          <w:sz w:val="22"/>
          <w:szCs w:val="22"/>
          <w:lang w:val="es-CO"/>
        </w:rPr>
        <w:t xml:space="preserve"> (…)”</w:t>
      </w:r>
    </w:p>
    <w:p w14:paraId="01F70BB3" w14:textId="77777777" w:rsidR="00F21F97" w:rsidRPr="00262988" w:rsidRDefault="00F21F97" w:rsidP="004F3E8B">
      <w:pPr>
        <w:ind w:left="0"/>
        <w:contextualSpacing/>
        <w:jc w:val="both"/>
        <w:rPr>
          <w:rFonts w:ascii="Arial" w:hAnsi="Arial" w:cs="Arial"/>
          <w:lang w:val="es-CO"/>
        </w:rPr>
      </w:pPr>
    </w:p>
    <w:p w14:paraId="3DDDE77E" w14:textId="05119ED1" w:rsidR="00262988" w:rsidRPr="00BC3C79" w:rsidRDefault="00BF0F7B" w:rsidP="004F3E8B">
      <w:pPr>
        <w:ind w:left="0"/>
        <w:contextualSpacing/>
        <w:jc w:val="both"/>
        <w:rPr>
          <w:rFonts w:ascii="Arial" w:eastAsia="Calibri" w:hAnsi="Arial" w:cs="Arial"/>
          <w:lang w:val="es-CO" w:eastAsia="en-US"/>
        </w:rPr>
      </w:pPr>
      <w:r w:rsidRPr="00BC3C79">
        <w:rPr>
          <w:rFonts w:ascii="Arial" w:eastAsia="Calibri" w:hAnsi="Arial" w:cs="Arial"/>
          <w:lang w:val="es-CO" w:eastAsia="en-US"/>
        </w:rPr>
        <w:t xml:space="preserve">Teniendo en cuenta las circunstancias expuestas por GASNOVA </w:t>
      </w:r>
      <w:r w:rsidR="003C2B17">
        <w:rPr>
          <w:rFonts w:ascii="Arial" w:eastAsia="Calibri" w:hAnsi="Arial" w:cs="Arial"/>
          <w:lang w:val="es-CO" w:eastAsia="en-US"/>
        </w:rPr>
        <w:t xml:space="preserve">y ECOPETROL </w:t>
      </w:r>
      <w:r w:rsidRPr="00BC3C79">
        <w:rPr>
          <w:rFonts w:ascii="Arial" w:eastAsia="Calibri" w:hAnsi="Arial" w:cs="Arial"/>
          <w:lang w:val="es-CO" w:eastAsia="en-US"/>
        </w:rPr>
        <w:t>en su</w:t>
      </w:r>
      <w:r w:rsidR="003C2B17">
        <w:rPr>
          <w:rFonts w:ascii="Arial" w:eastAsia="Calibri" w:hAnsi="Arial" w:cs="Arial"/>
          <w:lang w:val="es-CO" w:eastAsia="en-US"/>
        </w:rPr>
        <w:t>s</w:t>
      </w:r>
      <w:r w:rsidRPr="00BC3C79">
        <w:rPr>
          <w:rFonts w:ascii="Arial" w:eastAsia="Calibri" w:hAnsi="Arial" w:cs="Arial"/>
          <w:lang w:val="es-CO" w:eastAsia="en-US"/>
        </w:rPr>
        <w:t xml:space="preserve"> comunicaci</w:t>
      </w:r>
      <w:r w:rsidR="003C2B17">
        <w:rPr>
          <w:rFonts w:ascii="Arial" w:eastAsia="Calibri" w:hAnsi="Arial" w:cs="Arial"/>
          <w:lang w:val="es-CO" w:eastAsia="en-US"/>
        </w:rPr>
        <w:t>o</w:t>
      </w:r>
      <w:r w:rsidRPr="00BC3C79">
        <w:rPr>
          <w:rFonts w:ascii="Arial" w:eastAsia="Calibri" w:hAnsi="Arial" w:cs="Arial"/>
          <w:lang w:val="es-CO" w:eastAsia="en-US"/>
        </w:rPr>
        <w:t>n</w:t>
      </w:r>
      <w:r w:rsidR="003C2B17">
        <w:rPr>
          <w:rFonts w:ascii="Arial" w:eastAsia="Calibri" w:hAnsi="Arial" w:cs="Arial"/>
          <w:lang w:val="es-CO" w:eastAsia="en-US"/>
        </w:rPr>
        <w:t>es</w:t>
      </w:r>
      <w:r w:rsidRPr="00BC3C79">
        <w:rPr>
          <w:rFonts w:ascii="Arial" w:eastAsia="Calibri" w:hAnsi="Arial" w:cs="Arial"/>
          <w:lang w:val="es-CO" w:eastAsia="en-US"/>
        </w:rPr>
        <w:t xml:space="preserve"> con </w:t>
      </w:r>
      <w:r w:rsidRPr="00BC3C79">
        <w:rPr>
          <w:rFonts w:ascii="Arial" w:hAnsi="Arial" w:cs="Arial"/>
          <w:lang w:val="es-CO"/>
        </w:rPr>
        <w:t>radicado CREG E2023015527</w:t>
      </w:r>
      <w:r w:rsidR="003C2B17">
        <w:rPr>
          <w:rFonts w:ascii="Arial" w:hAnsi="Arial" w:cs="Arial"/>
          <w:lang w:val="es-CO"/>
        </w:rPr>
        <w:t xml:space="preserve"> y E2023015708</w:t>
      </w:r>
      <w:r w:rsidRPr="00BC3C79">
        <w:rPr>
          <w:rFonts w:ascii="Arial" w:eastAsia="Calibri" w:hAnsi="Arial" w:cs="Arial"/>
          <w:lang w:val="es-CO" w:eastAsia="en-US"/>
        </w:rPr>
        <w:t xml:space="preserve">, derivadas de la situación de emergencia descrita en relación con </w:t>
      </w:r>
      <w:r w:rsidR="00E57466" w:rsidRPr="00BC3C79">
        <w:rPr>
          <w:rFonts w:ascii="Arial" w:eastAsia="Calibri" w:hAnsi="Arial" w:cs="Arial"/>
          <w:lang w:val="es-CO" w:eastAsia="en-US"/>
        </w:rPr>
        <w:t>l</w:t>
      </w:r>
      <w:r w:rsidR="001D3461" w:rsidRPr="00BC3C79">
        <w:rPr>
          <w:rFonts w:ascii="Arial" w:eastAsia="Calibri" w:hAnsi="Arial" w:cs="Arial"/>
          <w:lang w:val="es-CO" w:eastAsia="en-US"/>
        </w:rPr>
        <w:t>a</w:t>
      </w:r>
      <w:r w:rsidR="00E57466" w:rsidRPr="00BC3C79">
        <w:rPr>
          <w:rFonts w:ascii="Arial" w:eastAsia="Calibri" w:hAnsi="Arial" w:cs="Arial"/>
          <w:lang w:val="es-CO" w:eastAsia="en-US"/>
        </w:rPr>
        <w:t xml:space="preserve"> dificultad </w:t>
      </w:r>
      <w:r w:rsidR="001D3461" w:rsidRPr="00BC3C79">
        <w:rPr>
          <w:rFonts w:ascii="Arial" w:eastAsia="Calibri" w:hAnsi="Arial" w:cs="Arial"/>
          <w:lang w:val="es-CO" w:eastAsia="en-US"/>
        </w:rPr>
        <w:t xml:space="preserve">de </w:t>
      </w:r>
      <w:r w:rsidR="00E57466" w:rsidRPr="00BC3C79">
        <w:rPr>
          <w:rFonts w:ascii="Arial" w:eastAsia="Calibri" w:hAnsi="Arial" w:cs="Arial"/>
          <w:lang w:val="es-CO" w:eastAsia="en-US"/>
        </w:rPr>
        <w:t>transporta</w:t>
      </w:r>
      <w:r w:rsidR="001D3461" w:rsidRPr="00BC3C79">
        <w:rPr>
          <w:rFonts w:ascii="Arial" w:eastAsia="Calibri" w:hAnsi="Arial" w:cs="Arial"/>
          <w:lang w:val="es-CO" w:eastAsia="en-US"/>
        </w:rPr>
        <w:t>r el GLP</w:t>
      </w:r>
      <w:r w:rsidR="006322C3" w:rsidRPr="00BC3C79">
        <w:rPr>
          <w:rFonts w:ascii="Arial" w:eastAsia="Calibri" w:hAnsi="Arial" w:cs="Arial"/>
          <w:lang w:val="es-CO" w:eastAsia="en-US"/>
        </w:rPr>
        <w:t>,</w:t>
      </w:r>
      <w:r w:rsidR="001D3461" w:rsidRPr="00BC3C79">
        <w:rPr>
          <w:rFonts w:ascii="Arial" w:eastAsia="Calibri" w:hAnsi="Arial" w:cs="Arial"/>
          <w:lang w:val="es-CO" w:eastAsia="en-US"/>
        </w:rPr>
        <w:t xml:space="preserve"> desde</w:t>
      </w:r>
      <w:r w:rsidR="00E57466" w:rsidRPr="00BC3C79">
        <w:rPr>
          <w:rFonts w:ascii="Arial" w:eastAsia="Calibri" w:hAnsi="Arial" w:cs="Arial"/>
          <w:lang w:val="es-CO" w:eastAsia="en-US"/>
        </w:rPr>
        <w:t xml:space="preserve"> </w:t>
      </w:r>
      <w:r w:rsidR="001D3461" w:rsidRPr="00BC3C79">
        <w:rPr>
          <w:rFonts w:ascii="Arial" w:eastAsia="Calibri" w:hAnsi="Arial" w:cs="Arial"/>
          <w:lang w:val="es-CO" w:eastAsia="en-US"/>
        </w:rPr>
        <w:t xml:space="preserve">las plantas de Ecopetrol en Cusiana y </w:t>
      </w:r>
      <w:proofErr w:type="spellStart"/>
      <w:r w:rsidR="001D3461" w:rsidRPr="00BC3C79">
        <w:rPr>
          <w:rFonts w:ascii="Arial" w:eastAsia="Calibri" w:hAnsi="Arial" w:cs="Arial"/>
          <w:lang w:val="es-CO" w:eastAsia="en-US"/>
        </w:rPr>
        <w:t>Cupiagua</w:t>
      </w:r>
      <w:proofErr w:type="spellEnd"/>
      <w:r w:rsidR="001D3461" w:rsidRPr="00BC3C79">
        <w:rPr>
          <w:rFonts w:ascii="Arial" w:eastAsia="Calibri" w:hAnsi="Arial" w:cs="Arial"/>
          <w:lang w:val="es-CO" w:eastAsia="en-US"/>
        </w:rPr>
        <w:t xml:space="preserve"> hacia </w:t>
      </w:r>
      <w:r w:rsidR="00E57466" w:rsidRPr="00BC3C79">
        <w:rPr>
          <w:rFonts w:ascii="Arial" w:eastAsia="Calibri" w:hAnsi="Arial" w:cs="Arial"/>
          <w:lang w:val="es-CO" w:eastAsia="en-US"/>
        </w:rPr>
        <w:t>los centros de consumo en el interior del país</w:t>
      </w:r>
      <w:r w:rsidR="006322C3" w:rsidRPr="00BC3C79">
        <w:rPr>
          <w:rFonts w:ascii="Arial" w:eastAsia="Calibri" w:hAnsi="Arial" w:cs="Arial"/>
          <w:lang w:val="es-CO" w:eastAsia="en-US"/>
        </w:rPr>
        <w:t>,</w:t>
      </w:r>
      <w:r w:rsidR="001D3461" w:rsidRPr="00BC3C79">
        <w:rPr>
          <w:rFonts w:ascii="Arial" w:eastAsia="Calibri" w:hAnsi="Arial" w:cs="Arial"/>
          <w:lang w:val="es-CO" w:eastAsia="en-US"/>
        </w:rPr>
        <w:t xml:space="preserve"> </w:t>
      </w:r>
      <w:r w:rsidR="006322C3" w:rsidRPr="00BC3C79">
        <w:rPr>
          <w:rFonts w:ascii="Arial" w:eastAsia="Calibri" w:hAnsi="Arial" w:cs="Arial"/>
          <w:lang w:val="es-CO" w:eastAsia="en-US"/>
        </w:rPr>
        <w:t xml:space="preserve">ocasionada por </w:t>
      </w:r>
      <w:r w:rsidR="00262988" w:rsidRPr="00BC3C79">
        <w:rPr>
          <w:rFonts w:ascii="Arial" w:eastAsia="Calibri" w:hAnsi="Arial" w:cs="Arial"/>
          <w:lang w:val="es-CO" w:eastAsia="en-US"/>
        </w:rPr>
        <w:t>el cierre</w:t>
      </w:r>
      <w:r w:rsidR="00E57466" w:rsidRPr="00BC3C79">
        <w:rPr>
          <w:rFonts w:ascii="Arial" w:eastAsia="Calibri" w:hAnsi="Arial" w:cs="Arial"/>
          <w:lang w:val="es-CO" w:eastAsia="en-US"/>
        </w:rPr>
        <w:t xml:space="preserve"> intermitente de </w:t>
      </w:r>
      <w:r w:rsidR="00262988" w:rsidRPr="00BC3C79">
        <w:rPr>
          <w:rFonts w:ascii="Arial" w:eastAsia="Calibri" w:hAnsi="Arial" w:cs="Arial"/>
          <w:lang w:val="es-CO" w:eastAsia="en-US"/>
        </w:rPr>
        <w:t>la vía por Villavicencio</w:t>
      </w:r>
      <w:r w:rsidR="006322C3" w:rsidRPr="00BC3C79">
        <w:rPr>
          <w:rFonts w:ascii="Arial" w:eastAsia="Calibri" w:hAnsi="Arial" w:cs="Arial"/>
          <w:lang w:val="es-CO" w:eastAsia="en-US"/>
        </w:rPr>
        <w:t xml:space="preserve">, el cierre de la </w:t>
      </w:r>
      <w:r w:rsidR="00262988" w:rsidRPr="00BC3C79">
        <w:rPr>
          <w:rFonts w:ascii="Arial" w:eastAsia="Calibri" w:hAnsi="Arial" w:cs="Arial"/>
          <w:lang w:val="es-CO" w:eastAsia="en-US"/>
        </w:rPr>
        <w:t>vía saliendo por Sogamoso,</w:t>
      </w:r>
      <w:r w:rsidR="00DA378C" w:rsidRPr="00BC3C79">
        <w:rPr>
          <w:rFonts w:ascii="Arial" w:eastAsia="Calibri" w:hAnsi="Arial" w:cs="Arial"/>
          <w:lang w:val="es-CO" w:eastAsia="en-US"/>
        </w:rPr>
        <w:t xml:space="preserve"> que</w:t>
      </w:r>
      <w:r w:rsidR="00262988" w:rsidRPr="00BC3C79">
        <w:rPr>
          <w:rFonts w:ascii="Arial" w:eastAsia="Calibri" w:hAnsi="Arial" w:cs="Arial"/>
          <w:lang w:val="es-CO" w:eastAsia="en-US"/>
        </w:rPr>
        <w:t xml:space="preserve"> quedó inhabilitada por la caída del viaducto </w:t>
      </w:r>
      <w:r w:rsidR="00262988" w:rsidRPr="00BC3C79">
        <w:rPr>
          <w:rFonts w:ascii="Arial" w:eastAsia="Calibri" w:hAnsi="Arial" w:cs="Arial"/>
          <w:lang w:val="es-CO" w:eastAsia="en-US"/>
        </w:rPr>
        <w:lastRenderedPageBreak/>
        <w:t xml:space="preserve">Los Grillos en la zona de Pajarito y la </w:t>
      </w:r>
      <w:r w:rsidR="00DA378C" w:rsidRPr="00BC3C79">
        <w:rPr>
          <w:rFonts w:ascii="Arial" w:eastAsia="Calibri" w:hAnsi="Arial" w:cs="Arial"/>
          <w:lang w:val="es-CO" w:eastAsia="en-US"/>
        </w:rPr>
        <w:t xml:space="preserve">limitada capacidad de </w:t>
      </w:r>
      <w:r w:rsidR="00262988" w:rsidRPr="00BC3C79">
        <w:rPr>
          <w:rFonts w:ascii="Arial" w:eastAsia="Calibri" w:hAnsi="Arial" w:cs="Arial"/>
          <w:lang w:val="es-CO" w:eastAsia="en-US"/>
        </w:rPr>
        <w:t xml:space="preserve">la transversal del </w:t>
      </w:r>
      <w:proofErr w:type="spellStart"/>
      <w:r w:rsidR="00262988" w:rsidRPr="00BC3C79">
        <w:rPr>
          <w:rFonts w:ascii="Arial" w:eastAsia="Calibri" w:hAnsi="Arial" w:cs="Arial"/>
          <w:lang w:val="es-CO" w:eastAsia="en-US"/>
        </w:rPr>
        <w:t>Sisga</w:t>
      </w:r>
      <w:proofErr w:type="spellEnd"/>
      <w:r w:rsidR="00262988" w:rsidRPr="00BC3C79">
        <w:rPr>
          <w:rFonts w:ascii="Arial" w:eastAsia="Calibri" w:hAnsi="Arial" w:cs="Arial"/>
          <w:lang w:val="es-CO" w:eastAsia="en-US"/>
        </w:rPr>
        <w:t xml:space="preserve">, </w:t>
      </w:r>
      <w:r w:rsidR="00DA378C" w:rsidRPr="00BC3C79">
        <w:rPr>
          <w:rFonts w:ascii="Arial" w:eastAsia="Calibri" w:hAnsi="Arial" w:cs="Arial"/>
          <w:lang w:val="es-CO" w:eastAsia="en-US"/>
        </w:rPr>
        <w:t xml:space="preserve">que </w:t>
      </w:r>
      <w:r w:rsidR="00262988" w:rsidRPr="00BC3C79">
        <w:rPr>
          <w:rFonts w:ascii="Arial" w:eastAsia="Calibri" w:hAnsi="Arial" w:cs="Arial"/>
          <w:lang w:val="es-CO" w:eastAsia="en-US"/>
        </w:rPr>
        <w:t>no puede usarse para el tránsito de vehículos de más de 30 toneladas</w:t>
      </w:r>
      <w:r w:rsidR="00976BE7" w:rsidRPr="00BC3C79">
        <w:rPr>
          <w:rFonts w:ascii="Arial" w:eastAsia="Calibri" w:hAnsi="Arial" w:cs="Arial"/>
          <w:lang w:val="es-CO" w:eastAsia="en-US"/>
        </w:rPr>
        <w:t xml:space="preserve">, además de </w:t>
      </w:r>
      <w:r w:rsidR="00262988" w:rsidRPr="00BC3C79">
        <w:rPr>
          <w:rFonts w:ascii="Arial" w:eastAsia="Calibri" w:hAnsi="Arial" w:cs="Arial"/>
          <w:lang w:val="es-CO" w:eastAsia="en-US"/>
        </w:rPr>
        <w:t xml:space="preserve">los bloqueos que en forma intermitente hacen las comunidades a lo largo de las vías, </w:t>
      </w:r>
      <w:r w:rsidR="00976BE7" w:rsidRPr="00BC3C79">
        <w:rPr>
          <w:rFonts w:ascii="Arial" w:eastAsia="Calibri" w:hAnsi="Arial" w:cs="Arial"/>
          <w:lang w:val="es-CO" w:eastAsia="en-US"/>
        </w:rPr>
        <w:t xml:space="preserve">como por ejemplo en la </w:t>
      </w:r>
      <w:r w:rsidR="00262988" w:rsidRPr="00BC3C79">
        <w:rPr>
          <w:rFonts w:ascii="Arial" w:eastAsia="Calibri" w:hAnsi="Arial" w:cs="Arial"/>
          <w:lang w:val="es-CO" w:eastAsia="en-US"/>
        </w:rPr>
        <w:t>zona de Guayabetal</w:t>
      </w:r>
      <w:r w:rsidR="00976BE7" w:rsidRPr="00BC3C79">
        <w:rPr>
          <w:rFonts w:ascii="Arial" w:eastAsia="Calibri" w:hAnsi="Arial" w:cs="Arial"/>
          <w:lang w:val="es-CO" w:eastAsia="en-US"/>
        </w:rPr>
        <w:t xml:space="preserve">, </w:t>
      </w:r>
      <w:r w:rsidR="00070572" w:rsidRPr="00BC3C79">
        <w:rPr>
          <w:rFonts w:ascii="Arial" w:eastAsia="Calibri" w:hAnsi="Arial" w:cs="Arial"/>
          <w:lang w:val="es-CO" w:eastAsia="en-US"/>
        </w:rPr>
        <w:t>pudiera generar</w:t>
      </w:r>
      <w:r w:rsidR="003F72D7" w:rsidRPr="00BC3C79">
        <w:rPr>
          <w:rFonts w:ascii="Arial" w:eastAsia="Calibri" w:hAnsi="Arial" w:cs="Arial"/>
          <w:lang w:val="es-CO" w:eastAsia="en-US"/>
        </w:rPr>
        <w:t>se</w:t>
      </w:r>
      <w:r w:rsidR="00070572" w:rsidRPr="00BC3C79">
        <w:rPr>
          <w:rFonts w:ascii="Arial" w:eastAsia="Calibri" w:hAnsi="Arial" w:cs="Arial"/>
          <w:lang w:val="es-CO" w:eastAsia="en-US"/>
        </w:rPr>
        <w:t xml:space="preserve"> una situación </w:t>
      </w:r>
      <w:r w:rsidR="00976BE7" w:rsidRPr="00BC3C79">
        <w:rPr>
          <w:rFonts w:ascii="Arial" w:eastAsia="Calibri" w:hAnsi="Arial" w:cs="Arial"/>
          <w:lang w:val="es-CO" w:eastAsia="en-US"/>
        </w:rPr>
        <w:t>de desabastecimiento a los usuarios</w:t>
      </w:r>
      <w:r w:rsidR="00262988" w:rsidRPr="00BC3C79">
        <w:rPr>
          <w:rFonts w:ascii="Arial" w:eastAsia="Calibri" w:hAnsi="Arial" w:cs="Arial"/>
          <w:lang w:val="es-CO" w:eastAsia="en-US"/>
        </w:rPr>
        <w:t>.</w:t>
      </w:r>
    </w:p>
    <w:p w14:paraId="298A705C" w14:textId="77777777" w:rsidR="00E318F1" w:rsidRPr="00BC3C79" w:rsidRDefault="00E318F1" w:rsidP="004F3E8B">
      <w:pPr>
        <w:ind w:left="0"/>
        <w:contextualSpacing/>
        <w:jc w:val="both"/>
        <w:rPr>
          <w:rFonts w:ascii="Arial" w:eastAsia="Calibri" w:hAnsi="Arial" w:cs="Arial"/>
          <w:lang w:val="es-CO" w:eastAsia="en-US"/>
        </w:rPr>
      </w:pPr>
    </w:p>
    <w:p w14:paraId="30CD2DD0" w14:textId="47F8C012" w:rsidR="00BF0F7B" w:rsidRPr="00944555" w:rsidRDefault="00BF0F7B" w:rsidP="004F3E8B">
      <w:pPr>
        <w:ind w:left="0"/>
        <w:contextualSpacing/>
        <w:jc w:val="both"/>
        <w:rPr>
          <w:rFonts w:ascii="Arial" w:eastAsia="Calibri" w:hAnsi="Arial" w:cs="Arial"/>
          <w:color w:val="000000" w:themeColor="text1"/>
          <w:lang w:val="es-CO" w:eastAsia="en-US"/>
        </w:rPr>
      </w:pPr>
      <w:r w:rsidRPr="00944555">
        <w:rPr>
          <w:rFonts w:ascii="Arial" w:eastAsia="Calibri" w:hAnsi="Arial" w:cs="Arial"/>
          <w:color w:val="000000" w:themeColor="text1"/>
          <w:lang w:val="es-CO" w:eastAsia="en-US"/>
        </w:rPr>
        <w:t xml:space="preserve">Mediante </w:t>
      </w:r>
      <w:r w:rsidR="00EC6F5B">
        <w:rPr>
          <w:rFonts w:ascii="Arial" w:eastAsia="Calibri" w:hAnsi="Arial" w:cs="Arial"/>
          <w:color w:val="000000" w:themeColor="text1"/>
          <w:lang w:val="es-CO" w:eastAsia="en-US"/>
        </w:rPr>
        <w:t>R</w:t>
      </w:r>
      <w:r w:rsidRPr="00944555">
        <w:rPr>
          <w:rFonts w:ascii="Arial" w:eastAsia="Calibri" w:hAnsi="Arial" w:cs="Arial"/>
          <w:color w:val="000000" w:themeColor="text1"/>
          <w:lang w:val="es-CO" w:eastAsia="en-US"/>
        </w:rPr>
        <w:t xml:space="preserve">esolución </w:t>
      </w:r>
      <w:r w:rsidR="009E6E41">
        <w:rPr>
          <w:rFonts w:ascii="Arial" w:eastAsia="Calibri" w:hAnsi="Arial" w:cs="Arial"/>
          <w:color w:val="000000" w:themeColor="text1"/>
          <w:lang w:val="es-CO" w:eastAsia="en-US"/>
        </w:rPr>
        <w:t>40593 del 29 de septiembre de 2023</w:t>
      </w:r>
      <w:r w:rsidR="00CD50EC">
        <w:rPr>
          <w:rFonts w:ascii="Arial" w:eastAsia="Calibri" w:hAnsi="Arial" w:cs="Arial"/>
          <w:color w:val="000000" w:themeColor="text1"/>
          <w:lang w:val="es-CO" w:eastAsia="en-US"/>
        </w:rPr>
        <w:t xml:space="preserve"> </w:t>
      </w:r>
      <w:r w:rsidR="00EC6F5B">
        <w:rPr>
          <w:rFonts w:ascii="Arial" w:eastAsia="Calibri" w:hAnsi="Arial" w:cs="Arial"/>
          <w:color w:val="000000" w:themeColor="text1"/>
          <w:lang w:val="es-CO" w:eastAsia="en-US"/>
        </w:rPr>
        <w:t xml:space="preserve">expedida por </w:t>
      </w:r>
      <w:r w:rsidR="00F900A6" w:rsidRPr="00944555">
        <w:rPr>
          <w:rFonts w:ascii="Arial" w:eastAsia="Calibri" w:hAnsi="Arial" w:cs="Arial"/>
          <w:color w:val="000000" w:themeColor="text1"/>
          <w:lang w:val="es-CO" w:eastAsia="en-US"/>
        </w:rPr>
        <w:t>el</w:t>
      </w:r>
      <w:r w:rsidRPr="00944555">
        <w:rPr>
          <w:rFonts w:ascii="Arial" w:eastAsia="Calibri" w:hAnsi="Arial" w:cs="Arial"/>
          <w:color w:val="000000" w:themeColor="text1"/>
          <w:lang w:val="es-CO" w:eastAsia="en-US"/>
        </w:rPr>
        <w:t xml:space="preserve"> M</w:t>
      </w:r>
      <w:r w:rsidR="003F6EFE">
        <w:rPr>
          <w:rFonts w:ascii="Arial" w:eastAsia="Calibri" w:hAnsi="Arial" w:cs="Arial"/>
          <w:color w:val="000000" w:themeColor="text1"/>
          <w:lang w:val="es-CO" w:eastAsia="en-US"/>
        </w:rPr>
        <w:t xml:space="preserve">inisterio de </w:t>
      </w:r>
      <w:r w:rsidRPr="00944555">
        <w:rPr>
          <w:rFonts w:ascii="Arial" w:eastAsia="Calibri" w:hAnsi="Arial" w:cs="Arial"/>
          <w:color w:val="000000" w:themeColor="text1"/>
          <w:lang w:val="es-CO" w:eastAsia="en-US"/>
        </w:rPr>
        <w:t>M</w:t>
      </w:r>
      <w:r w:rsidR="003F6EFE">
        <w:rPr>
          <w:rFonts w:ascii="Arial" w:eastAsia="Calibri" w:hAnsi="Arial" w:cs="Arial"/>
          <w:color w:val="000000" w:themeColor="text1"/>
          <w:lang w:val="es-CO" w:eastAsia="en-US"/>
        </w:rPr>
        <w:t xml:space="preserve">inas </w:t>
      </w:r>
      <w:r w:rsidR="00501E50">
        <w:rPr>
          <w:rFonts w:ascii="Arial" w:eastAsia="Calibri" w:hAnsi="Arial" w:cs="Arial"/>
          <w:color w:val="000000" w:themeColor="text1"/>
          <w:lang w:val="es-CO" w:eastAsia="en-US"/>
        </w:rPr>
        <w:t>y</w:t>
      </w:r>
      <w:r w:rsidR="003F6EFE">
        <w:rPr>
          <w:rFonts w:ascii="Arial" w:eastAsia="Calibri" w:hAnsi="Arial" w:cs="Arial"/>
          <w:color w:val="000000" w:themeColor="text1"/>
          <w:lang w:val="es-CO" w:eastAsia="en-US"/>
        </w:rPr>
        <w:t xml:space="preserve"> </w:t>
      </w:r>
      <w:r w:rsidR="00D85CD3">
        <w:rPr>
          <w:rFonts w:ascii="Arial" w:eastAsia="Calibri" w:hAnsi="Arial" w:cs="Arial"/>
          <w:color w:val="000000" w:themeColor="text1"/>
          <w:lang w:val="es-CO" w:eastAsia="en-US"/>
        </w:rPr>
        <w:t>E</w:t>
      </w:r>
      <w:r w:rsidR="003F6EFE">
        <w:rPr>
          <w:rFonts w:ascii="Arial" w:eastAsia="Calibri" w:hAnsi="Arial" w:cs="Arial"/>
          <w:color w:val="000000" w:themeColor="text1"/>
          <w:lang w:val="es-CO" w:eastAsia="en-US"/>
        </w:rPr>
        <w:t>nergía</w:t>
      </w:r>
      <w:r w:rsidR="00CD50EC">
        <w:rPr>
          <w:rFonts w:ascii="Arial" w:eastAsia="Calibri" w:hAnsi="Arial" w:cs="Arial"/>
          <w:color w:val="000000" w:themeColor="text1"/>
          <w:lang w:val="es-CO" w:eastAsia="en-US"/>
        </w:rPr>
        <w:t>,</w:t>
      </w:r>
      <w:r w:rsidRPr="00944555">
        <w:rPr>
          <w:rFonts w:ascii="Arial" w:eastAsia="Calibri" w:hAnsi="Arial" w:cs="Arial"/>
          <w:color w:val="000000" w:themeColor="text1"/>
          <w:lang w:val="es-CO" w:eastAsia="en-US"/>
        </w:rPr>
        <w:t xml:space="preserve"> </w:t>
      </w:r>
      <w:r w:rsidR="00CD50EC" w:rsidRPr="00944555">
        <w:rPr>
          <w:rFonts w:ascii="Arial" w:eastAsia="Calibri" w:hAnsi="Arial" w:cs="Arial"/>
          <w:color w:val="000000" w:themeColor="text1"/>
          <w:lang w:val="es-CO" w:eastAsia="en-US"/>
        </w:rPr>
        <w:t>en el marco de la emergencia</w:t>
      </w:r>
      <w:r w:rsidR="00CD50EC">
        <w:rPr>
          <w:rFonts w:ascii="Arial" w:eastAsia="Calibri" w:hAnsi="Arial" w:cs="Arial"/>
          <w:color w:val="000000" w:themeColor="text1"/>
          <w:lang w:val="es-CO" w:eastAsia="en-US"/>
        </w:rPr>
        <w:t xml:space="preserve">, </w:t>
      </w:r>
      <w:r w:rsidR="00B817DA">
        <w:rPr>
          <w:rFonts w:ascii="Arial" w:eastAsia="Calibri" w:hAnsi="Arial" w:cs="Arial"/>
          <w:color w:val="000000" w:themeColor="text1"/>
          <w:lang w:val="es-CO" w:eastAsia="en-US"/>
        </w:rPr>
        <w:t xml:space="preserve">se </w:t>
      </w:r>
      <w:r w:rsidRPr="00944555">
        <w:rPr>
          <w:rFonts w:ascii="Arial" w:eastAsia="Calibri" w:hAnsi="Arial" w:cs="Arial"/>
          <w:color w:val="000000" w:themeColor="text1"/>
          <w:lang w:val="es-CO" w:eastAsia="en-US"/>
        </w:rPr>
        <w:t>declar</w:t>
      </w:r>
      <w:r w:rsidR="00FB5D7C" w:rsidRPr="00944555">
        <w:rPr>
          <w:rFonts w:ascii="Arial" w:eastAsia="Calibri" w:hAnsi="Arial" w:cs="Arial"/>
          <w:color w:val="000000" w:themeColor="text1"/>
          <w:lang w:val="es-CO" w:eastAsia="en-US"/>
        </w:rPr>
        <w:t>a el i</w:t>
      </w:r>
      <w:r w:rsidR="00F03D14" w:rsidRPr="00944555">
        <w:rPr>
          <w:rFonts w:ascii="Arial" w:eastAsia="Calibri" w:hAnsi="Arial" w:cs="Arial"/>
          <w:color w:val="000000" w:themeColor="text1"/>
          <w:lang w:val="es-CO" w:eastAsia="en-US"/>
        </w:rPr>
        <w:t>nicio de un racionamiento programado de GLP</w:t>
      </w:r>
      <w:r w:rsidRPr="00944555">
        <w:rPr>
          <w:rFonts w:ascii="Arial" w:eastAsia="Calibri" w:hAnsi="Arial" w:cs="Arial"/>
          <w:color w:val="000000" w:themeColor="text1"/>
          <w:lang w:val="es-CO" w:eastAsia="en-US"/>
        </w:rPr>
        <w:t xml:space="preserve"> y </w:t>
      </w:r>
      <w:r w:rsidR="00B817DA">
        <w:rPr>
          <w:rFonts w:ascii="Arial" w:eastAsia="Calibri" w:hAnsi="Arial" w:cs="Arial"/>
          <w:color w:val="000000" w:themeColor="text1"/>
          <w:lang w:val="es-CO" w:eastAsia="en-US"/>
        </w:rPr>
        <w:t xml:space="preserve">se </w:t>
      </w:r>
      <w:r w:rsidR="00716376">
        <w:rPr>
          <w:rFonts w:ascii="Arial" w:eastAsia="Calibri" w:hAnsi="Arial" w:cs="Arial"/>
          <w:color w:val="000000" w:themeColor="text1"/>
          <w:lang w:val="es-CO" w:eastAsia="en-US"/>
        </w:rPr>
        <w:t>oto</w:t>
      </w:r>
      <w:r w:rsidR="004A2646">
        <w:rPr>
          <w:rFonts w:ascii="Arial" w:eastAsia="Calibri" w:hAnsi="Arial" w:cs="Arial"/>
          <w:color w:val="000000" w:themeColor="text1"/>
          <w:lang w:val="es-CO" w:eastAsia="en-US"/>
        </w:rPr>
        <w:t>r</w:t>
      </w:r>
      <w:r w:rsidR="00716376">
        <w:rPr>
          <w:rFonts w:ascii="Arial" w:eastAsia="Calibri" w:hAnsi="Arial" w:cs="Arial"/>
          <w:color w:val="000000" w:themeColor="text1"/>
          <w:lang w:val="es-CO" w:eastAsia="en-US"/>
        </w:rPr>
        <w:t>ga</w:t>
      </w:r>
      <w:r w:rsidR="006161FC">
        <w:rPr>
          <w:rFonts w:ascii="Arial" w:eastAsia="Calibri" w:hAnsi="Arial" w:cs="Arial"/>
          <w:color w:val="000000" w:themeColor="text1"/>
          <w:lang w:val="es-CO" w:eastAsia="en-US"/>
        </w:rPr>
        <w:t>n</w:t>
      </w:r>
      <w:r w:rsidRPr="00944555">
        <w:rPr>
          <w:rFonts w:ascii="Arial" w:eastAsia="Calibri" w:hAnsi="Arial" w:cs="Arial"/>
          <w:color w:val="000000" w:themeColor="text1"/>
          <w:lang w:val="es-CO" w:eastAsia="en-US"/>
        </w:rPr>
        <w:t xml:space="preserve"> facultades a la Comisión de Regulación de Energía y Gas para </w:t>
      </w:r>
      <w:r w:rsidR="00471E9D" w:rsidRPr="00944555">
        <w:rPr>
          <w:rFonts w:ascii="Arial" w:eastAsia="Calibri" w:hAnsi="Arial" w:cs="Arial"/>
          <w:color w:val="000000" w:themeColor="text1"/>
          <w:lang w:val="es-CO" w:eastAsia="en-US"/>
        </w:rPr>
        <w:t>flexibilizar las reglas de comercialización</w:t>
      </w:r>
      <w:r w:rsidR="00B817DA">
        <w:rPr>
          <w:rFonts w:ascii="Arial" w:eastAsia="Calibri" w:hAnsi="Arial" w:cs="Arial"/>
          <w:color w:val="000000" w:themeColor="text1"/>
          <w:lang w:val="es-CO" w:eastAsia="en-US"/>
        </w:rPr>
        <w:t xml:space="preserve"> así</w:t>
      </w:r>
      <w:r w:rsidR="00944555">
        <w:rPr>
          <w:rFonts w:ascii="Arial" w:eastAsia="Calibri" w:hAnsi="Arial" w:cs="Arial"/>
          <w:color w:val="000000" w:themeColor="text1"/>
          <w:lang w:val="es-CO" w:eastAsia="en-US"/>
        </w:rPr>
        <w:t xml:space="preserve">: </w:t>
      </w:r>
    </w:p>
    <w:p w14:paraId="0AFB6949" w14:textId="77777777" w:rsidR="00E318F1" w:rsidRDefault="00E318F1" w:rsidP="004F3E8B">
      <w:pPr>
        <w:ind w:left="0"/>
        <w:contextualSpacing/>
        <w:jc w:val="both"/>
        <w:rPr>
          <w:rFonts w:ascii="Arial" w:eastAsia="Calibri" w:hAnsi="Arial" w:cs="Arial"/>
          <w:lang w:val="es-CO" w:eastAsia="en-US"/>
        </w:rPr>
      </w:pPr>
    </w:p>
    <w:p w14:paraId="5164CBC9" w14:textId="195621CF" w:rsidR="00061CCF" w:rsidRPr="00580DD8" w:rsidRDefault="00580DD8" w:rsidP="00580DD8">
      <w:pPr>
        <w:contextualSpacing/>
        <w:jc w:val="both"/>
        <w:rPr>
          <w:rFonts w:ascii="Arial" w:eastAsia="Calibri" w:hAnsi="Arial" w:cs="Arial"/>
          <w:i/>
          <w:iCs/>
          <w:lang w:val="es-CO" w:eastAsia="en-US"/>
        </w:rPr>
      </w:pPr>
      <w:r w:rsidRPr="00580DD8">
        <w:rPr>
          <w:rFonts w:ascii="Arial" w:eastAsia="Calibri" w:hAnsi="Arial" w:cs="Arial"/>
          <w:i/>
          <w:iCs/>
          <w:lang w:val="es-CO" w:eastAsia="en-US"/>
        </w:rPr>
        <w:t>“</w:t>
      </w:r>
      <w:r w:rsidR="00061CCF" w:rsidRPr="00576CE8">
        <w:rPr>
          <w:rFonts w:ascii="Arial" w:eastAsia="Calibri" w:hAnsi="Arial" w:cs="Arial"/>
          <w:b/>
          <w:bCs/>
          <w:i/>
          <w:iCs/>
          <w:lang w:val="es-CO" w:eastAsia="en-US"/>
        </w:rPr>
        <w:t>Artículo 1.</w:t>
      </w:r>
      <w:r w:rsidR="00061CCF" w:rsidRPr="00580DD8">
        <w:rPr>
          <w:rFonts w:ascii="Arial" w:eastAsia="Calibri" w:hAnsi="Arial" w:cs="Arial"/>
          <w:i/>
          <w:iCs/>
          <w:lang w:val="es-CO" w:eastAsia="en-US"/>
        </w:rPr>
        <w:t xml:space="preserve"> </w:t>
      </w:r>
      <w:r w:rsidR="00061CCF" w:rsidRPr="008F5B99">
        <w:rPr>
          <w:rFonts w:ascii="Arial" w:eastAsia="Calibri" w:hAnsi="Arial" w:cs="Arial"/>
          <w:b/>
          <w:bCs/>
          <w:i/>
          <w:iCs/>
          <w:lang w:val="es-CO" w:eastAsia="en-US"/>
        </w:rPr>
        <w:t>Racionamiento programado de GLP.</w:t>
      </w:r>
      <w:r w:rsidR="00061CCF" w:rsidRPr="00580DD8">
        <w:rPr>
          <w:rFonts w:ascii="Arial" w:eastAsia="Calibri" w:hAnsi="Arial" w:cs="Arial"/>
          <w:i/>
          <w:iCs/>
          <w:lang w:val="es-CO" w:eastAsia="en-US"/>
        </w:rPr>
        <w:t xml:space="preserve"> Declarar el inicio de un racionamiento programado de GLP a nivel nacional con el fin de garantizar la atención prioritaria de la demanda de Gas Licuado de Petróleo (GLP), a partir de las 00:00 horas del día siguiente a la publicación de la presente resolución en el Diario Oficial  </w:t>
      </w:r>
    </w:p>
    <w:p w14:paraId="22EABBAF" w14:textId="77777777" w:rsidR="00061CCF" w:rsidRPr="00576CE8" w:rsidRDefault="00061CCF" w:rsidP="00580DD8">
      <w:pPr>
        <w:contextualSpacing/>
        <w:jc w:val="both"/>
        <w:rPr>
          <w:rFonts w:ascii="Arial" w:eastAsia="Calibri" w:hAnsi="Arial" w:cs="Arial"/>
          <w:b/>
          <w:bCs/>
          <w:i/>
          <w:iCs/>
          <w:lang w:val="es-CO" w:eastAsia="en-US"/>
        </w:rPr>
      </w:pPr>
      <w:r w:rsidRPr="00576CE8">
        <w:rPr>
          <w:rFonts w:ascii="Arial" w:eastAsia="Calibri" w:hAnsi="Arial" w:cs="Arial"/>
          <w:b/>
          <w:bCs/>
          <w:i/>
          <w:iCs/>
          <w:lang w:val="es-CO" w:eastAsia="en-US"/>
        </w:rPr>
        <w:t xml:space="preserve"> </w:t>
      </w:r>
    </w:p>
    <w:p w14:paraId="222EDE00" w14:textId="77777777" w:rsidR="00061CCF" w:rsidRPr="00580DD8" w:rsidRDefault="00061CCF" w:rsidP="00580DD8">
      <w:pPr>
        <w:contextualSpacing/>
        <w:jc w:val="both"/>
        <w:rPr>
          <w:rFonts w:ascii="Arial" w:eastAsia="Calibri" w:hAnsi="Arial" w:cs="Arial"/>
          <w:i/>
          <w:iCs/>
          <w:lang w:val="es-CO" w:eastAsia="en-US"/>
        </w:rPr>
      </w:pPr>
      <w:r w:rsidRPr="00576CE8">
        <w:rPr>
          <w:rFonts w:ascii="Arial" w:eastAsia="Calibri" w:hAnsi="Arial" w:cs="Arial"/>
          <w:b/>
          <w:bCs/>
          <w:i/>
          <w:iCs/>
          <w:lang w:val="es-CO" w:eastAsia="en-US"/>
        </w:rPr>
        <w:t>Artículo 2.</w:t>
      </w:r>
      <w:r w:rsidRPr="00580DD8">
        <w:rPr>
          <w:rFonts w:ascii="Arial" w:eastAsia="Calibri" w:hAnsi="Arial" w:cs="Arial"/>
          <w:i/>
          <w:iCs/>
          <w:lang w:val="es-CO" w:eastAsia="en-US"/>
        </w:rPr>
        <w:t xml:space="preserve"> </w:t>
      </w:r>
      <w:r w:rsidRPr="008F5B99">
        <w:rPr>
          <w:rFonts w:ascii="Arial" w:eastAsia="Calibri" w:hAnsi="Arial" w:cs="Arial"/>
          <w:b/>
          <w:bCs/>
          <w:i/>
          <w:iCs/>
          <w:lang w:val="es-CO" w:eastAsia="en-US"/>
        </w:rPr>
        <w:t>Comercialización de GLP para la atención de la demanda.</w:t>
      </w:r>
      <w:r w:rsidRPr="00580DD8">
        <w:rPr>
          <w:rFonts w:ascii="Arial" w:eastAsia="Calibri" w:hAnsi="Arial" w:cs="Arial"/>
          <w:i/>
          <w:iCs/>
          <w:lang w:val="es-CO" w:eastAsia="en-US"/>
        </w:rPr>
        <w:t xml:space="preserve"> Como consecuencia de la declaratoria de racionamiento programado de GLP, objeto del presente acto administrativo, la Comisión de Regulación de Energía y Gas, CREG, deberá establecer los lineamient</w:t>
      </w:r>
      <w:bookmarkStart w:id="1" w:name="_Hlk147242844"/>
      <w:r w:rsidRPr="00580DD8">
        <w:rPr>
          <w:rFonts w:ascii="Arial" w:eastAsia="Calibri" w:hAnsi="Arial" w:cs="Arial"/>
          <w:i/>
          <w:iCs/>
          <w:lang w:val="es-CO" w:eastAsia="en-US"/>
        </w:rPr>
        <w:t>os para flexibilizar las reglas de comercialización previstas en la Resolución CREG 053 de 2011 o las normas que la modifiquen o a</w:t>
      </w:r>
      <w:bookmarkEnd w:id="1"/>
      <w:r w:rsidRPr="00580DD8">
        <w:rPr>
          <w:rFonts w:ascii="Arial" w:eastAsia="Calibri" w:hAnsi="Arial" w:cs="Arial"/>
          <w:i/>
          <w:iCs/>
          <w:lang w:val="es-CO" w:eastAsia="en-US"/>
        </w:rPr>
        <w:t xml:space="preserve">dicionen. </w:t>
      </w:r>
    </w:p>
    <w:p w14:paraId="7B076D07" w14:textId="77777777" w:rsidR="00061CCF" w:rsidRPr="00580DD8" w:rsidRDefault="00061CCF" w:rsidP="00580DD8">
      <w:pPr>
        <w:contextualSpacing/>
        <w:jc w:val="both"/>
        <w:rPr>
          <w:rFonts w:ascii="Arial" w:eastAsia="Calibri" w:hAnsi="Arial" w:cs="Arial"/>
          <w:i/>
          <w:iCs/>
          <w:lang w:val="es-CO" w:eastAsia="en-US"/>
        </w:rPr>
      </w:pPr>
      <w:r w:rsidRPr="00580DD8">
        <w:rPr>
          <w:rFonts w:ascii="Arial" w:eastAsia="Calibri" w:hAnsi="Arial" w:cs="Arial"/>
          <w:i/>
          <w:iCs/>
          <w:lang w:val="es-CO" w:eastAsia="en-US"/>
        </w:rPr>
        <w:t xml:space="preserve"> </w:t>
      </w:r>
    </w:p>
    <w:p w14:paraId="66EEAD3C" w14:textId="77777777" w:rsidR="00061CCF" w:rsidRPr="00580DD8" w:rsidRDefault="00061CCF" w:rsidP="00580DD8">
      <w:pPr>
        <w:contextualSpacing/>
        <w:jc w:val="both"/>
        <w:rPr>
          <w:rFonts w:ascii="Arial" w:eastAsia="Calibri" w:hAnsi="Arial" w:cs="Arial"/>
          <w:i/>
          <w:iCs/>
          <w:lang w:val="es-CO" w:eastAsia="en-US"/>
        </w:rPr>
      </w:pPr>
      <w:r w:rsidRPr="00576CE8">
        <w:rPr>
          <w:rFonts w:ascii="Arial" w:eastAsia="Calibri" w:hAnsi="Arial" w:cs="Arial"/>
          <w:b/>
          <w:bCs/>
          <w:i/>
          <w:iCs/>
          <w:lang w:val="es-CO" w:eastAsia="en-US"/>
        </w:rPr>
        <w:t>Parágrafo 1.</w:t>
      </w:r>
      <w:r w:rsidRPr="00580DD8">
        <w:rPr>
          <w:rFonts w:ascii="Arial" w:eastAsia="Calibri" w:hAnsi="Arial" w:cs="Arial"/>
          <w:i/>
          <w:iCs/>
          <w:lang w:val="es-CO" w:eastAsia="en-US"/>
        </w:rPr>
        <w:t xml:space="preserve"> Los distribuidores de GLP deberán informar oportunamente a la CREG las alternativas identificadas para atender la demanda nacional y que pueda ser evaluada por la citada Comisión en la expedición de las medidas de que trata este artículo, con base en la información adicional que esa entidad requiera para dar cumplimiento a lo aquí previsto. </w:t>
      </w:r>
    </w:p>
    <w:p w14:paraId="6D78D533" w14:textId="77777777" w:rsidR="00061CCF" w:rsidRPr="00580DD8" w:rsidRDefault="00061CCF" w:rsidP="00580DD8">
      <w:pPr>
        <w:contextualSpacing/>
        <w:jc w:val="both"/>
        <w:rPr>
          <w:rFonts w:ascii="Arial" w:eastAsia="Calibri" w:hAnsi="Arial" w:cs="Arial"/>
          <w:i/>
          <w:iCs/>
          <w:lang w:val="es-CO" w:eastAsia="en-US"/>
        </w:rPr>
      </w:pPr>
      <w:r w:rsidRPr="00580DD8">
        <w:rPr>
          <w:rFonts w:ascii="Arial" w:eastAsia="Calibri" w:hAnsi="Arial" w:cs="Arial"/>
          <w:i/>
          <w:iCs/>
          <w:lang w:val="es-CO" w:eastAsia="en-US"/>
        </w:rPr>
        <w:t xml:space="preserve"> </w:t>
      </w:r>
    </w:p>
    <w:p w14:paraId="4F97EFC6" w14:textId="0E58CABB" w:rsidR="00061CCF" w:rsidRPr="00580DD8" w:rsidRDefault="00061CCF" w:rsidP="00580DD8">
      <w:pPr>
        <w:contextualSpacing/>
        <w:jc w:val="both"/>
        <w:rPr>
          <w:rFonts w:ascii="Arial" w:eastAsia="Calibri" w:hAnsi="Arial" w:cs="Arial"/>
          <w:i/>
          <w:iCs/>
          <w:lang w:val="es-CO" w:eastAsia="en-US"/>
        </w:rPr>
      </w:pPr>
      <w:r w:rsidRPr="00576CE8">
        <w:rPr>
          <w:rFonts w:ascii="Arial" w:eastAsia="Calibri" w:hAnsi="Arial" w:cs="Arial"/>
          <w:b/>
          <w:bCs/>
          <w:i/>
          <w:iCs/>
          <w:lang w:val="es-CO" w:eastAsia="en-US"/>
        </w:rPr>
        <w:t xml:space="preserve">Parágrafo 2. </w:t>
      </w:r>
      <w:r w:rsidRPr="00580DD8">
        <w:rPr>
          <w:rFonts w:ascii="Arial" w:eastAsia="Calibri" w:hAnsi="Arial" w:cs="Arial"/>
          <w:i/>
          <w:iCs/>
          <w:lang w:val="es-CO" w:eastAsia="en-US"/>
        </w:rPr>
        <w:t>Esta disposición no implicará el pago de penalidades o compensaciones por parte de los agentes cuyos contratos sean modificados, ni podrá entenderse como costos adicionales para los comercializadores mayoristas</w:t>
      </w:r>
      <w:r w:rsidR="00580DD8" w:rsidRPr="00580DD8">
        <w:rPr>
          <w:rFonts w:ascii="Arial" w:eastAsia="Calibri" w:hAnsi="Arial" w:cs="Arial"/>
          <w:i/>
          <w:iCs/>
          <w:lang w:val="es-CO" w:eastAsia="en-US"/>
        </w:rPr>
        <w:t>”</w:t>
      </w:r>
      <w:r w:rsidRPr="00580DD8">
        <w:rPr>
          <w:rFonts w:ascii="Arial" w:eastAsia="Calibri" w:hAnsi="Arial" w:cs="Arial"/>
          <w:i/>
          <w:iCs/>
          <w:lang w:val="es-CO" w:eastAsia="en-US"/>
        </w:rPr>
        <w:t xml:space="preserve">.  </w:t>
      </w:r>
    </w:p>
    <w:p w14:paraId="5BA680AE" w14:textId="77777777" w:rsidR="00061CCF" w:rsidRDefault="00061CCF" w:rsidP="004F3E8B">
      <w:pPr>
        <w:ind w:left="0"/>
        <w:contextualSpacing/>
        <w:jc w:val="both"/>
        <w:rPr>
          <w:rFonts w:ascii="Arial" w:eastAsia="Calibri" w:hAnsi="Arial" w:cs="Arial"/>
          <w:lang w:val="es-CO" w:eastAsia="en-US"/>
        </w:rPr>
      </w:pPr>
    </w:p>
    <w:p w14:paraId="2483DBE7" w14:textId="1680AECA" w:rsidR="00061CCF" w:rsidRDefault="00C27427" w:rsidP="004F3E8B">
      <w:pPr>
        <w:ind w:left="0"/>
        <w:contextualSpacing/>
        <w:jc w:val="both"/>
        <w:rPr>
          <w:rFonts w:ascii="Arial" w:eastAsia="Calibri" w:hAnsi="Arial" w:cs="Arial"/>
          <w:lang w:val="es-CO" w:eastAsia="en-US"/>
        </w:rPr>
      </w:pPr>
      <w:r>
        <w:rPr>
          <w:rFonts w:ascii="Arial" w:eastAsia="Calibri" w:hAnsi="Arial" w:cs="Arial"/>
          <w:lang w:val="es-CO" w:eastAsia="en-US"/>
        </w:rPr>
        <w:t xml:space="preserve">De otra parte, en relación con la vigencia, </w:t>
      </w:r>
      <w:r w:rsidR="00600B5F">
        <w:rPr>
          <w:rFonts w:ascii="Arial" w:eastAsia="Calibri" w:hAnsi="Arial" w:cs="Arial"/>
          <w:lang w:val="es-CO" w:eastAsia="en-US"/>
        </w:rPr>
        <w:t xml:space="preserve">la </w:t>
      </w:r>
      <w:r>
        <w:rPr>
          <w:rFonts w:ascii="Arial" w:eastAsia="Calibri" w:hAnsi="Arial" w:cs="Arial"/>
          <w:lang w:val="es-CO" w:eastAsia="en-US"/>
        </w:rPr>
        <w:t>resolución</w:t>
      </w:r>
      <w:r w:rsidR="00600B5F">
        <w:rPr>
          <w:rFonts w:ascii="Arial" w:eastAsia="Calibri" w:hAnsi="Arial" w:cs="Arial"/>
          <w:lang w:val="es-CO" w:eastAsia="en-US"/>
        </w:rPr>
        <w:t xml:space="preserve"> en mención</w:t>
      </w:r>
      <w:r>
        <w:rPr>
          <w:rFonts w:ascii="Arial" w:eastAsia="Calibri" w:hAnsi="Arial" w:cs="Arial"/>
          <w:lang w:val="es-CO" w:eastAsia="en-US"/>
        </w:rPr>
        <w:t xml:space="preserve"> </w:t>
      </w:r>
      <w:r w:rsidR="00600B5F">
        <w:rPr>
          <w:rFonts w:ascii="Arial" w:eastAsia="Calibri" w:hAnsi="Arial" w:cs="Arial"/>
          <w:lang w:val="es-CO" w:eastAsia="en-US"/>
        </w:rPr>
        <w:t>establece</w:t>
      </w:r>
      <w:r>
        <w:rPr>
          <w:rFonts w:ascii="Arial" w:eastAsia="Calibri" w:hAnsi="Arial" w:cs="Arial"/>
          <w:lang w:val="es-CO" w:eastAsia="en-US"/>
        </w:rPr>
        <w:t xml:space="preserve"> lo siguiente:</w:t>
      </w:r>
    </w:p>
    <w:p w14:paraId="73859CD4" w14:textId="77777777" w:rsidR="00C27427" w:rsidRDefault="00C27427" w:rsidP="004F3E8B">
      <w:pPr>
        <w:ind w:left="0"/>
        <w:contextualSpacing/>
        <w:jc w:val="both"/>
        <w:rPr>
          <w:rFonts w:ascii="Arial" w:eastAsia="Calibri" w:hAnsi="Arial" w:cs="Arial"/>
          <w:lang w:val="es-CO" w:eastAsia="en-US"/>
        </w:rPr>
      </w:pPr>
    </w:p>
    <w:p w14:paraId="62EA8118" w14:textId="0C792997" w:rsidR="00C27427" w:rsidRPr="00C27427" w:rsidRDefault="00C27427" w:rsidP="00C27427">
      <w:pPr>
        <w:contextualSpacing/>
        <w:jc w:val="both"/>
        <w:rPr>
          <w:rFonts w:ascii="Arial" w:eastAsia="Calibri" w:hAnsi="Arial" w:cs="Arial"/>
          <w:i/>
          <w:iCs/>
          <w:lang w:val="es-CO" w:eastAsia="en-US"/>
        </w:rPr>
      </w:pPr>
      <w:r>
        <w:rPr>
          <w:rFonts w:ascii="Arial" w:eastAsia="Calibri" w:hAnsi="Arial" w:cs="Arial"/>
          <w:i/>
          <w:iCs/>
          <w:lang w:val="es-CO" w:eastAsia="en-US"/>
        </w:rPr>
        <w:t>“</w:t>
      </w:r>
      <w:r w:rsidRPr="00C27427">
        <w:rPr>
          <w:rFonts w:ascii="Arial" w:eastAsia="Calibri" w:hAnsi="Arial" w:cs="Arial"/>
          <w:b/>
          <w:bCs/>
          <w:i/>
          <w:iCs/>
          <w:lang w:val="es-CO" w:eastAsia="en-US"/>
        </w:rPr>
        <w:t>Artículo 5. Vigencia.</w:t>
      </w:r>
      <w:r w:rsidRPr="00C27427">
        <w:rPr>
          <w:rFonts w:ascii="Arial" w:eastAsia="Calibri" w:hAnsi="Arial" w:cs="Arial"/>
          <w:i/>
          <w:iCs/>
          <w:lang w:val="es-CO" w:eastAsia="en-US"/>
        </w:rPr>
        <w:t xml:space="preserve"> El racionamiento previsto en esta Resolución estará vigente hasta que se restablezca la continuidad del abastecimiento o se garantice el tránsito para el abastecimiento de GLP por más de una vía desde y hacia los campos de Cusiana y </w:t>
      </w:r>
      <w:proofErr w:type="spellStart"/>
      <w:r w:rsidRPr="00C27427">
        <w:rPr>
          <w:rFonts w:ascii="Arial" w:eastAsia="Calibri" w:hAnsi="Arial" w:cs="Arial"/>
          <w:i/>
          <w:iCs/>
          <w:lang w:val="es-CO" w:eastAsia="en-US"/>
        </w:rPr>
        <w:t>Cupiag</w:t>
      </w:r>
      <w:r w:rsidR="00405A22">
        <w:rPr>
          <w:rFonts w:ascii="Arial" w:eastAsia="Calibri" w:hAnsi="Arial" w:cs="Arial"/>
          <w:i/>
          <w:iCs/>
          <w:lang w:val="es-CO" w:eastAsia="en-US"/>
        </w:rPr>
        <w:t>u</w:t>
      </w:r>
      <w:r w:rsidRPr="00C27427">
        <w:rPr>
          <w:rFonts w:ascii="Arial" w:eastAsia="Calibri" w:hAnsi="Arial" w:cs="Arial"/>
          <w:i/>
          <w:iCs/>
          <w:lang w:val="es-CO" w:eastAsia="en-US"/>
        </w:rPr>
        <w:t>a</w:t>
      </w:r>
      <w:proofErr w:type="spellEnd"/>
      <w:r w:rsidRPr="00C27427">
        <w:rPr>
          <w:rFonts w:ascii="Arial" w:eastAsia="Calibri" w:hAnsi="Arial" w:cs="Arial"/>
          <w:i/>
          <w:iCs/>
          <w:lang w:val="es-CO" w:eastAsia="en-US"/>
        </w:rPr>
        <w:t xml:space="preserve">. </w:t>
      </w:r>
    </w:p>
    <w:p w14:paraId="596760B7" w14:textId="77777777" w:rsidR="00C27427" w:rsidRPr="00C27427" w:rsidRDefault="00C27427" w:rsidP="00C27427">
      <w:pPr>
        <w:contextualSpacing/>
        <w:jc w:val="both"/>
        <w:rPr>
          <w:rFonts w:ascii="Arial" w:eastAsia="Calibri" w:hAnsi="Arial" w:cs="Arial"/>
          <w:i/>
          <w:iCs/>
          <w:lang w:val="es-CO" w:eastAsia="en-US"/>
        </w:rPr>
      </w:pPr>
      <w:r w:rsidRPr="00C27427">
        <w:rPr>
          <w:rFonts w:ascii="Arial" w:eastAsia="Calibri" w:hAnsi="Arial" w:cs="Arial"/>
          <w:i/>
          <w:iCs/>
          <w:lang w:val="es-CO" w:eastAsia="en-US"/>
        </w:rPr>
        <w:t xml:space="preserve"> </w:t>
      </w:r>
    </w:p>
    <w:p w14:paraId="6B5B8B49" w14:textId="44AE7887" w:rsidR="00C27427" w:rsidRPr="00C27427" w:rsidRDefault="00C27427" w:rsidP="00C27427">
      <w:pPr>
        <w:contextualSpacing/>
        <w:jc w:val="both"/>
        <w:rPr>
          <w:rFonts w:ascii="Arial" w:eastAsia="Calibri" w:hAnsi="Arial" w:cs="Arial"/>
          <w:i/>
          <w:iCs/>
          <w:lang w:val="es-CO" w:eastAsia="en-US"/>
        </w:rPr>
      </w:pPr>
      <w:r w:rsidRPr="00C27427">
        <w:rPr>
          <w:rFonts w:ascii="Arial" w:eastAsia="Calibri" w:hAnsi="Arial" w:cs="Arial"/>
          <w:i/>
          <w:iCs/>
          <w:lang w:val="es-CO" w:eastAsia="en-US"/>
        </w:rPr>
        <w:t xml:space="preserve">El </w:t>
      </w:r>
      <w:bookmarkStart w:id="2" w:name="_Hlk147254268"/>
      <w:r w:rsidRPr="00C27427">
        <w:rPr>
          <w:rFonts w:ascii="Arial" w:eastAsia="Calibri" w:hAnsi="Arial" w:cs="Arial"/>
          <w:i/>
          <w:iCs/>
          <w:lang w:val="es-CO" w:eastAsia="en-US"/>
        </w:rPr>
        <w:t xml:space="preserve">Ministerio de Minas y Energía </w:t>
      </w:r>
      <w:bookmarkEnd w:id="2"/>
      <w:r w:rsidRPr="00C27427">
        <w:rPr>
          <w:rFonts w:ascii="Arial" w:eastAsia="Calibri" w:hAnsi="Arial" w:cs="Arial"/>
          <w:i/>
          <w:iCs/>
          <w:lang w:val="es-CO" w:eastAsia="en-US"/>
        </w:rPr>
        <w:t>determinará mediante acto administrativo la fecha de cese del racionamiento declarado en la presente Resolución</w:t>
      </w:r>
      <w:r>
        <w:rPr>
          <w:rFonts w:ascii="Arial" w:eastAsia="Calibri" w:hAnsi="Arial" w:cs="Arial"/>
          <w:i/>
          <w:iCs/>
          <w:lang w:val="es-CO" w:eastAsia="en-US"/>
        </w:rPr>
        <w:t>”</w:t>
      </w:r>
      <w:r w:rsidRPr="00C27427">
        <w:rPr>
          <w:rFonts w:ascii="Arial" w:eastAsia="Calibri" w:hAnsi="Arial" w:cs="Arial"/>
          <w:i/>
          <w:iCs/>
          <w:lang w:val="es-CO" w:eastAsia="en-US"/>
        </w:rPr>
        <w:t xml:space="preserve">.  </w:t>
      </w:r>
    </w:p>
    <w:p w14:paraId="3B981CB5" w14:textId="77777777" w:rsidR="00C27427" w:rsidRDefault="00C27427" w:rsidP="004F3E8B">
      <w:pPr>
        <w:ind w:left="0"/>
        <w:contextualSpacing/>
        <w:jc w:val="both"/>
        <w:rPr>
          <w:rFonts w:ascii="Arial" w:eastAsia="Calibri" w:hAnsi="Arial" w:cs="Arial"/>
          <w:lang w:val="es-CO" w:eastAsia="en-US"/>
        </w:rPr>
      </w:pPr>
    </w:p>
    <w:p w14:paraId="529FFE7A" w14:textId="6994436E" w:rsidR="00D109BF" w:rsidRDefault="00BF0F7B" w:rsidP="004B20FC">
      <w:pPr>
        <w:ind w:left="0"/>
        <w:rPr>
          <w:rFonts w:ascii="Arial" w:eastAsia="Calibri" w:hAnsi="Arial" w:cs="Arial"/>
          <w:lang w:val="es-CO" w:eastAsia="en-US"/>
        </w:rPr>
      </w:pPr>
      <w:r w:rsidRPr="0038240A">
        <w:rPr>
          <w:rFonts w:ascii="Arial" w:eastAsia="Calibri" w:hAnsi="Arial" w:cs="Arial"/>
          <w:lang w:val="es-CO" w:eastAsia="en-US"/>
        </w:rPr>
        <w:t xml:space="preserve">En virtud de lo anterior, </w:t>
      </w:r>
      <w:r w:rsidR="00AE2DA2">
        <w:rPr>
          <w:rFonts w:ascii="Arial" w:eastAsia="Calibri" w:hAnsi="Arial" w:cs="Arial"/>
          <w:lang w:val="es-CO" w:eastAsia="en-US"/>
        </w:rPr>
        <w:t>y atendiendo a información sumini</w:t>
      </w:r>
      <w:r w:rsidR="00AE56A3">
        <w:rPr>
          <w:rFonts w:ascii="Arial" w:eastAsia="Calibri" w:hAnsi="Arial" w:cs="Arial"/>
          <w:lang w:val="es-CO" w:eastAsia="en-US"/>
        </w:rPr>
        <w:t>s</w:t>
      </w:r>
      <w:r w:rsidR="00AE2DA2">
        <w:rPr>
          <w:rFonts w:ascii="Arial" w:eastAsia="Calibri" w:hAnsi="Arial" w:cs="Arial"/>
          <w:lang w:val="es-CO" w:eastAsia="en-US"/>
        </w:rPr>
        <w:t xml:space="preserve">trada </w:t>
      </w:r>
      <w:r w:rsidR="00AE56A3">
        <w:rPr>
          <w:rFonts w:ascii="Arial" w:eastAsia="Calibri" w:hAnsi="Arial" w:cs="Arial"/>
          <w:lang w:val="es-CO" w:eastAsia="en-US"/>
        </w:rPr>
        <w:t xml:space="preserve">a esta Comisión por la </w:t>
      </w:r>
      <w:r w:rsidR="00FE5C99">
        <w:rPr>
          <w:rFonts w:ascii="Arial" w:eastAsia="Calibri" w:hAnsi="Arial" w:cs="Arial"/>
          <w:lang w:val="es-CO" w:eastAsia="en-US"/>
        </w:rPr>
        <w:t>D</w:t>
      </w:r>
      <w:r w:rsidR="00AE56A3">
        <w:rPr>
          <w:rFonts w:ascii="Arial" w:eastAsia="Calibri" w:hAnsi="Arial" w:cs="Arial"/>
          <w:lang w:val="es-CO" w:eastAsia="en-US"/>
        </w:rPr>
        <w:t xml:space="preserve">irección de Hidrocarburos del </w:t>
      </w:r>
      <w:r w:rsidR="00AE56A3" w:rsidRPr="00AE56A3">
        <w:rPr>
          <w:rFonts w:ascii="Arial" w:eastAsia="Calibri" w:hAnsi="Arial" w:cs="Arial"/>
          <w:lang w:val="es-CO" w:eastAsia="en-US"/>
        </w:rPr>
        <w:t>Ministerio de Minas y Energía</w:t>
      </w:r>
      <w:r w:rsidR="00AE56A3">
        <w:rPr>
          <w:rFonts w:ascii="Arial" w:eastAsia="Calibri" w:hAnsi="Arial" w:cs="Arial"/>
          <w:lang w:val="es-CO" w:eastAsia="en-US"/>
        </w:rPr>
        <w:t>,</w:t>
      </w:r>
      <w:r w:rsidR="00AE56A3" w:rsidRPr="00AE56A3">
        <w:rPr>
          <w:rFonts w:ascii="Arial" w:eastAsia="Calibri" w:hAnsi="Arial" w:cs="Arial"/>
          <w:lang w:val="es-CO" w:eastAsia="en-US"/>
        </w:rPr>
        <w:t xml:space="preserve"> </w:t>
      </w:r>
      <w:r w:rsidR="00FE5C99">
        <w:rPr>
          <w:rFonts w:ascii="Arial" w:eastAsia="Calibri" w:hAnsi="Arial" w:cs="Arial"/>
          <w:lang w:val="es-CO" w:eastAsia="en-US"/>
        </w:rPr>
        <w:t>se</w:t>
      </w:r>
      <w:r w:rsidRPr="0038240A">
        <w:rPr>
          <w:rFonts w:ascii="Arial" w:eastAsia="Calibri" w:hAnsi="Arial" w:cs="Arial"/>
          <w:lang w:val="es-CO" w:eastAsia="en-US"/>
        </w:rPr>
        <w:t xml:space="preserve"> evidencia </w:t>
      </w:r>
      <w:r w:rsidR="00BC2294" w:rsidRPr="00BC2294">
        <w:rPr>
          <w:rFonts w:ascii="Arial" w:eastAsia="Calibri" w:hAnsi="Arial" w:cs="Arial"/>
          <w:lang w:val="es-CO" w:eastAsia="en-US"/>
        </w:rPr>
        <w:t>que existe un potencial déficit de</w:t>
      </w:r>
      <w:r w:rsidR="00BC2294">
        <w:rPr>
          <w:rFonts w:ascii="Arial" w:eastAsia="Calibri" w:hAnsi="Arial" w:cs="Arial"/>
          <w:lang w:val="es-CO" w:eastAsia="en-US"/>
        </w:rPr>
        <w:t xml:space="preserve"> </w:t>
      </w:r>
      <w:r w:rsidR="00BC2294" w:rsidRPr="00BC2294">
        <w:rPr>
          <w:rFonts w:ascii="Arial" w:eastAsia="Calibri" w:hAnsi="Arial" w:cs="Arial"/>
          <w:lang w:val="es-CO" w:eastAsia="en-US"/>
        </w:rPr>
        <w:t>oferta de GLP debido a las dificultades de acceso</w:t>
      </w:r>
      <w:r w:rsidR="00D109BF">
        <w:rPr>
          <w:rFonts w:ascii="Arial" w:eastAsia="Calibri" w:hAnsi="Arial" w:cs="Arial"/>
          <w:lang w:val="es-CO" w:eastAsia="en-US"/>
        </w:rPr>
        <w:t xml:space="preserve"> y </w:t>
      </w:r>
      <w:r w:rsidR="00996633">
        <w:rPr>
          <w:rFonts w:ascii="Arial" w:eastAsia="Calibri" w:hAnsi="Arial" w:cs="Arial"/>
          <w:lang w:val="es-CO" w:eastAsia="en-US"/>
        </w:rPr>
        <w:t>continuos</w:t>
      </w:r>
      <w:r w:rsidR="00D109BF">
        <w:rPr>
          <w:rFonts w:ascii="Arial" w:eastAsia="Calibri" w:hAnsi="Arial" w:cs="Arial"/>
          <w:lang w:val="es-CO" w:eastAsia="en-US"/>
        </w:rPr>
        <w:t xml:space="preserve"> ci</w:t>
      </w:r>
      <w:r w:rsidR="00996633">
        <w:rPr>
          <w:rFonts w:ascii="Arial" w:eastAsia="Calibri" w:hAnsi="Arial" w:cs="Arial"/>
          <w:lang w:val="es-CO" w:eastAsia="en-US"/>
        </w:rPr>
        <w:t>e</w:t>
      </w:r>
      <w:r w:rsidR="00D109BF">
        <w:rPr>
          <w:rFonts w:ascii="Arial" w:eastAsia="Calibri" w:hAnsi="Arial" w:cs="Arial"/>
          <w:lang w:val="es-CO" w:eastAsia="en-US"/>
        </w:rPr>
        <w:t>rr</w:t>
      </w:r>
      <w:r w:rsidR="00996633">
        <w:rPr>
          <w:rFonts w:ascii="Arial" w:eastAsia="Calibri" w:hAnsi="Arial" w:cs="Arial"/>
          <w:lang w:val="es-CO" w:eastAsia="en-US"/>
        </w:rPr>
        <w:t>e</w:t>
      </w:r>
      <w:r w:rsidR="00D109BF">
        <w:rPr>
          <w:rFonts w:ascii="Arial" w:eastAsia="Calibri" w:hAnsi="Arial" w:cs="Arial"/>
          <w:lang w:val="es-CO" w:eastAsia="en-US"/>
        </w:rPr>
        <w:t>s</w:t>
      </w:r>
      <w:r w:rsidR="00BC2294">
        <w:rPr>
          <w:rFonts w:ascii="Arial" w:eastAsia="Calibri" w:hAnsi="Arial" w:cs="Arial"/>
          <w:lang w:val="es-CO" w:eastAsia="en-US"/>
        </w:rPr>
        <w:t xml:space="preserve"> en las vías</w:t>
      </w:r>
      <w:r w:rsidR="00996633">
        <w:rPr>
          <w:rFonts w:ascii="Arial" w:eastAsia="Calibri" w:hAnsi="Arial" w:cs="Arial"/>
          <w:lang w:val="es-CO" w:eastAsia="en-US"/>
        </w:rPr>
        <w:t xml:space="preserve">, de hasta </w:t>
      </w:r>
      <w:r w:rsidR="001B51E7">
        <w:rPr>
          <w:rFonts w:ascii="Arial" w:eastAsia="Calibri" w:hAnsi="Arial" w:cs="Arial"/>
          <w:lang w:val="es-CO" w:eastAsia="en-US"/>
        </w:rPr>
        <w:t>cuatro (</w:t>
      </w:r>
      <w:r w:rsidR="00FD0D47">
        <w:rPr>
          <w:rFonts w:ascii="Arial" w:eastAsia="Calibri" w:hAnsi="Arial" w:cs="Arial"/>
          <w:lang w:val="es-CO" w:eastAsia="en-US"/>
        </w:rPr>
        <w:t>4</w:t>
      </w:r>
      <w:r w:rsidR="001B51E7">
        <w:rPr>
          <w:rFonts w:ascii="Arial" w:eastAsia="Calibri" w:hAnsi="Arial" w:cs="Arial"/>
          <w:lang w:val="es-CO" w:eastAsia="en-US"/>
        </w:rPr>
        <w:t>)</w:t>
      </w:r>
      <w:r w:rsidR="00FD0D47">
        <w:rPr>
          <w:rFonts w:ascii="Arial" w:eastAsia="Calibri" w:hAnsi="Arial" w:cs="Arial"/>
          <w:lang w:val="es-CO" w:eastAsia="en-US"/>
        </w:rPr>
        <w:t xml:space="preserve"> días,</w:t>
      </w:r>
      <w:r w:rsidR="00BC2294">
        <w:rPr>
          <w:rFonts w:ascii="Arial" w:eastAsia="Calibri" w:hAnsi="Arial" w:cs="Arial"/>
          <w:lang w:val="es-CO" w:eastAsia="en-US"/>
        </w:rPr>
        <w:t xml:space="preserve"> </w:t>
      </w:r>
      <w:r w:rsidR="00845813">
        <w:rPr>
          <w:rFonts w:ascii="Arial" w:eastAsia="Calibri" w:hAnsi="Arial" w:cs="Arial"/>
          <w:lang w:val="es-CO" w:eastAsia="en-US"/>
        </w:rPr>
        <w:t xml:space="preserve">por donde se transporta el producto proveniente de las fuentes de producción de Cusiana y </w:t>
      </w:r>
      <w:proofErr w:type="spellStart"/>
      <w:r w:rsidR="00845813">
        <w:rPr>
          <w:rFonts w:ascii="Arial" w:eastAsia="Calibri" w:hAnsi="Arial" w:cs="Arial"/>
          <w:lang w:val="es-CO" w:eastAsia="en-US"/>
        </w:rPr>
        <w:t>Cupiagua</w:t>
      </w:r>
      <w:proofErr w:type="spellEnd"/>
      <w:r w:rsidR="00242C0B">
        <w:rPr>
          <w:rFonts w:ascii="Arial" w:eastAsia="Calibri" w:hAnsi="Arial" w:cs="Arial"/>
          <w:lang w:val="es-CO" w:eastAsia="en-US"/>
        </w:rPr>
        <w:t>.</w:t>
      </w:r>
    </w:p>
    <w:p w14:paraId="1894F066" w14:textId="77777777" w:rsidR="00D109BF" w:rsidRDefault="00D109BF" w:rsidP="004B20FC">
      <w:pPr>
        <w:ind w:left="0"/>
        <w:rPr>
          <w:rFonts w:ascii="Arial" w:eastAsia="Calibri" w:hAnsi="Arial" w:cs="Arial"/>
          <w:lang w:val="es-CO" w:eastAsia="en-US"/>
        </w:rPr>
      </w:pPr>
    </w:p>
    <w:p w14:paraId="4FDA9E60" w14:textId="3F55300E" w:rsidR="00BF0F7B" w:rsidRPr="0038240A" w:rsidRDefault="00BF0F7B" w:rsidP="004F3E8B">
      <w:pPr>
        <w:ind w:left="0"/>
        <w:contextualSpacing/>
        <w:jc w:val="both"/>
        <w:rPr>
          <w:rFonts w:ascii="Arial" w:eastAsia="Calibri" w:hAnsi="Arial" w:cs="Arial"/>
          <w:lang w:val="es-CO" w:eastAsia="en-US"/>
        </w:rPr>
      </w:pPr>
      <w:r w:rsidRPr="0038240A">
        <w:rPr>
          <w:rFonts w:ascii="Arial" w:eastAsia="Calibri" w:hAnsi="Arial" w:cs="Arial"/>
          <w:lang w:val="es-CO" w:eastAsia="en-US"/>
        </w:rPr>
        <w:lastRenderedPageBreak/>
        <w:t xml:space="preserve">En este sentido, se deben adoptar medidas </w:t>
      </w:r>
      <w:r w:rsidR="0062117D" w:rsidRPr="0038240A">
        <w:rPr>
          <w:rFonts w:ascii="Arial" w:eastAsia="Calibri" w:hAnsi="Arial" w:cs="Arial"/>
          <w:lang w:val="es-CO" w:eastAsia="en-US"/>
        </w:rPr>
        <w:t xml:space="preserve">transitorias </w:t>
      </w:r>
      <w:r w:rsidR="00B655BB">
        <w:rPr>
          <w:rFonts w:ascii="Arial" w:eastAsia="Calibri" w:hAnsi="Arial" w:cs="Arial"/>
          <w:lang w:val="es-CO" w:eastAsia="en-US"/>
        </w:rPr>
        <w:t xml:space="preserve">de urgencia </w:t>
      </w:r>
      <w:r w:rsidRPr="0038240A">
        <w:rPr>
          <w:rFonts w:ascii="Arial" w:eastAsia="Calibri" w:hAnsi="Arial" w:cs="Arial"/>
          <w:lang w:val="es-CO" w:eastAsia="en-US"/>
        </w:rPr>
        <w:t xml:space="preserve">para la comercialización </w:t>
      </w:r>
      <w:r w:rsidR="0075440E" w:rsidRPr="0038240A">
        <w:rPr>
          <w:rFonts w:ascii="Arial" w:eastAsia="Calibri" w:hAnsi="Arial" w:cs="Arial"/>
          <w:lang w:val="es-CO" w:eastAsia="en-US"/>
        </w:rPr>
        <w:t xml:space="preserve">de GLP </w:t>
      </w:r>
      <w:r w:rsidR="00B655BB">
        <w:rPr>
          <w:rFonts w:ascii="Arial" w:eastAsia="Calibri" w:hAnsi="Arial" w:cs="Arial"/>
          <w:lang w:val="es-CO" w:eastAsia="en-US"/>
        </w:rPr>
        <w:t xml:space="preserve">aplicables </w:t>
      </w:r>
      <w:r w:rsidR="0075440E" w:rsidRPr="0038240A">
        <w:rPr>
          <w:rFonts w:ascii="Arial" w:eastAsia="Calibri" w:hAnsi="Arial" w:cs="Arial"/>
          <w:lang w:val="es-CO" w:eastAsia="en-US"/>
        </w:rPr>
        <w:t xml:space="preserve">durante el periodo </w:t>
      </w:r>
      <w:r w:rsidR="00B655BB">
        <w:rPr>
          <w:rFonts w:ascii="Arial" w:eastAsia="Calibri" w:hAnsi="Arial" w:cs="Arial"/>
          <w:lang w:val="es-CO" w:eastAsia="en-US"/>
        </w:rPr>
        <w:t>de vigencia de la declaratoria de</w:t>
      </w:r>
      <w:r w:rsidR="006C564C">
        <w:rPr>
          <w:rFonts w:ascii="Arial" w:eastAsia="Calibri" w:hAnsi="Arial" w:cs="Arial"/>
          <w:lang w:val="es-CO" w:eastAsia="en-US"/>
        </w:rPr>
        <w:t xml:space="preserve"> racionamiento programado</w:t>
      </w:r>
      <w:r w:rsidR="002A4BD0">
        <w:rPr>
          <w:rFonts w:ascii="Arial" w:eastAsia="Calibri" w:hAnsi="Arial" w:cs="Arial"/>
          <w:lang w:val="es-CO" w:eastAsia="en-US"/>
        </w:rPr>
        <w:t xml:space="preserve"> definido mediante la Resolución </w:t>
      </w:r>
      <w:r w:rsidR="00E0111A">
        <w:rPr>
          <w:rFonts w:ascii="Arial" w:eastAsia="Calibri" w:hAnsi="Arial" w:cs="Arial"/>
          <w:color w:val="000000" w:themeColor="text1"/>
          <w:lang w:val="es-CO" w:eastAsia="en-US"/>
        </w:rPr>
        <w:t xml:space="preserve">40593 del 29 de septiembre de 2023 expedida por </w:t>
      </w:r>
      <w:r w:rsidR="00E0111A" w:rsidRPr="00944555">
        <w:rPr>
          <w:rFonts w:ascii="Arial" w:eastAsia="Calibri" w:hAnsi="Arial" w:cs="Arial"/>
          <w:color w:val="000000" w:themeColor="text1"/>
          <w:lang w:val="es-CO" w:eastAsia="en-US"/>
        </w:rPr>
        <w:t>el M</w:t>
      </w:r>
      <w:r w:rsidR="00E0111A">
        <w:rPr>
          <w:rFonts w:ascii="Arial" w:eastAsia="Calibri" w:hAnsi="Arial" w:cs="Arial"/>
          <w:color w:val="000000" w:themeColor="text1"/>
          <w:lang w:val="es-CO" w:eastAsia="en-US"/>
        </w:rPr>
        <w:t xml:space="preserve">inisterio de </w:t>
      </w:r>
      <w:r w:rsidR="00E0111A" w:rsidRPr="00944555">
        <w:rPr>
          <w:rFonts w:ascii="Arial" w:eastAsia="Calibri" w:hAnsi="Arial" w:cs="Arial"/>
          <w:color w:val="000000" w:themeColor="text1"/>
          <w:lang w:val="es-CO" w:eastAsia="en-US"/>
        </w:rPr>
        <w:t>M</w:t>
      </w:r>
      <w:r w:rsidR="00E0111A">
        <w:rPr>
          <w:rFonts w:ascii="Arial" w:eastAsia="Calibri" w:hAnsi="Arial" w:cs="Arial"/>
          <w:color w:val="000000" w:themeColor="text1"/>
          <w:lang w:val="es-CO" w:eastAsia="en-US"/>
        </w:rPr>
        <w:t>inas y Energía</w:t>
      </w:r>
      <w:r w:rsidRPr="0038240A">
        <w:rPr>
          <w:rFonts w:ascii="Arial" w:eastAsia="Calibri" w:hAnsi="Arial" w:cs="Arial"/>
          <w:lang w:val="es-CO" w:eastAsia="en-US"/>
        </w:rPr>
        <w:t>, en aras de dar las señales adecuadas y contribuir a garantizar la continuidad de suministro del GLP para el servicio público domiciliario.</w:t>
      </w:r>
    </w:p>
    <w:p w14:paraId="15834D77" w14:textId="77777777" w:rsidR="00BF0F7B" w:rsidRDefault="00BF0F7B" w:rsidP="00EB32AA">
      <w:pPr>
        <w:ind w:left="0"/>
        <w:rPr>
          <w:rFonts w:ascii="Arial" w:hAnsi="Arial" w:cs="Arial"/>
        </w:rPr>
      </w:pPr>
    </w:p>
    <w:p w14:paraId="693F7BB6" w14:textId="77777777" w:rsidR="00BF0F7B" w:rsidRDefault="00BF0F7B" w:rsidP="00EB32AA">
      <w:pPr>
        <w:suppressAutoHyphens/>
        <w:spacing w:before="240" w:after="120"/>
        <w:ind w:left="0"/>
        <w:jc w:val="center"/>
        <w:rPr>
          <w:rFonts w:ascii="Arial" w:hAnsi="Arial" w:cs="Arial"/>
          <w:b/>
          <w:spacing w:val="-3"/>
        </w:rPr>
      </w:pPr>
      <w:r w:rsidRPr="00D85768">
        <w:rPr>
          <w:rFonts w:ascii="Arial" w:hAnsi="Arial" w:cs="Arial"/>
          <w:b/>
          <w:spacing w:val="-3"/>
        </w:rPr>
        <w:t>R E S U E L V E:</w:t>
      </w:r>
    </w:p>
    <w:p w14:paraId="347DEDBC" w14:textId="77777777" w:rsidR="00BF0F7B" w:rsidRPr="00D85768" w:rsidRDefault="00BF0F7B" w:rsidP="00EB32AA">
      <w:pPr>
        <w:ind w:left="0"/>
        <w:jc w:val="center"/>
        <w:rPr>
          <w:rFonts w:ascii="Arial" w:hAnsi="Arial" w:cs="Arial"/>
        </w:rPr>
      </w:pPr>
    </w:p>
    <w:p w14:paraId="0FACE343" w14:textId="4B6C6BFC" w:rsidR="00973B82" w:rsidRPr="00992467" w:rsidRDefault="00BF0F7B" w:rsidP="00BF0F7B">
      <w:pPr>
        <w:ind w:left="0"/>
        <w:jc w:val="both"/>
        <w:rPr>
          <w:rFonts w:ascii="Arial" w:hAnsi="Arial" w:cs="Arial"/>
        </w:rPr>
      </w:pPr>
      <w:r w:rsidRPr="00FF247C">
        <w:rPr>
          <w:rFonts w:ascii="Arial" w:hAnsi="Arial" w:cs="Arial"/>
          <w:b/>
        </w:rPr>
        <w:t xml:space="preserve">ARTÍCULO 1. </w:t>
      </w:r>
      <w:r w:rsidR="00D17F07">
        <w:rPr>
          <w:rFonts w:ascii="Arial" w:hAnsi="Arial" w:cs="Arial"/>
          <w:b/>
        </w:rPr>
        <w:t>C</w:t>
      </w:r>
      <w:r w:rsidR="00973B82" w:rsidRPr="00973B82">
        <w:rPr>
          <w:rFonts w:ascii="Arial" w:hAnsi="Arial" w:cs="Arial"/>
          <w:b/>
        </w:rPr>
        <w:t xml:space="preserve">omercialización de </w:t>
      </w:r>
      <w:r w:rsidR="00304A56">
        <w:rPr>
          <w:rFonts w:ascii="Arial" w:hAnsi="Arial" w:cs="Arial"/>
          <w:b/>
        </w:rPr>
        <w:t>cantidades a</w:t>
      </w:r>
      <w:r w:rsidR="00D17F07">
        <w:rPr>
          <w:rFonts w:ascii="Arial" w:hAnsi="Arial" w:cs="Arial"/>
          <w:b/>
        </w:rPr>
        <w:t xml:space="preserve">dicionales de </w:t>
      </w:r>
      <w:r w:rsidR="00973B82" w:rsidRPr="00973B82">
        <w:rPr>
          <w:rFonts w:ascii="Arial" w:hAnsi="Arial" w:cs="Arial"/>
          <w:b/>
        </w:rPr>
        <w:t xml:space="preserve">GLP de precio regulado de fuentes distintas a Cusiana y </w:t>
      </w:r>
      <w:proofErr w:type="spellStart"/>
      <w:r w:rsidR="00973B82" w:rsidRPr="00973B82">
        <w:rPr>
          <w:rFonts w:ascii="Arial" w:hAnsi="Arial" w:cs="Arial"/>
          <w:b/>
        </w:rPr>
        <w:t>Cupiagua</w:t>
      </w:r>
      <w:proofErr w:type="spellEnd"/>
      <w:r w:rsidR="00992467">
        <w:rPr>
          <w:rFonts w:ascii="Arial" w:hAnsi="Arial" w:cs="Arial"/>
          <w:b/>
        </w:rPr>
        <w:t xml:space="preserve">. </w:t>
      </w:r>
      <w:r w:rsidR="00992467">
        <w:rPr>
          <w:rFonts w:ascii="Arial" w:hAnsi="Arial" w:cs="Arial"/>
          <w:bCs/>
        </w:rPr>
        <w:t>La c</w:t>
      </w:r>
      <w:r w:rsidR="00992467" w:rsidRPr="00992467">
        <w:rPr>
          <w:rFonts w:ascii="Arial" w:hAnsi="Arial" w:cs="Arial"/>
          <w:bCs/>
        </w:rPr>
        <w:t xml:space="preserve">omercialización de cantidades adicionales de GLP de precio regulado de fuentes distintas a Cusiana y </w:t>
      </w:r>
      <w:proofErr w:type="spellStart"/>
      <w:r w:rsidR="00992467" w:rsidRPr="00992467">
        <w:rPr>
          <w:rFonts w:ascii="Arial" w:hAnsi="Arial" w:cs="Arial"/>
          <w:bCs/>
        </w:rPr>
        <w:t>Cupiagua</w:t>
      </w:r>
      <w:proofErr w:type="spellEnd"/>
      <w:r w:rsidR="00D76091">
        <w:rPr>
          <w:rFonts w:ascii="Arial" w:hAnsi="Arial" w:cs="Arial"/>
          <w:bCs/>
        </w:rPr>
        <w:t xml:space="preserve"> se hará siguiendo el siguiente esquema:</w:t>
      </w:r>
    </w:p>
    <w:p w14:paraId="4FBA7A51" w14:textId="77777777" w:rsidR="00D76091" w:rsidRPr="00792C53" w:rsidRDefault="00D76091" w:rsidP="00BF0F7B">
      <w:pPr>
        <w:ind w:left="0"/>
        <w:jc w:val="both"/>
        <w:rPr>
          <w:rFonts w:ascii="Arial" w:hAnsi="Arial" w:cs="Arial"/>
          <w:bCs/>
        </w:rPr>
      </w:pPr>
    </w:p>
    <w:p w14:paraId="2BB34213" w14:textId="7F1B8440" w:rsidR="00D76091" w:rsidRPr="00792C53" w:rsidRDefault="00D13614" w:rsidP="001E4B97">
      <w:pPr>
        <w:pStyle w:val="Prrafodelista"/>
        <w:numPr>
          <w:ilvl w:val="0"/>
          <w:numId w:val="23"/>
        </w:numPr>
        <w:spacing w:after="240"/>
        <w:ind w:left="714" w:hanging="357"/>
        <w:jc w:val="both"/>
        <w:rPr>
          <w:rFonts w:ascii="Arial" w:hAnsi="Arial" w:cs="Arial"/>
          <w:bCs/>
          <w:sz w:val="24"/>
          <w:szCs w:val="24"/>
        </w:rPr>
      </w:pPr>
      <w:r w:rsidRPr="00D13614">
        <w:rPr>
          <w:rFonts w:ascii="Arial" w:hAnsi="Arial" w:cs="Arial"/>
          <w:bCs/>
          <w:sz w:val="24"/>
          <w:szCs w:val="24"/>
          <w:lang w:val="es-ES"/>
        </w:rPr>
        <w:t>Ecopetrol deberá publicar en su página web</w:t>
      </w:r>
      <w:r w:rsidR="006A1DBB">
        <w:rPr>
          <w:rFonts w:ascii="Arial" w:hAnsi="Arial" w:cs="Arial"/>
          <w:bCs/>
          <w:sz w:val="24"/>
          <w:szCs w:val="24"/>
          <w:lang w:val="es-ES"/>
        </w:rPr>
        <w:t>, por cada fuente</w:t>
      </w:r>
      <w:r w:rsidRPr="00D13614">
        <w:rPr>
          <w:rFonts w:ascii="Arial" w:hAnsi="Arial" w:cs="Arial"/>
          <w:bCs/>
          <w:sz w:val="24"/>
          <w:szCs w:val="24"/>
          <w:lang w:val="es-ES"/>
        </w:rPr>
        <w:t xml:space="preserve"> </w:t>
      </w:r>
      <w:r w:rsidR="00B858C6">
        <w:rPr>
          <w:rFonts w:ascii="Arial" w:hAnsi="Arial" w:cs="Arial"/>
          <w:bCs/>
          <w:sz w:val="24"/>
          <w:szCs w:val="24"/>
          <w:lang w:val="es-ES"/>
        </w:rPr>
        <w:t>que aplique,</w:t>
      </w:r>
      <w:r w:rsidRPr="00D13614">
        <w:rPr>
          <w:rFonts w:ascii="Arial" w:hAnsi="Arial" w:cs="Arial"/>
          <w:bCs/>
          <w:sz w:val="24"/>
          <w:szCs w:val="24"/>
          <w:lang w:val="es-ES"/>
        </w:rPr>
        <w:t xml:space="preserve"> la mayor disponibilidad de producto, por lo menos </w:t>
      </w:r>
      <w:r w:rsidR="00226331">
        <w:rPr>
          <w:rFonts w:ascii="Arial" w:hAnsi="Arial" w:cs="Arial"/>
          <w:bCs/>
          <w:sz w:val="24"/>
          <w:szCs w:val="24"/>
          <w:lang w:val="es-ES"/>
        </w:rPr>
        <w:t>veinte (</w:t>
      </w:r>
      <w:r w:rsidRPr="00D13614">
        <w:rPr>
          <w:rFonts w:ascii="Arial" w:hAnsi="Arial" w:cs="Arial"/>
          <w:bCs/>
          <w:sz w:val="24"/>
          <w:szCs w:val="24"/>
          <w:lang w:val="es-ES"/>
        </w:rPr>
        <w:t>20</w:t>
      </w:r>
      <w:r w:rsidR="00226331">
        <w:rPr>
          <w:rFonts w:ascii="Arial" w:hAnsi="Arial" w:cs="Arial"/>
          <w:bCs/>
          <w:sz w:val="24"/>
          <w:szCs w:val="24"/>
          <w:lang w:val="es-ES"/>
        </w:rPr>
        <w:t>)</w:t>
      </w:r>
      <w:r w:rsidRPr="00D13614">
        <w:rPr>
          <w:rFonts w:ascii="Arial" w:hAnsi="Arial" w:cs="Arial"/>
          <w:bCs/>
          <w:sz w:val="24"/>
          <w:szCs w:val="24"/>
          <w:lang w:val="es-ES"/>
        </w:rPr>
        <w:t xml:space="preserve"> días hábiles antes del inicio de entrega de ese producto. </w:t>
      </w:r>
      <w:r>
        <w:rPr>
          <w:rFonts w:ascii="Arial" w:hAnsi="Arial" w:cs="Arial"/>
          <w:bCs/>
          <w:sz w:val="24"/>
          <w:szCs w:val="24"/>
          <w:lang w:val="es-ES"/>
        </w:rPr>
        <w:t xml:space="preserve">Lo anterior sin perjuicio </w:t>
      </w:r>
      <w:r w:rsidR="00993D7C">
        <w:rPr>
          <w:rFonts w:ascii="Arial" w:hAnsi="Arial" w:cs="Arial"/>
          <w:bCs/>
          <w:sz w:val="24"/>
          <w:szCs w:val="24"/>
          <w:lang w:val="es-ES"/>
        </w:rPr>
        <w:t>del plazo previ</w:t>
      </w:r>
      <w:r w:rsidR="00992D43">
        <w:rPr>
          <w:rFonts w:ascii="Arial" w:hAnsi="Arial" w:cs="Arial"/>
          <w:bCs/>
          <w:sz w:val="24"/>
          <w:szCs w:val="24"/>
          <w:lang w:val="es-ES"/>
        </w:rPr>
        <w:t>o</w:t>
      </w:r>
      <w:r w:rsidR="00993D7C">
        <w:rPr>
          <w:rFonts w:ascii="Arial" w:hAnsi="Arial" w:cs="Arial"/>
          <w:bCs/>
          <w:sz w:val="24"/>
          <w:szCs w:val="24"/>
          <w:lang w:val="es-ES"/>
        </w:rPr>
        <w:t xml:space="preserve"> a la publicación de la oferta </w:t>
      </w:r>
      <w:r w:rsidR="009E6459">
        <w:rPr>
          <w:rFonts w:ascii="Arial" w:hAnsi="Arial" w:cs="Arial"/>
          <w:bCs/>
          <w:sz w:val="24"/>
          <w:szCs w:val="24"/>
          <w:lang w:val="es-ES"/>
        </w:rPr>
        <w:t>que debe observar</w:t>
      </w:r>
      <w:r w:rsidR="006A07DA">
        <w:rPr>
          <w:rFonts w:ascii="Arial" w:hAnsi="Arial" w:cs="Arial"/>
          <w:bCs/>
          <w:sz w:val="24"/>
          <w:szCs w:val="24"/>
          <w:lang w:val="es-ES"/>
        </w:rPr>
        <w:t>se por</w:t>
      </w:r>
      <w:r w:rsidR="009E6459">
        <w:rPr>
          <w:rFonts w:ascii="Arial" w:hAnsi="Arial" w:cs="Arial"/>
          <w:bCs/>
          <w:sz w:val="24"/>
          <w:szCs w:val="24"/>
          <w:lang w:val="es-ES"/>
        </w:rPr>
        <w:t xml:space="preserve"> el Comercializador Mayorista para hacer la solicitud de conformación de las respectivas zonas de influencia</w:t>
      </w:r>
      <w:r w:rsidRPr="00D13614">
        <w:rPr>
          <w:rFonts w:ascii="Arial" w:hAnsi="Arial" w:cs="Arial"/>
          <w:bCs/>
          <w:sz w:val="24"/>
          <w:szCs w:val="24"/>
          <w:lang w:val="es-ES"/>
        </w:rPr>
        <w:t>.</w:t>
      </w:r>
    </w:p>
    <w:p w14:paraId="5131528B" w14:textId="5297D322" w:rsidR="001E4B97" w:rsidRPr="00792C53" w:rsidRDefault="006B3BFC" w:rsidP="001E4B97">
      <w:pPr>
        <w:pStyle w:val="Prrafodelista"/>
        <w:numPr>
          <w:ilvl w:val="0"/>
          <w:numId w:val="23"/>
        </w:numPr>
        <w:spacing w:after="240"/>
        <w:ind w:left="714" w:hanging="357"/>
        <w:jc w:val="both"/>
        <w:rPr>
          <w:rFonts w:ascii="Arial" w:hAnsi="Arial" w:cs="Arial"/>
          <w:bCs/>
          <w:sz w:val="24"/>
          <w:szCs w:val="24"/>
        </w:rPr>
      </w:pPr>
      <w:r>
        <w:rPr>
          <w:rFonts w:ascii="Arial" w:hAnsi="Arial" w:cs="Arial"/>
          <w:bCs/>
          <w:sz w:val="24"/>
          <w:szCs w:val="24"/>
          <w:lang w:val="es-ES"/>
        </w:rPr>
        <w:t>Una vez publ</w:t>
      </w:r>
      <w:r w:rsidR="00036318">
        <w:rPr>
          <w:rFonts w:ascii="Arial" w:hAnsi="Arial" w:cs="Arial"/>
          <w:bCs/>
          <w:sz w:val="24"/>
          <w:szCs w:val="24"/>
          <w:lang w:val="es-ES"/>
        </w:rPr>
        <w:t>ic</w:t>
      </w:r>
      <w:r>
        <w:rPr>
          <w:rFonts w:ascii="Arial" w:hAnsi="Arial" w:cs="Arial"/>
          <w:bCs/>
          <w:sz w:val="24"/>
          <w:szCs w:val="24"/>
          <w:lang w:val="es-ES"/>
        </w:rPr>
        <w:t xml:space="preserve">ada la </w:t>
      </w:r>
      <w:r w:rsidR="00036318">
        <w:rPr>
          <w:rFonts w:ascii="Arial" w:hAnsi="Arial" w:cs="Arial"/>
          <w:bCs/>
          <w:sz w:val="24"/>
          <w:szCs w:val="24"/>
          <w:lang w:val="es-ES"/>
        </w:rPr>
        <w:t xml:space="preserve">mayor disponibilidad de producto, los distribuidores interesados en modificar el punto de entrega de </w:t>
      </w:r>
      <w:r w:rsidR="009D3D0A">
        <w:rPr>
          <w:rFonts w:ascii="Arial" w:hAnsi="Arial" w:cs="Arial"/>
          <w:bCs/>
          <w:sz w:val="24"/>
          <w:szCs w:val="24"/>
          <w:lang w:val="es-ES"/>
        </w:rPr>
        <w:t xml:space="preserve">GLP, </w:t>
      </w:r>
      <w:r w:rsidR="00036318">
        <w:rPr>
          <w:rFonts w:ascii="Arial" w:hAnsi="Arial" w:cs="Arial"/>
          <w:bCs/>
          <w:sz w:val="24"/>
          <w:szCs w:val="24"/>
          <w:lang w:val="es-ES"/>
        </w:rPr>
        <w:t xml:space="preserve">de contratos cuyo punto de entrega sea Cusiana o </w:t>
      </w:r>
      <w:proofErr w:type="spellStart"/>
      <w:r w:rsidR="00036318">
        <w:rPr>
          <w:rFonts w:ascii="Arial" w:hAnsi="Arial" w:cs="Arial"/>
          <w:bCs/>
          <w:sz w:val="24"/>
          <w:szCs w:val="24"/>
          <w:lang w:val="es-ES"/>
        </w:rPr>
        <w:t>Cupiagua</w:t>
      </w:r>
      <w:proofErr w:type="spellEnd"/>
      <w:r w:rsidR="00024E36">
        <w:rPr>
          <w:rFonts w:ascii="Arial" w:hAnsi="Arial" w:cs="Arial"/>
          <w:bCs/>
          <w:sz w:val="24"/>
          <w:szCs w:val="24"/>
          <w:lang w:val="es-ES"/>
        </w:rPr>
        <w:t xml:space="preserve">, </w:t>
      </w:r>
      <w:r w:rsidR="006C14AB">
        <w:rPr>
          <w:rFonts w:ascii="Arial" w:hAnsi="Arial" w:cs="Arial"/>
          <w:bCs/>
          <w:sz w:val="24"/>
          <w:szCs w:val="24"/>
          <w:lang w:val="es-ES"/>
        </w:rPr>
        <w:t xml:space="preserve">bien sea </w:t>
      </w:r>
      <w:r w:rsidR="00024E36">
        <w:rPr>
          <w:rFonts w:ascii="Arial" w:hAnsi="Arial" w:cs="Arial"/>
          <w:bCs/>
          <w:sz w:val="24"/>
          <w:szCs w:val="24"/>
          <w:lang w:val="es-ES"/>
        </w:rPr>
        <w:t xml:space="preserve">en contratos directos </w:t>
      </w:r>
      <w:r w:rsidR="00D04B8A">
        <w:rPr>
          <w:rFonts w:ascii="Arial" w:hAnsi="Arial" w:cs="Arial"/>
          <w:bCs/>
          <w:sz w:val="24"/>
          <w:szCs w:val="24"/>
          <w:lang w:val="es-ES"/>
        </w:rPr>
        <w:t xml:space="preserve">o celebrados a través de un Comercializador Mayorista que los haya representado en </w:t>
      </w:r>
      <w:r w:rsidR="0083340D">
        <w:rPr>
          <w:rFonts w:ascii="Arial" w:hAnsi="Arial" w:cs="Arial"/>
          <w:bCs/>
          <w:sz w:val="24"/>
          <w:szCs w:val="24"/>
          <w:lang w:val="es-ES"/>
        </w:rPr>
        <w:t>la OPC</w:t>
      </w:r>
      <w:r w:rsidR="00B959CC">
        <w:rPr>
          <w:rFonts w:ascii="Arial" w:hAnsi="Arial" w:cs="Arial"/>
          <w:bCs/>
          <w:sz w:val="24"/>
          <w:szCs w:val="24"/>
          <w:lang w:val="es-ES"/>
        </w:rPr>
        <w:t>, deberán informarle a Ecopetrol</w:t>
      </w:r>
      <w:r w:rsidR="00072EEC">
        <w:rPr>
          <w:rFonts w:ascii="Arial" w:hAnsi="Arial" w:cs="Arial"/>
          <w:bCs/>
          <w:sz w:val="24"/>
          <w:szCs w:val="24"/>
          <w:lang w:val="es-ES"/>
        </w:rPr>
        <w:t>,</w:t>
      </w:r>
      <w:r w:rsidR="00B959CC">
        <w:rPr>
          <w:rFonts w:ascii="Arial" w:hAnsi="Arial" w:cs="Arial"/>
          <w:bCs/>
          <w:sz w:val="24"/>
          <w:szCs w:val="24"/>
          <w:lang w:val="es-ES"/>
        </w:rPr>
        <w:t xml:space="preserve"> en </w:t>
      </w:r>
      <w:r w:rsidR="00072EEC">
        <w:rPr>
          <w:rFonts w:ascii="Arial" w:hAnsi="Arial" w:cs="Arial"/>
          <w:bCs/>
          <w:sz w:val="24"/>
          <w:szCs w:val="24"/>
          <w:lang w:val="es-ES"/>
        </w:rPr>
        <w:t>un</w:t>
      </w:r>
      <w:r w:rsidR="00B959CC">
        <w:rPr>
          <w:rFonts w:ascii="Arial" w:hAnsi="Arial" w:cs="Arial"/>
          <w:bCs/>
          <w:sz w:val="24"/>
          <w:szCs w:val="24"/>
          <w:lang w:val="es-ES"/>
        </w:rPr>
        <w:t xml:space="preserve"> plazo máximo de </w:t>
      </w:r>
      <w:r w:rsidR="000069D9">
        <w:rPr>
          <w:rFonts w:ascii="Arial" w:hAnsi="Arial" w:cs="Arial"/>
          <w:bCs/>
          <w:sz w:val="24"/>
          <w:szCs w:val="24"/>
          <w:lang w:val="es-ES"/>
        </w:rPr>
        <w:t>cinco (</w:t>
      </w:r>
      <w:r w:rsidR="00B959CC">
        <w:rPr>
          <w:rFonts w:ascii="Arial" w:hAnsi="Arial" w:cs="Arial"/>
          <w:bCs/>
          <w:sz w:val="24"/>
          <w:szCs w:val="24"/>
          <w:lang w:val="es-ES"/>
        </w:rPr>
        <w:t>5</w:t>
      </w:r>
      <w:r w:rsidR="009912A4">
        <w:rPr>
          <w:rFonts w:ascii="Arial" w:hAnsi="Arial" w:cs="Arial"/>
          <w:bCs/>
          <w:sz w:val="24"/>
          <w:szCs w:val="24"/>
          <w:lang w:val="es-ES"/>
        </w:rPr>
        <w:t>)</w:t>
      </w:r>
      <w:r w:rsidR="00B959CC">
        <w:rPr>
          <w:rFonts w:ascii="Arial" w:hAnsi="Arial" w:cs="Arial"/>
          <w:bCs/>
          <w:sz w:val="24"/>
          <w:szCs w:val="24"/>
          <w:lang w:val="es-ES"/>
        </w:rPr>
        <w:t xml:space="preserve"> días há</w:t>
      </w:r>
      <w:r w:rsidR="00072EEC">
        <w:rPr>
          <w:rFonts w:ascii="Arial" w:hAnsi="Arial" w:cs="Arial"/>
          <w:bCs/>
          <w:sz w:val="24"/>
          <w:szCs w:val="24"/>
          <w:lang w:val="es-ES"/>
        </w:rPr>
        <w:t xml:space="preserve">biles, </w:t>
      </w:r>
      <w:r w:rsidR="00004E30" w:rsidRPr="00004E30">
        <w:rPr>
          <w:rFonts w:ascii="Arial" w:hAnsi="Arial" w:cs="Arial"/>
          <w:bCs/>
          <w:sz w:val="24"/>
          <w:szCs w:val="24"/>
          <w:lang w:val="es-ES"/>
        </w:rPr>
        <w:t>que cantidades</w:t>
      </w:r>
      <w:r w:rsidR="00004E30">
        <w:rPr>
          <w:rFonts w:ascii="Arial" w:hAnsi="Arial" w:cs="Arial"/>
          <w:bCs/>
          <w:sz w:val="24"/>
          <w:szCs w:val="24"/>
          <w:lang w:val="es-ES"/>
        </w:rPr>
        <w:t xml:space="preserve"> de GLP </w:t>
      </w:r>
      <w:r w:rsidR="00872B76">
        <w:rPr>
          <w:rFonts w:ascii="Arial" w:hAnsi="Arial" w:cs="Arial"/>
          <w:bCs/>
          <w:sz w:val="24"/>
          <w:szCs w:val="24"/>
          <w:lang w:val="es-ES"/>
        </w:rPr>
        <w:t xml:space="preserve">que se encuentren </w:t>
      </w:r>
      <w:r w:rsidR="00004E30">
        <w:rPr>
          <w:rFonts w:ascii="Arial" w:hAnsi="Arial" w:cs="Arial"/>
          <w:bCs/>
          <w:sz w:val="24"/>
          <w:szCs w:val="24"/>
          <w:lang w:val="es-ES"/>
        </w:rPr>
        <w:t xml:space="preserve">para entrega en el mismo mes en que </w:t>
      </w:r>
      <w:r w:rsidR="008F637F">
        <w:rPr>
          <w:rFonts w:ascii="Arial" w:hAnsi="Arial" w:cs="Arial"/>
          <w:bCs/>
          <w:sz w:val="24"/>
          <w:szCs w:val="24"/>
          <w:lang w:val="es-ES"/>
        </w:rPr>
        <w:t xml:space="preserve">se tenga la mayor disponibilidad, </w:t>
      </w:r>
      <w:r w:rsidR="00004E30" w:rsidRPr="00004E30">
        <w:rPr>
          <w:rFonts w:ascii="Arial" w:hAnsi="Arial" w:cs="Arial"/>
          <w:bCs/>
          <w:sz w:val="24"/>
          <w:szCs w:val="24"/>
          <w:lang w:val="es-ES"/>
        </w:rPr>
        <w:t xml:space="preserve">quieren que sean consideradas para </w:t>
      </w:r>
      <w:r w:rsidR="00C51F4C">
        <w:rPr>
          <w:rFonts w:ascii="Arial" w:hAnsi="Arial" w:cs="Arial"/>
          <w:bCs/>
          <w:sz w:val="24"/>
          <w:szCs w:val="24"/>
          <w:lang w:val="es-ES"/>
        </w:rPr>
        <w:t>entregarse en la</w:t>
      </w:r>
      <w:r w:rsidR="00E23A14">
        <w:rPr>
          <w:rFonts w:ascii="Arial" w:hAnsi="Arial" w:cs="Arial"/>
          <w:bCs/>
          <w:sz w:val="24"/>
          <w:szCs w:val="24"/>
          <w:lang w:val="es-ES"/>
        </w:rPr>
        <w:t>s</w:t>
      </w:r>
      <w:r w:rsidR="00C51F4C">
        <w:rPr>
          <w:rFonts w:ascii="Arial" w:hAnsi="Arial" w:cs="Arial"/>
          <w:bCs/>
          <w:sz w:val="24"/>
          <w:szCs w:val="24"/>
          <w:lang w:val="es-ES"/>
        </w:rPr>
        <w:t xml:space="preserve"> fuente</w:t>
      </w:r>
      <w:r w:rsidR="00E23A14">
        <w:rPr>
          <w:rFonts w:ascii="Arial" w:hAnsi="Arial" w:cs="Arial"/>
          <w:bCs/>
          <w:sz w:val="24"/>
          <w:szCs w:val="24"/>
          <w:lang w:val="es-ES"/>
        </w:rPr>
        <w:t>s</w:t>
      </w:r>
      <w:r w:rsidR="00C51F4C">
        <w:rPr>
          <w:rFonts w:ascii="Arial" w:hAnsi="Arial" w:cs="Arial"/>
          <w:bCs/>
          <w:sz w:val="24"/>
          <w:szCs w:val="24"/>
          <w:lang w:val="es-ES"/>
        </w:rPr>
        <w:t xml:space="preserve"> para la</w:t>
      </w:r>
      <w:r w:rsidR="00E23A14">
        <w:rPr>
          <w:rFonts w:ascii="Arial" w:hAnsi="Arial" w:cs="Arial"/>
          <w:bCs/>
          <w:sz w:val="24"/>
          <w:szCs w:val="24"/>
          <w:lang w:val="es-ES"/>
        </w:rPr>
        <w:t>s</w:t>
      </w:r>
      <w:r w:rsidR="00C51F4C">
        <w:rPr>
          <w:rFonts w:ascii="Arial" w:hAnsi="Arial" w:cs="Arial"/>
          <w:bCs/>
          <w:sz w:val="24"/>
          <w:szCs w:val="24"/>
          <w:lang w:val="es-ES"/>
        </w:rPr>
        <w:t xml:space="preserve"> que </w:t>
      </w:r>
      <w:r w:rsidR="00E23A14">
        <w:rPr>
          <w:rFonts w:ascii="Arial" w:hAnsi="Arial" w:cs="Arial"/>
          <w:bCs/>
          <w:sz w:val="24"/>
          <w:szCs w:val="24"/>
          <w:lang w:val="es-ES"/>
        </w:rPr>
        <w:t>haya mayor disponibilidad</w:t>
      </w:r>
      <w:r w:rsidR="00004E30" w:rsidRPr="00004E30">
        <w:rPr>
          <w:rFonts w:ascii="Arial" w:hAnsi="Arial" w:cs="Arial"/>
          <w:bCs/>
          <w:sz w:val="24"/>
          <w:szCs w:val="24"/>
          <w:lang w:val="es-ES"/>
        </w:rPr>
        <w:t>.</w:t>
      </w:r>
      <w:r w:rsidR="00237631">
        <w:rPr>
          <w:rFonts w:ascii="Arial" w:hAnsi="Arial" w:cs="Arial"/>
          <w:bCs/>
          <w:sz w:val="24"/>
          <w:szCs w:val="24"/>
          <w:lang w:val="es-ES"/>
        </w:rPr>
        <w:t xml:space="preserve"> Un distribuidor no podrá solicitar para modificación de punto de entrega una cantidad mayor</w:t>
      </w:r>
      <w:r w:rsidR="00BC74EB">
        <w:rPr>
          <w:rFonts w:ascii="Arial" w:hAnsi="Arial" w:cs="Arial"/>
          <w:bCs/>
          <w:sz w:val="24"/>
          <w:szCs w:val="24"/>
          <w:lang w:val="es-ES"/>
        </w:rPr>
        <w:t xml:space="preserve"> a la que tiene pendiente de entrega </w:t>
      </w:r>
      <w:r w:rsidR="006A12E3">
        <w:rPr>
          <w:rFonts w:ascii="Arial" w:hAnsi="Arial" w:cs="Arial"/>
          <w:bCs/>
          <w:sz w:val="24"/>
          <w:szCs w:val="24"/>
          <w:lang w:val="es-ES"/>
        </w:rPr>
        <w:t>para el mes en el que se presente la disponibilidad adicional de producto.</w:t>
      </w:r>
    </w:p>
    <w:p w14:paraId="32D2BE01" w14:textId="02A17B32" w:rsidR="00E23A14" w:rsidRPr="00792C53" w:rsidRDefault="00AB3CA0" w:rsidP="001E4B97">
      <w:pPr>
        <w:pStyle w:val="Prrafodelista"/>
        <w:numPr>
          <w:ilvl w:val="0"/>
          <w:numId w:val="23"/>
        </w:numPr>
        <w:spacing w:after="240"/>
        <w:ind w:left="714" w:hanging="357"/>
        <w:jc w:val="both"/>
        <w:rPr>
          <w:rFonts w:ascii="Arial" w:hAnsi="Arial" w:cs="Arial"/>
          <w:bCs/>
          <w:sz w:val="24"/>
          <w:szCs w:val="24"/>
        </w:rPr>
      </w:pPr>
      <w:r>
        <w:rPr>
          <w:rFonts w:ascii="Arial" w:hAnsi="Arial" w:cs="Arial"/>
          <w:bCs/>
          <w:sz w:val="24"/>
          <w:szCs w:val="24"/>
        </w:rPr>
        <w:t>Ecopetrol deberá consolidar las solicitudes de cambio en el punto de entrega para las cantidades informadas por los distribuidores</w:t>
      </w:r>
      <w:r w:rsidR="00CB7D50">
        <w:rPr>
          <w:rFonts w:ascii="Arial" w:hAnsi="Arial" w:cs="Arial"/>
          <w:bCs/>
          <w:sz w:val="24"/>
          <w:szCs w:val="24"/>
        </w:rPr>
        <w:t xml:space="preserve"> e informar el resultado de estas s</w:t>
      </w:r>
      <w:r w:rsidR="0005757E">
        <w:rPr>
          <w:rFonts w:ascii="Arial" w:hAnsi="Arial" w:cs="Arial"/>
          <w:bCs/>
          <w:sz w:val="24"/>
          <w:szCs w:val="24"/>
        </w:rPr>
        <w:t>olicitudes teniendo en cuenta lo siguiente:</w:t>
      </w:r>
    </w:p>
    <w:p w14:paraId="36C95FD7" w14:textId="0921C84F" w:rsidR="00845224" w:rsidRPr="00845224" w:rsidRDefault="00845224" w:rsidP="00845224">
      <w:pPr>
        <w:pStyle w:val="Prrafodelista"/>
        <w:numPr>
          <w:ilvl w:val="1"/>
          <w:numId w:val="23"/>
        </w:numPr>
        <w:spacing w:after="240"/>
        <w:jc w:val="both"/>
        <w:rPr>
          <w:rFonts w:ascii="Arial" w:hAnsi="Arial" w:cs="Arial"/>
          <w:bCs/>
          <w:sz w:val="24"/>
          <w:szCs w:val="24"/>
        </w:rPr>
      </w:pPr>
      <w:r w:rsidRPr="00845224">
        <w:rPr>
          <w:rFonts w:ascii="Arial" w:hAnsi="Arial" w:cs="Arial"/>
          <w:bCs/>
          <w:sz w:val="24"/>
          <w:szCs w:val="24"/>
        </w:rPr>
        <w:t xml:space="preserve">Si </w:t>
      </w:r>
      <w:r w:rsidR="007F5D18">
        <w:rPr>
          <w:rFonts w:ascii="Arial" w:hAnsi="Arial" w:cs="Arial"/>
          <w:bCs/>
          <w:sz w:val="24"/>
          <w:szCs w:val="24"/>
        </w:rPr>
        <w:t>las cantidades</w:t>
      </w:r>
      <w:r w:rsidRPr="00845224">
        <w:rPr>
          <w:rFonts w:ascii="Arial" w:hAnsi="Arial" w:cs="Arial"/>
          <w:bCs/>
          <w:sz w:val="24"/>
          <w:szCs w:val="24"/>
        </w:rPr>
        <w:t xml:space="preserve"> adicionales </w:t>
      </w:r>
      <w:r w:rsidR="007F5D18">
        <w:rPr>
          <w:rFonts w:ascii="Arial" w:hAnsi="Arial" w:cs="Arial"/>
          <w:bCs/>
          <w:sz w:val="24"/>
          <w:szCs w:val="24"/>
        </w:rPr>
        <w:t xml:space="preserve">de una fuente son mayores que las cantidades </w:t>
      </w:r>
      <w:r w:rsidR="00F33208">
        <w:rPr>
          <w:rFonts w:ascii="Arial" w:hAnsi="Arial" w:cs="Arial"/>
          <w:bCs/>
          <w:sz w:val="24"/>
          <w:szCs w:val="24"/>
        </w:rPr>
        <w:t>para las que se quiere</w:t>
      </w:r>
      <w:r w:rsidRPr="00845224">
        <w:rPr>
          <w:rFonts w:ascii="Arial" w:hAnsi="Arial" w:cs="Arial"/>
          <w:bCs/>
          <w:sz w:val="24"/>
          <w:szCs w:val="24"/>
        </w:rPr>
        <w:t xml:space="preserve"> modificar </w:t>
      </w:r>
      <w:r w:rsidR="00F33208">
        <w:rPr>
          <w:rFonts w:ascii="Arial" w:hAnsi="Arial" w:cs="Arial"/>
          <w:bCs/>
          <w:sz w:val="24"/>
          <w:szCs w:val="24"/>
        </w:rPr>
        <w:t xml:space="preserve">el </w:t>
      </w:r>
      <w:r w:rsidRPr="00845224">
        <w:rPr>
          <w:rFonts w:ascii="Arial" w:hAnsi="Arial" w:cs="Arial"/>
          <w:bCs/>
          <w:sz w:val="24"/>
          <w:szCs w:val="24"/>
        </w:rPr>
        <w:t>punto de entrega</w:t>
      </w:r>
      <w:r w:rsidR="00F33208">
        <w:rPr>
          <w:rFonts w:ascii="Arial" w:hAnsi="Arial" w:cs="Arial"/>
          <w:bCs/>
          <w:sz w:val="24"/>
          <w:szCs w:val="24"/>
        </w:rPr>
        <w:t xml:space="preserve">, Ecopetrol </w:t>
      </w:r>
      <w:r w:rsidR="00914D58">
        <w:rPr>
          <w:rFonts w:ascii="Arial" w:hAnsi="Arial" w:cs="Arial"/>
          <w:bCs/>
          <w:sz w:val="24"/>
          <w:szCs w:val="24"/>
        </w:rPr>
        <w:t xml:space="preserve">hará </w:t>
      </w:r>
      <w:r w:rsidR="00911F9B">
        <w:rPr>
          <w:rFonts w:ascii="Arial" w:hAnsi="Arial" w:cs="Arial"/>
          <w:bCs/>
          <w:sz w:val="24"/>
          <w:szCs w:val="24"/>
        </w:rPr>
        <w:t>las respectivas modificaciones que fueron solicitadas</w:t>
      </w:r>
      <w:r w:rsidRPr="00845224">
        <w:rPr>
          <w:rFonts w:ascii="Arial" w:hAnsi="Arial" w:cs="Arial"/>
          <w:bCs/>
          <w:sz w:val="24"/>
          <w:szCs w:val="24"/>
        </w:rPr>
        <w:t>.</w:t>
      </w:r>
    </w:p>
    <w:p w14:paraId="64E87CBC" w14:textId="20184046" w:rsidR="00B1331A" w:rsidRPr="00792C53" w:rsidRDefault="00845224" w:rsidP="00CF13B2">
      <w:pPr>
        <w:pStyle w:val="Prrafodelista"/>
        <w:numPr>
          <w:ilvl w:val="1"/>
          <w:numId w:val="23"/>
        </w:numPr>
        <w:spacing w:after="240"/>
        <w:jc w:val="both"/>
        <w:rPr>
          <w:rFonts w:ascii="Arial" w:hAnsi="Arial" w:cs="Arial"/>
          <w:bCs/>
          <w:sz w:val="24"/>
          <w:szCs w:val="24"/>
        </w:rPr>
      </w:pPr>
      <w:r w:rsidRPr="00845224">
        <w:rPr>
          <w:rFonts w:ascii="Arial" w:hAnsi="Arial" w:cs="Arial"/>
          <w:sz w:val="24"/>
          <w:szCs w:val="24"/>
        </w:rPr>
        <w:t xml:space="preserve">Si </w:t>
      </w:r>
      <w:r w:rsidR="00911F9B">
        <w:rPr>
          <w:rFonts w:ascii="Arial" w:hAnsi="Arial" w:cs="Arial"/>
          <w:bCs/>
          <w:sz w:val="24"/>
          <w:szCs w:val="24"/>
        </w:rPr>
        <w:t>las cantidades</w:t>
      </w:r>
      <w:r w:rsidR="00911F9B" w:rsidRPr="00845224">
        <w:rPr>
          <w:rFonts w:ascii="Arial" w:hAnsi="Arial" w:cs="Arial"/>
          <w:bCs/>
          <w:sz w:val="24"/>
          <w:szCs w:val="24"/>
        </w:rPr>
        <w:t xml:space="preserve"> </w:t>
      </w:r>
      <w:r w:rsidRPr="00845224">
        <w:rPr>
          <w:rFonts w:ascii="Arial" w:hAnsi="Arial" w:cs="Arial"/>
          <w:sz w:val="24"/>
          <w:szCs w:val="24"/>
        </w:rPr>
        <w:t xml:space="preserve">adicionales </w:t>
      </w:r>
      <w:r w:rsidR="00911F9B">
        <w:rPr>
          <w:rFonts w:ascii="Arial" w:hAnsi="Arial" w:cs="Arial"/>
          <w:bCs/>
          <w:sz w:val="24"/>
          <w:szCs w:val="24"/>
        </w:rPr>
        <w:t>de una fuente son menores que las cantidades</w:t>
      </w:r>
      <w:r>
        <w:rPr>
          <w:rFonts w:ascii="Arial" w:hAnsi="Arial" w:cs="Arial"/>
          <w:sz w:val="24"/>
          <w:szCs w:val="24"/>
        </w:rPr>
        <w:t xml:space="preserve"> para </w:t>
      </w:r>
      <w:r w:rsidR="00911F9B">
        <w:rPr>
          <w:rFonts w:ascii="Arial" w:hAnsi="Arial" w:cs="Arial"/>
          <w:bCs/>
          <w:sz w:val="24"/>
          <w:szCs w:val="24"/>
        </w:rPr>
        <w:t xml:space="preserve">las que se quiere </w:t>
      </w:r>
      <w:r w:rsidRPr="00845224">
        <w:rPr>
          <w:rFonts w:ascii="Arial" w:hAnsi="Arial" w:cs="Arial"/>
          <w:sz w:val="24"/>
          <w:szCs w:val="24"/>
        </w:rPr>
        <w:t xml:space="preserve">modificar </w:t>
      </w:r>
      <w:r w:rsidR="00911F9B">
        <w:rPr>
          <w:rFonts w:ascii="Arial" w:hAnsi="Arial" w:cs="Arial"/>
          <w:bCs/>
          <w:sz w:val="24"/>
          <w:szCs w:val="24"/>
        </w:rPr>
        <w:t xml:space="preserve">el </w:t>
      </w:r>
      <w:r w:rsidRPr="00845224">
        <w:rPr>
          <w:rFonts w:ascii="Arial" w:hAnsi="Arial" w:cs="Arial"/>
          <w:sz w:val="24"/>
          <w:szCs w:val="24"/>
        </w:rPr>
        <w:t>punto de entrega</w:t>
      </w:r>
      <w:r w:rsidR="00911F9B">
        <w:rPr>
          <w:rFonts w:ascii="Arial" w:hAnsi="Arial" w:cs="Arial"/>
          <w:bCs/>
          <w:sz w:val="24"/>
          <w:szCs w:val="24"/>
        </w:rPr>
        <w:t>, Ecopetrol</w:t>
      </w:r>
      <w:r w:rsidR="003C2321">
        <w:rPr>
          <w:rFonts w:ascii="Arial" w:hAnsi="Arial" w:cs="Arial"/>
          <w:bCs/>
          <w:sz w:val="24"/>
          <w:szCs w:val="24"/>
        </w:rPr>
        <w:t xml:space="preserve"> determinará qué cantidades son sujetas de modificación en su punto de entrega</w:t>
      </w:r>
      <w:r w:rsidR="002D135B">
        <w:rPr>
          <w:rFonts w:ascii="Arial" w:hAnsi="Arial" w:cs="Arial"/>
          <w:bCs/>
          <w:sz w:val="24"/>
          <w:szCs w:val="24"/>
        </w:rPr>
        <w:t xml:space="preserve"> </w:t>
      </w:r>
      <w:r w:rsidR="00E60CC7">
        <w:rPr>
          <w:rFonts w:ascii="Arial" w:hAnsi="Arial" w:cs="Arial"/>
          <w:bCs/>
          <w:sz w:val="24"/>
          <w:szCs w:val="24"/>
        </w:rPr>
        <w:t xml:space="preserve">para cada distribuidor según </w:t>
      </w:r>
      <w:r w:rsidR="00B635CC">
        <w:rPr>
          <w:rFonts w:ascii="Arial" w:hAnsi="Arial" w:cs="Arial"/>
          <w:bCs/>
          <w:sz w:val="24"/>
          <w:szCs w:val="24"/>
        </w:rPr>
        <w:t>la</w:t>
      </w:r>
      <w:r w:rsidR="00E60CC7">
        <w:rPr>
          <w:rFonts w:ascii="Arial" w:hAnsi="Arial" w:cs="Arial"/>
          <w:bCs/>
          <w:sz w:val="24"/>
          <w:szCs w:val="24"/>
        </w:rPr>
        <w:t xml:space="preserve"> proporción </w:t>
      </w:r>
      <w:r w:rsidR="000F2E40">
        <w:rPr>
          <w:rFonts w:ascii="Arial" w:hAnsi="Arial" w:cs="Arial"/>
          <w:bCs/>
          <w:sz w:val="24"/>
          <w:szCs w:val="24"/>
        </w:rPr>
        <w:t xml:space="preserve">de la solicitud del respectivo distribuidor frente a la totalidad de </w:t>
      </w:r>
      <w:r w:rsidR="00D46E0F">
        <w:rPr>
          <w:rFonts w:ascii="Arial" w:hAnsi="Arial" w:cs="Arial"/>
          <w:bCs/>
          <w:sz w:val="24"/>
          <w:szCs w:val="24"/>
        </w:rPr>
        <w:t>las solicitudes</w:t>
      </w:r>
      <w:r>
        <w:rPr>
          <w:rFonts w:ascii="Arial" w:hAnsi="Arial" w:cs="Arial"/>
          <w:sz w:val="24"/>
          <w:szCs w:val="24"/>
        </w:rPr>
        <w:t xml:space="preserve"> de </w:t>
      </w:r>
      <w:r w:rsidR="00D46E0F">
        <w:rPr>
          <w:rFonts w:ascii="Arial" w:hAnsi="Arial" w:cs="Arial"/>
          <w:bCs/>
          <w:sz w:val="24"/>
          <w:szCs w:val="24"/>
        </w:rPr>
        <w:t>modificación de la respectiva fuente</w:t>
      </w:r>
      <w:r w:rsidRPr="00845224">
        <w:rPr>
          <w:rFonts w:ascii="Arial" w:hAnsi="Arial" w:cs="Arial"/>
          <w:bCs/>
          <w:sz w:val="24"/>
          <w:szCs w:val="24"/>
          <w:lang w:val="es-ES"/>
        </w:rPr>
        <w:t>.</w:t>
      </w:r>
    </w:p>
    <w:p w14:paraId="234FFD0D" w14:textId="586ECFB7" w:rsidR="00AE5605" w:rsidRPr="00CF13B2" w:rsidRDefault="00DC07DC" w:rsidP="00AE5605">
      <w:pPr>
        <w:pStyle w:val="Prrafodelista"/>
        <w:numPr>
          <w:ilvl w:val="0"/>
          <w:numId w:val="23"/>
        </w:numPr>
        <w:spacing w:after="240"/>
        <w:jc w:val="both"/>
        <w:rPr>
          <w:rFonts w:ascii="Arial" w:hAnsi="Arial" w:cs="Arial"/>
          <w:bCs/>
          <w:sz w:val="24"/>
          <w:szCs w:val="24"/>
        </w:rPr>
      </w:pPr>
      <w:r w:rsidRPr="00DC07DC">
        <w:rPr>
          <w:rFonts w:ascii="Arial" w:hAnsi="Arial" w:cs="Arial"/>
          <w:bCs/>
          <w:sz w:val="24"/>
          <w:szCs w:val="24"/>
          <w:lang w:val="es-ES"/>
        </w:rPr>
        <w:t xml:space="preserve">Las cantidades adicionales que </w:t>
      </w:r>
      <w:r w:rsidR="00D4577F">
        <w:rPr>
          <w:rFonts w:ascii="Arial" w:hAnsi="Arial" w:cs="Arial"/>
          <w:bCs/>
          <w:sz w:val="24"/>
          <w:szCs w:val="24"/>
          <w:lang w:val="es-ES"/>
        </w:rPr>
        <w:t xml:space="preserve">no </w:t>
      </w:r>
      <w:r w:rsidR="00A42FB5">
        <w:rPr>
          <w:rFonts w:ascii="Arial" w:hAnsi="Arial" w:cs="Arial"/>
          <w:bCs/>
          <w:sz w:val="24"/>
          <w:szCs w:val="24"/>
          <w:lang w:val="es-ES"/>
        </w:rPr>
        <w:t xml:space="preserve">sean utilizadas para cumplir </w:t>
      </w:r>
      <w:r w:rsidR="00D4577F">
        <w:rPr>
          <w:rFonts w:ascii="Arial" w:hAnsi="Arial" w:cs="Arial"/>
          <w:bCs/>
          <w:sz w:val="24"/>
          <w:szCs w:val="24"/>
          <w:lang w:val="es-ES"/>
        </w:rPr>
        <w:t xml:space="preserve">las </w:t>
      </w:r>
      <w:r w:rsidR="00A42FB5">
        <w:rPr>
          <w:rFonts w:ascii="Arial" w:hAnsi="Arial" w:cs="Arial"/>
          <w:bCs/>
          <w:sz w:val="24"/>
          <w:szCs w:val="24"/>
          <w:lang w:val="es-ES"/>
        </w:rPr>
        <w:t>entrega</w:t>
      </w:r>
      <w:r w:rsidR="000E49D7">
        <w:rPr>
          <w:rFonts w:ascii="Arial" w:hAnsi="Arial" w:cs="Arial"/>
          <w:bCs/>
          <w:sz w:val="24"/>
          <w:szCs w:val="24"/>
          <w:lang w:val="es-ES"/>
        </w:rPr>
        <w:t>s</w:t>
      </w:r>
      <w:r w:rsidR="00A42FB5">
        <w:rPr>
          <w:rFonts w:ascii="Arial" w:hAnsi="Arial" w:cs="Arial"/>
          <w:bCs/>
          <w:sz w:val="24"/>
          <w:szCs w:val="24"/>
          <w:lang w:val="es-ES"/>
        </w:rPr>
        <w:t xml:space="preserve"> de </w:t>
      </w:r>
      <w:r w:rsidR="002701B4">
        <w:rPr>
          <w:rFonts w:ascii="Arial" w:hAnsi="Arial" w:cs="Arial"/>
          <w:bCs/>
          <w:sz w:val="24"/>
          <w:szCs w:val="24"/>
          <w:lang w:val="es-ES"/>
        </w:rPr>
        <w:t xml:space="preserve">contratos </w:t>
      </w:r>
      <w:r w:rsidR="00666259">
        <w:rPr>
          <w:rFonts w:ascii="Arial" w:hAnsi="Arial" w:cs="Arial"/>
          <w:bCs/>
          <w:sz w:val="24"/>
          <w:szCs w:val="24"/>
          <w:lang w:val="es-ES"/>
        </w:rPr>
        <w:t xml:space="preserve">con punto </w:t>
      </w:r>
      <w:r w:rsidR="002701B4">
        <w:rPr>
          <w:rFonts w:ascii="Arial" w:hAnsi="Arial" w:cs="Arial"/>
          <w:bCs/>
          <w:sz w:val="24"/>
          <w:szCs w:val="24"/>
          <w:lang w:val="es-ES"/>
        </w:rPr>
        <w:t xml:space="preserve">de </w:t>
      </w:r>
      <w:r w:rsidR="00666259">
        <w:rPr>
          <w:rFonts w:ascii="Arial" w:hAnsi="Arial" w:cs="Arial"/>
          <w:bCs/>
          <w:sz w:val="24"/>
          <w:szCs w:val="24"/>
          <w:lang w:val="es-ES"/>
        </w:rPr>
        <w:t xml:space="preserve">entrega </w:t>
      </w:r>
      <w:r w:rsidR="002701B4">
        <w:rPr>
          <w:rFonts w:ascii="Arial" w:hAnsi="Arial" w:cs="Arial"/>
          <w:bCs/>
          <w:sz w:val="24"/>
          <w:szCs w:val="24"/>
          <w:lang w:val="es-ES"/>
        </w:rPr>
        <w:t xml:space="preserve">Cusiana </w:t>
      </w:r>
      <w:r w:rsidR="00666259">
        <w:rPr>
          <w:rFonts w:ascii="Arial" w:hAnsi="Arial" w:cs="Arial"/>
          <w:bCs/>
          <w:sz w:val="24"/>
          <w:szCs w:val="24"/>
          <w:lang w:val="es-ES"/>
        </w:rPr>
        <w:t xml:space="preserve">o </w:t>
      </w:r>
      <w:proofErr w:type="spellStart"/>
      <w:r w:rsidR="00666259">
        <w:rPr>
          <w:rFonts w:ascii="Arial" w:hAnsi="Arial" w:cs="Arial"/>
          <w:bCs/>
          <w:sz w:val="24"/>
          <w:szCs w:val="24"/>
          <w:lang w:val="es-ES"/>
        </w:rPr>
        <w:t>Cupiagua</w:t>
      </w:r>
      <w:proofErr w:type="spellEnd"/>
      <w:r w:rsidR="008D24BF">
        <w:rPr>
          <w:rFonts w:ascii="Arial" w:hAnsi="Arial" w:cs="Arial"/>
          <w:bCs/>
          <w:sz w:val="24"/>
          <w:szCs w:val="24"/>
          <w:lang w:val="es-ES"/>
        </w:rPr>
        <w:t xml:space="preserve">, según lo previsto en los numerales anteriores, serán comercializadas </w:t>
      </w:r>
      <w:r w:rsidRPr="00DC07DC">
        <w:rPr>
          <w:rFonts w:ascii="Arial" w:hAnsi="Arial" w:cs="Arial"/>
          <w:bCs/>
          <w:sz w:val="24"/>
          <w:szCs w:val="24"/>
          <w:lang w:val="es-ES"/>
        </w:rPr>
        <w:t xml:space="preserve">en OPC adicional sin </w:t>
      </w:r>
      <w:r w:rsidR="00CC017C">
        <w:rPr>
          <w:rFonts w:ascii="Arial" w:hAnsi="Arial" w:cs="Arial"/>
          <w:bCs/>
          <w:sz w:val="24"/>
          <w:szCs w:val="24"/>
          <w:lang w:val="es-ES"/>
        </w:rPr>
        <w:t xml:space="preserve">que les sea aplicable </w:t>
      </w:r>
      <w:r w:rsidR="0057240F">
        <w:rPr>
          <w:rFonts w:ascii="Arial" w:hAnsi="Arial" w:cs="Arial"/>
          <w:bCs/>
          <w:sz w:val="24"/>
          <w:szCs w:val="24"/>
          <w:lang w:val="es-ES"/>
        </w:rPr>
        <w:t xml:space="preserve">el </w:t>
      </w:r>
      <w:r w:rsidR="000E49D7">
        <w:rPr>
          <w:rFonts w:ascii="Arial" w:hAnsi="Arial" w:cs="Arial"/>
          <w:bCs/>
          <w:sz w:val="24"/>
          <w:szCs w:val="24"/>
          <w:lang w:val="es-ES"/>
        </w:rPr>
        <w:t>descuento</w:t>
      </w:r>
      <w:r w:rsidRPr="00DC07DC">
        <w:rPr>
          <w:rFonts w:ascii="Arial" w:hAnsi="Arial" w:cs="Arial"/>
          <w:bCs/>
          <w:sz w:val="24"/>
          <w:szCs w:val="24"/>
          <w:lang w:val="es-ES"/>
        </w:rPr>
        <w:t xml:space="preserve"> del </w:t>
      </w:r>
      <w:r w:rsidR="000E49D7">
        <w:rPr>
          <w:rFonts w:ascii="Arial" w:hAnsi="Arial" w:cs="Arial"/>
          <w:bCs/>
          <w:sz w:val="24"/>
          <w:szCs w:val="24"/>
          <w:lang w:val="es-ES"/>
        </w:rPr>
        <w:t>que trata el parágrafo 1</w:t>
      </w:r>
      <w:r w:rsidRPr="00DC07DC">
        <w:rPr>
          <w:rFonts w:ascii="Arial" w:hAnsi="Arial" w:cs="Arial"/>
          <w:bCs/>
          <w:sz w:val="24"/>
          <w:szCs w:val="24"/>
          <w:lang w:val="es-ES"/>
        </w:rPr>
        <w:t xml:space="preserve"> del </w:t>
      </w:r>
      <w:r w:rsidR="000E49D7">
        <w:rPr>
          <w:rFonts w:ascii="Arial" w:hAnsi="Arial" w:cs="Arial"/>
          <w:bCs/>
          <w:sz w:val="24"/>
          <w:szCs w:val="24"/>
          <w:lang w:val="es-ES"/>
        </w:rPr>
        <w:t xml:space="preserve">artículo </w:t>
      </w:r>
      <w:r w:rsidR="001D32AA">
        <w:rPr>
          <w:rFonts w:ascii="Arial" w:hAnsi="Arial" w:cs="Arial"/>
          <w:bCs/>
          <w:sz w:val="24"/>
          <w:szCs w:val="24"/>
          <w:lang w:val="es-ES"/>
        </w:rPr>
        <w:t>13 de la Resolución CREG 053 de 2011.</w:t>
      </w:r>
    </w:p>
    <w:p w14:paraId="77A5691B" w14:textId="49B6435D" w:rsidR="00610483" w:rsidRDefault="00610483" w:rsidP="00BF0F7B">
      <w:pPr>
        <w:ind w:left="0"/>
        <w:jc w:val="both"/>
        <w:rPr>
          <w:rFonts w:ascii="Arial" w:hAnsi="Arial" w:cs="Arial"/>
          <w:bCs/>
        </w:rPr>
      </w:pPr>
      <w:r w:rsidRPr="00ED188B">
        <w:rPr>
          <w:rFonts w:ascii="Arial" w:hAnsi="Arial" w:cs="Arial"/>
          <w:b/>
        </w:rPr>
        <w:lastRenderedPageBreak/>
        <w:t>Parágrafo:</w:t>
      </w:r>
      <w:r>
        <w:rPr>
          <w:rFonts w:ascii="Arial" w:hAnsi="Arial" w:cs="Arial"/>
          <w:bCs/>
        </w:rPr>
        <w:t xml:space="preserve"> El ofrecimiento de cantidades adicionales </w:t>
      </w:r>
      <w:r w:rsidR="00AD32AA">
        <w:rPr>
          <w:rFonts w:ascii="Arial" w:hAnsi="Arial" w:cs="Arial"/>
          <w:bCs/>
        </w:rPr>
        <w:t>deberá hacer</w:t>
      </w:r>
      <w:r w:rsidR="0002151A">
        <w:rPr>
          <w:rFonts w:ascii="Arial" w:hAnsi="Arial" w:cs="Arial"/>
          <w:bCs/>
        </w:rPr>
        <w:t>se</w:t>
      </w:r>
      <w:r w:rsidR="00AD32AA">
        <w:rPr>
          <w:rFonts w:ascii="Arial" w:hAnsi="Arial" w:cs="Arial"/>
          <w:bCs/>
        </w:rPr>
        <w:t xml:space="preserve"> sin perjuicio del c</w:t>
      </w:r>
      <w:r w:rsidR="00AF3AE8">
        <w:rPr>
          <w:rFonts w:ascii="Arial" w:hAnsi="Arial" w:cs="Arial"/>
          <w:bCs/>
        </w:rPr>
        <w:t>u</w:t>
      </w:r>
      <w:r w:rsidR="00AD32AA">
        <w:rPr>
          <w:rFonts w:ascii="Arial" w:hAnsi="Arial" w:cs="Arial"/>
          <w:bCs/>
        </w:rPr>
        <w:t xml:space="preserve">mplimiento de la modalidad </w:t>
      </w:r>
      <w:r w:rsidR="00ED188B">
        <w:rPr>
          <w:rFonts w:ascii="Arial" w:hAnsi="Arial" w:cs="Arial"/>
          <w:bCs/>
        </w:rPr>
        <w:t>contractual vigente para los contratos de suministro de GLP de precio regulado</w:t>
      </w:r>
      <w:r w:rsidR="00793A01">
        <w:rPr>
          <w:rFonts w:ascii="Arial" w:hAnsi="Arial" w:cs="Arial"/>
          <w:bCs/>
        </w:rPr>
        <w:t>, la cual corresponde a la de un contrato firme, según lo previsto en la Resolución CREG 066 de 2007.</w:t>
      </w:r>
    </w:p>
    <w:p w14:paraId="7986CCC8" w14:textId="77777777" w:rsidR="00BF0F7B" w:rsidRDefault="00BF0F7B" w:rsidP="00BF0F7B">
      <w:pPr>
        <w:ind w:left="0"/>
        <w:jc w:val="both"/>
        <w:rPr>
          <w:rFonts w:ascii="Arial" w:hAnsi="Arial" w:cs="Arial"/>
        </w:rPr>
      </w:pPr>
    </w:p>
    <w:p w14:paraId="436B1F80" w14:textId="51DC6D5C" w:rsidR="00BF0F7B" w:rsidRPr="003633AD" w:rsidRDefault="00BF0F7B" w:rsidP="00BF0F7B">
      <w:pPr>
        <w:ind w:left="0"/>
        <w:jc w:val="both"/>
        <w:rPr>
          <w:rFonts w:ascii="Arial" w:hAnsi="Arial" w:cs="Arial"/>
        </w:rPr>
      </w:pPr>
      <w:r w:rsidRPr="009944B7">
        <w:rPr>
          <w:rFonts w:ascii="Arial" w:hAnsi="Arial" w:cs="Arial"/>
          <w:b/>
        </w:rPr>
        <w:t xml:space="preserve">ARTÍCULO </w:t>
      </w:r>
      <w:r w:rsidR="00020C28">
        <w:rPr>
          <w:rFonts w:ascii="Arial" w:hAnsi="Arial" w:cs="Arial"/>
          <w:b/>
        </w:rPr>
        <w:t>2</w:t>
      </w:r>
      <w:r w:rsidRPr="009944B7">
        <w:rPr>
          <w:rFonts w:ascii="Arial" w:hAnsi="Arial" w:cs="Arial"/>
          <w:b/>
        </w:rPr>
        <w:t>. Vigencia.</w:t>
      </w:r>
      <w:r w:rsidRPr="009944B7">
        <w:rPr>
          <w:rFonts w:ascii="Arial" w:hAnsi="Arial" w:cs="Arial"/>
        </w:rPr>
        <w:t xml:space="preserve"> </w:t>
      </w:r>
      <w:r w:rsidRPr="003633AD">
        <w:rPr>
          <w:rFonts w:ascii="Arial" w:hAnsi="Arial" w:cs="Arial"/>
        </w:rPr>
        <w:t xml:space="preserve">Esta resolución rige a partir de su publicación en el Diario Oficial y hasta que se encuentre vigente </w:t>
      </w:r>
      <w:r w:rsidR="000168A5">
        <w:rPr>
          <w:rFonts w:ascii="Arial" w:hAnsi="Arial" w:cs="Arial"/>
        </w:rPr>
        <w:t xml:space="preserve">el racionamiento programado de GLP </w:t>
      </w:r>
      <w:r w:rsidR="002016E3">
        <w:rPr>
          <w:rFonts w:ascii="Arial" w:hAnsi="Arial" w:cs="Arial"/>
        </w:rPr>
        <w:t xml:space="preserve">a nivel </w:t>
      </w:r>
      <w:r w:rsidR="00155967">
        <w:rPr>
          <w:rFonts w:ascii="Arial" w:hAnsi="Arial" w:cs="Arial"/>
        </w:rPr>
        <w:t>nacional declarado</w:t>
      </w:r>
      <w:r w:rsidR="009A414C">
        <w:rPr>
          <w:rFonts w:ascii="Arial" w:hAnsi="Arial" w:cs="Arial"/>
        </w:rPr>
        <w:t xml:space="preserve"> mediante </w:t>
      </w:r>
      <w:r w:rsidR="00DD6D1E">
        <w:rPr>
          <w:rFonts w:ascii="Arial" w:hAnsi="Arial" w:cs="Arial"/>
        </w:rPr>
        <w:t>R</w:t>
      </w:r>
      <w:r w:rsidR="006F38AE">
        <w:rPr>
          <w:rFonts w:ascii="Arial" w:hAnsi="Arial" w:cs="Arial"/>
        </w:rPr>
        <w:t>esolución 40593 de 2023</w:t>
      </w:r>
      <w:r w:rsidR="00517531">
        <w:rPr>
          <w:rFonts w:ascii="Arial" w:hAnsi="Arial" w:cs="Arial"/>
        </w:rPr>
        <w:t xml:space="preserve"> del</w:t>
      </w:r>
      <w:r w:rsidR="009A414C">
        <w:rPr>
          <w:rFonts w:ascii="Arial" w:hAnsi="Arial" w:cs="Arial"/>
        </w:rPr>
        <w:t xml:space="preserve"> Ministerio de Minas y Energía</w:t>
      </w:r>
      <w:r w:rsidR="00BC16C3">
        <w:rPr>
          <w:rFonts w:ascii="Arial" w:hAnsi="Arial" w:cs="Arial"/>
        </w:rPr>
        <w:t xml:space="preserve"> y enunciad</w:t>
      </w:r>
      <w:r w:rsidR="00DD6D1E">
        <w:rPr>
          <w:rFonts w:ascii="Arial" w:hAnsi="Arial" w:cs="Arial"/>
        </w:rPr>
        <w:t>a</w:t>
      </w:r>
      <w:r w:rsidR="00BC16C3">
        <w:rPr>
          <w:rFonts w:ascii="Arial" w:hAnsi="Arial" w:cs="Arial"/>
        </w:rPr>
        <w:t xml:space="preserve"> en la parte motiva de la presente resolución</w:t>
      </w:r>
      <w:r w:rsidRPr="003633AD">
        <w:rPr>
          <w:rFonts w:ascii="Arial" w:hAnsi="Arial" w:cs="Arial"/>
        </w:rPr>
        <w:t>.</w:t>
      </w:r>
    </w:p>
    <w:p w14:paraId="4C3505C4" w14:textId="77777777" w:rsidR="00045D3D" w:rsidRDefault="00045D3D" w:rsidP="00045D3D">
      <w:pPr>
        <w:ind w:left="0"/>
        <w:rPr>
          <w:rFonts w:ascii="Arial" w:hAnsi="Arial" w:cs="Arial"/>
        </w:rPr>
      </w:pPr>
    </w:p>
    <w:p w14:paraId="5E07DF08" w14:textId="77777777" w:rsidR="00907569" w:rsidRPr="00572A42" w:rsidRDefault="00907569" w:rsidP="00045D3D">
      <w:pPr>
        <w:ind w:left="0"/>
        <w:rPr>
          <w:rFonts w:ascii="Arial" w:hAnsi="Arial" w:cs="Arial"/>
        </w:rPr>
      </w:pPr>
    </w:p>
    <w:p w14:paraId="292B1F06" w14:textId="17C6219B" w:rsidR="00045D3D" w:rsidRDefault="00045D3D" w:rsidP="00EB32AA">
      <w:pPr>
        <w:ind w:left="0"/>
        <w:jc w:val="center"/>
        <w:rPr>
          <w:rFonts w:ascii="Arial" w:hAnsi="Arial" w:cs="Arial"/>
          <w:b/>
        </w:rPr>
      </w:pPr>
      <w:r w:rsidRPr="00572A42">
        <w:rPr>
          <w:rFonts w:ascii="Arial" w:hAnsi="Arial" w:cs="Arial"/>
          <w:b/>
        </w:rPr>
        <w:t>PU</w:t>
      </w:r>
      <w:r w:rsidR="00CA03C8" w:rsidRPr="00572A42">
        <w:rPr>
          <w:rFonts w:ascii="Arial" w:hAnsi="Arial" w:cs="Arial"/>
          <w:b/>
        </w:rPr>
        <w:t>B</w:t>
      </w:r>
      <w:r w:rsidRPr="00572A42">
        <w:rPr>
          <w:rFonts w:ascii="Arial" w:hAnsi="Arial" w:cs="Arial"/>
          <w:b/>
        </w:rPr>
        <w:t>LÍQUESE Y CÚMPLASE</w:t>
      </w:r>
    </w:p>
    <w:p w14:paraId="7014D399" w14:textId="77777777" w:rsidR="00293015" w:rsidRDefault="00293015" w:rsidP="00293015">
      <w:pPr>
        <w:ind w:left="0"/>
        <w:rPr>
          <w:rFonts w:ascii="Arial" w:hAnsi="Arial" w:cs="Arial"/>
          <w:bCs/>
        </w:rPr>
      </w:pPr>
    </w:p>
    <w:sectPr w:rsidR="00293015" w:rsidSect="005A59EF">
      <w:headerReference w:type="default" r:id="rId11"/>
      <w:headerReference w:type="first" r:id="rId12"/>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3A873" w14:textId="77777777" w:rsidR="00F15967" w:rsidRDefault="00F15967">
      <w:r>
        <w:separator/>
      </w:r>
    </w:p>
  </w:endnote>
  <w:endnote w:type="continuationSeparator" w:id="0">
    <w:p w14:paraId="77F92B3E" w14:textId="77777777" w:rsidR="00F15967" w:rsidRDefault="00F15967">
      <w:r>
        <w:continuationSeparator/>
      </w:r>
    </w:p>
  </w:endnote>
  <w:endnote w:type="continuationNotice" w:id="1">
    <w:p w14:paraId="7ED0089B" w14:textId="77777777" w:rsidR="00F15967" w:rsidRDefault="00F159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31F4F" w14:textId="77777777" w:rsidR="00F15967" w:rsidRDefault="00F15967">
      <w:r>
        <w:separator/>
      </w:r>
    </w:p>
  </w:footnote>
  <w:footnote w:type="continuationSeparator" w:id="0">
    <w:p w14:paraId="1FF9DD75" w14:textId="77777777" w:rsidR="00F15967" w:rsidRDefault="00F15967">
      <w:r>
        <w:continuationSeparator/>
      </w:r>
    </w:p>
  </w:footnote>
  <w:footnote w:type="continuationNotice" w:id="1">
    <w:p w14:paraId="680DE571" w14:textId="77777777" w:rsidR="00F15967" w:rsidRDefault="00F159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87ED" w14:textId="77777777" w:rsidR="00CC51D4" w:rsidRDefault="00CC51D4" w:rsidP="00951F79">
    <w:pPr>
      <w:pStyle w:val="Ttulo1"/>
      <w:ind w:right="6"/>
      <w:jc w:val="left"/>
      <w:rPr>
        <w:rFonts w:ascii="Bookman Old Style" w:hAnsi="Bookman Old Style" w:cs="Arial"/>
        <w:b w:val="0"/>
        <w:sz w:val="22"/>
        <w:szCs w:val="22"/>
      </w:rPr>
    </w:pPr>
  </w:p>
  <w:p w14:paraId="7E3E84C7" w14:textId="377F868C" w:rsidR="005E2276" w:rsidRPr="00162FF9" w:rsidRDefault="00227C4D" w:rsidP="00162FF9">
    <w:pPr>
      <w:pStyle w:val="Ttulo1"/>
      <w:ind w:left="0" w:right="6"/>
      <w:jc w:val="left"/>
      <w:rPr>
        <w:rFonts w:ascii="Arial" w:hAnsi="Arial" w:cs="Arial"/>
        <w:b w:val="0"/>
        <w:sz w:val="22"/>
        <w:szCs w:val="22"/>
      </w:rPr>
    </w:pPr>
    <w:r>
      <w:rPr>
        <w:rFonts w:ascii="Arial" w:hAnsi="Arial" w:cs="Arial"/>
        <w:b w:val="0"/>
        <w:sz w:val="22"/>
        <w:szCs w:val="22"/>
      </w:rPr>
      <w:t xml:space="preserve">PROYECTO DE </w:t>
    </w:r>
    <w:r w:rsidR="00725FA4" w:rsidRPr="00293015">
      <w:rPr>
        <w:rFonts w:ascii="Arial" w:hAnsi="Arial" w:cs="Arial"/>
        <w:b w:val="0"/>
        <w:sz w:val="22"/>
        <w:szCs w:val="22"/>
      </w:rPr>
      <w:t>RESOLUCIÓN No.</w:t>
    </w:r>
    <w:r w:rsidR="00162FF9" w:rsidRPr="00162FF9">
      <w:rPr>
        <w:rFonts w:ascii="Arial" w:hAnsi="Arial" w:cs="Arial"/>
        <w:bCs/>
        <w:sz w:val="22"/>
        <w:szCs w:val="22"/>
        <w:u w:val="single"/>
      </w:rPr>
      <w:t>703 004</w:t>
    </w:r>
    <w:r w:rsidR="00725FA4" w:rsidRPr="00293015">
      <w:rPr>
        <w:rFonts w:ascii="Arial" w:hAnsi="Arial" w:cs="Arial"/>
        <w:b w:val="0"/>
        <w:sz w:val="22"/>
        <w:szCs w:val="22"/>
      </w:rPr>
      <w:tab/>
    </w:r>
    <w:r w:rsidR="00886EE1" w:rsidRPr="00293015">
      <w:rPr>
        <w:rFonts w:ascii="Arial" w:hAnsi="Arial" w:cs="Arial"/>
        <w:b w:val="0"/>
        <w:sz w:val="22"/>
        <w:szCs w:val="22"/>
      </w:rPr>
      <w:t>DE</w:t>
    </w:r>
    <w:r w:rsidR="00162FF9">
      <w:rPr>
        <w:rFonts w:ascii="Arial" w:hAnsi="Arial" w:cs="Arial"/>
        <w:b w:val="0"/>
        <w:sz w:val="22"/>
        <w:szCs w:val="22"/>
      </w:rPr>
      <w:t xml:space="preserve">  </w:t>
    </w:r>
    <w:r w:rsidR="000D26F8" w:rsidRPr="00293015">
      <w:rPr>
        <w:rFonts w:ascii="Arial" w:hAnsi="Arial" w:cs="Arial"/>
        <w:b w:val="0"/>
        <w:sz w:val="22"/>
        <w:szCs w:val="22"/>
      </w:rPr>
      <w:t xml:space="preserve"> </w:t>
    </w:r>
    <w:r w:rsidR="00162FF9" w:rsidRPr="00162FF9">
      <w:rPr>
        <w:rFonts w:ascii="Arial" w:hAnsi="Arial" w:cs="Arial"/>
        <w:bCs/>
        <w:sz w:val="22"/>
        <w:szCs w:val="22"/>
        <w:u w:val="single"/>
      </w:rPr>
      <w:t>03 OCT. 2023</w:t>
    </w:r>
    <w:r w:rsidR="00162FF9">
      <w:rPr>
        <w:rFonts w:ascii="Arial" w:hAnsi="Arial" w:cs="Arial"/>
        <w:bCs/>
        <w:sz w:val="22"/>
        <w:szCs w:val="22"/>
        <w:u w:val="single"/>
      </w:rPr>
      <w:t xml:space="preserve"> </w:t>
    </w:r>
    <w:r w:rsidR="003D076C" w:rsidRPr="00293015">
      <w:rPr>
        <w:rFonts w:ascii="Arial" w:hAnsi="Arial" w:cs="Arial"/>
        <w:b w:val="0"/>
        <w:sz w:val="22"/>
        <w:szCs w:val="22"/>
      </w:rPr>
      <w:tab/>
    </w:r>
    <w:r w:rsidR="00162FF9">
      <w:rPr>
        <w:rFonts w:ascii="Arial" w:hAnsi="Arial" w:cs="Arial"/>
        <w:b w:val="0"/>
        <w:sz w:val="22"/>
        <w:szCs w:val="22"/>
      </w:rPr>
      <w:t xml:space="preserve">     </w:t>
    </w:r>
    <w:r w:rsidR="00725FA4" w:rsidRPr="00293015">
      <w:rPr>
        <w:rFonts w:ascii="Arial" w:hAnsi="Arial" w:cs="Arial"/>
        <w:b w:val="0"/>
        <w:sz w:val="22"/>
        <w:szCs w:val="22"/>
      </w:rPr>
      <w:t>HOJA No.</w:t>
    </w:r>
    <w:r w:rsidR="00593C4F" w:rsidRPr="00293015">
      <w:rPr>
        <w:rFonts w:ascii="Arial" w:hAnsi="Arial" w:cs="Arial"/>
        <w:b w:val="0"/>
        <w:sz w:val="22"/>
        <w:szCs w:val="22"/>
      </w:rPr>
      <w:t xml:space="preserve"> </w:t>
    </w:r>
    <w:r w:rsidR="0042068C" w:rsidRPr="00293015">
      <w:rPr>
        <w:rFonts w:ascii="Arial" w:hAnsi="Arial" w:cs="Arial"/>
        <w:b w:val="0"/>
        <w:sz w:val="22"/>
        <w:szCs w:val="22"/>
      </w:rPr>
      <w:fldChar w:fldCharType="begin"/>
    </w:r>
    <w:r w:rsidR="00593C4F" w:rsidRPr="00293015">
      <w:rPr>
        <w:rFonts w:ascii="Arial" w:hAnsi="Arial" w:cs="Arial"/>
        <w:b w:val="0"/>
        <w:sz w:val="22"/>
        <w:szCs w:val="22"/>
      </w:rPr>
      <w:instrText xml:space="preserve"> PAGE   \* MERGEFORMAT </w:instrText>
    </w:r>
    <w:r w:rsidR="0042068C" w:rsidRPr="00293015">
      <w:rPr>
        <w:rFonts w:ascii="Arial" w:hAnsi="Arial" w:cs="Arial"/>
        <w:b w:val="0"/>
        <w:sz w:val="22"/>
        <w:szCs w:val="22"/>
      </w:rPr>
      <w:fldChar w:fldCharType="separate"/>
    </w:r>
    <w:r w:rsidR="00F77D2D" w:rsidRPr="00293015">
      <w:rPr>
        <w:rFonts w:ascii="Arial" w:hAnsi="Arial" w:cs="Arial"/>
        <w:b w:val="0"/>
        <w:noProof/>
        <w:sz w:val="22"/>
        <w:szCs w:val="22"/>
      </w:rPr>
      <w:t>2</w:t>
    </w:r>
    <w:r w:rsidR="0042068C" w:rsidRPr="00293015">
      <w:rPr>
        <w:rFonts w:ascii="Arial" w:hAnsi="Arial" w:cs="Arial"/>
        <w:b w:val="0"/>
        <w:sz w:val="22"/>
        <w:szCs w:val="22"/>
      </w:rPr>
      <w:fldChar w:fldCharType="end"/>
    </w:r>
    <w:r w:rsidR="00725FA4" w:rsidRPr="00293015">
      <w:rPr>
        <w:rFonts w:ascii="Arial" w:hAnsi="Arial" w:cs="Arial"/>
        <w:b w:val="0"/>
        <w:sz w:val="22"/>
        <w:szCs w:val="22"/>
      </w:rPr>
      <w:t>/</w:t>
    </w:r>
    <w:r w:rsidR="009474CE" w:rsidRPr="00293015">
      <w:rPr>
        <w:rFonts w:ascii="Arial" w:hAnsi="Arial" w:cs="Arial"/>
      </w:rPr>
      <w:fldChar w:fldCharType="begin"/>
    </w:r>
    <w:r w:rsidR="009474CE" w:rsidRPr="00293015">
      <w:rPr>
        <w:rFonts w:ascii="Arial" w:hAnsi="Arial" w:cs="Arial"/>
      </w:rPr>
      <w:instrText xml:space="preserve"> NUMPAGES  \* MERGEFORMAT </w:instrText>
    </w:r>
    <w:r w:rsidR="009474CE" w:rsidRPr="00293015">
      <w:rPr>
        <w:rFonts w:ascii="Arial" w:hAnsi="Arial" w:cs="Arial"/>
      </w:rPr>
      <w:fldChar w:fldCharType="separate"/>
    </w:r>
    <w:r w:rsidR="00F77D2D" w:rsidRPr="00293015">
      <w:rPr>
        <w:rFonts w:ascii="Arial" w:hAnsi="Arial" w:cs="Arial"/>
        <w:b w:val="0"/>
        <w:noProof/>
        <w:sz w:val="22"/>
        <w:szCs w:val="22"/>
      </w:rPr>
      <w:t>2</w:t>
    </w:r>
    <w:r w:rsidR="009474CE" w:rsidRPr="00293015">
      <w:rPr>
        <w:rFonts w:ascii="Arial" w:hAnsi="Arial" w:cs="Arial"/>
        <w:b w:val="0"/>
        <w:noProof/>
        <w:sz w:val="22"/>
        <w:szCs w:val="22"/>
      </w:rPr>
      <w:fldChar w:fldCharType="end"/>
    </w:r>
  </w:p>
  <w:p w14:paraId="16086E3D" w14:textId="7DD0DDED" w:rsidR="0044318E" w:rsidRDefault="00DF16F5" w:rsidP="00AA6D27">
    <w:pPr>
      <w:ind w:left="142" w:right="148"/>
      <w:rPr>
        <w:rFonts w:ascii="Arial" w:hAnsi="Arial" w:cs="Arial"/>
        <w:b/>
      </w:rPr>
    </w:pPr>
    <w:r w:rsidRPr="0042068C">
      <w:rPr>
        <w:noProof/>
      </w:rPr>
      <mc:AlternateContent>
        <mc:Choice Requires="wps">
          <w:drawing>
            <wp:anchor distT="0" distB="0" distL="114300" distR="114300" simplePos="0" relativeHeight="251658240"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145C7" id="Rectángulo 2" o:spid="_x0000_s1026" style="position:absolute;margin-left:-13.8pt;margin-top:10.95pt;width:493.5pt;height:7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375427A8" w14:textId="77777777" w:rsidR="00AA6D27" w:rsidRPr="00AA6D27" w:rsidRDefault="00AA6D27" w:rsidP="00EB32AA">
    <w:pPr>
      <w:ind w:left="142" w:right="148"/>
      <w:rPr>
        <w:rFonts w:ascii="Arial" w:hAnsi="Arial" w:cs="Arial"/>
        <w:bCs/>
      </w:rPr>
    </w:pPr>
  </w:p>
  <w:p w14:paraId="5E0F9A80" w14:textId="77777777" w:rsidR="00AA6D27" w:rsidRPr="005E2276" w:rsidRDefault="00AA6D27" w:rsidP="00EB32AA">
    <w:pPr>
      <w:ind w:left="142" w:right="148"/>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DA16" w14:textId="12A38B6A" w:rsidR="00725FA4" w:rsidRPr="00EB32AA" w:rsidRDefault="00725FA4" w:rsidP="00EB32AA">
    <w:pPr>
      <w:pStyle w:val="Encabezado"/>
      <w:ind w:left="0"/>
      <w:jc w:val="center"/>
      <w:rPr>
        <w:rFonts w:ascii="Arial" w:hAnsi="Arial" w:cs="Arial"/>
        <w:spacing w:val="20"/>
        <w:szCs w:val="24"/>
      </w:rPr>
    </w:pPr>
    <w:r w:rsidRPr="00EB32AA">
      <w:rPr>
        <w:rFonts w:ascii="Arial" w:hAnsi="Arial" w:cs="Arial"/>
        <w:spacing w:val="20"/>
        <w:szCs w:val="24"/>
      </w:rPr>
      <w:t>República de Colombia</w:t>
    </w:r>
  </w:p>
  <w:p w14:paraId="273850B7" w14:textId="77777777" w:rsidR="00725FA4" w:rsidRPr="00EB32AA" w:rsidRDefault="00725FA4" w:rsidP="00EB32AA">
    <w:pPr>
      <w:pStyle w:val="Encabezado"/>
      <w:ind w:left="0"/>
      <w:jc w:val="center"/>
      <w:rPr>
        <w:rFonts w:ascii="Arial" w:hAnsi="Arial" w:cs="Arial"/>
        <w:spacing w:val="20"/>
        <w:szCs w:val="24"/>
      </w:rPr>
    </w:pPr>
  </w:p>
  <w:p w14:paraId="367D4456" w14:textId="76DA3229" w:rsidR="00725FA4" w:rsidRDefault="00DF16F5" w:rsidP="00CA77FB">
    <w:pPr>
      <w:pStyle w:val="Encabezado"/>
      <w:jc w:val="center"/>
    </w:pPr>
    <w:r w:rsidRPr="0042068C">
      <w:rPr>
        <w:rFonts w:ascii="Arial" w:hAnsi="Arial" w:cs="Arial"/>
        <w:noProof/>
        <w:spacing w:val="20"/>
        <w:sz w:val="20"/>
        <w:lang w:val="es-ES"/>
      </w:rPr>
      <mc:AlternateContent>
        <mc:Choice Requires="wps">
          <w:drawing>
            <wp:anchor distT="0" distB="0" distL="114300" distR="114300" simplePos="0" relativeHeight="251658241"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A8137" id="Rectángulo 1" o:spid="_x0000_s1026"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C330E"/>
    <w:multiLevelType w:val="hybridMultilevel"/>
    <w:tmpl w:val="EAAC883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3"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5"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6"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0"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60953670">
    <w:abstractNumId w:val="12"/>
  </w:num>
  <w:num w:numId="2" w16cid:durableId="1497382030">
    <w:abstractNumId w:val="5"/>
  </w:num>
  <w:num w:numId="3" w16cid:durableId="1643658739">
    <w:abstractNumId w:val="21"/>
  </w:num>
  <w:num w:numId="4" w16cid:durableId="1416053916">
    <w:abstractNumId w:val="6"/>
  </w:num>
  <w:num w:numId="5" w16cid:durableId="1460681335">
    <w:abstractNumId w:val="16"/>
  </w:num>
  <w:num w:numId="6" w16cid:durableId="432214895">
    <w:abstractNumId w:val="4"/>
  </w:num>
  <w:num w:numId="7" w16cid:durableId="845751384">
    <w:abstractNumId w:val="3"/>
  </w:num>
  <w:num w:numId="8" w16cid:durableId="29301030">
    <w:abstractNumId w:val="18"/>
  </w:num>
  <w:num w:numId="9" w16cid:durableId="2003662021">
    <w:abstractNumId w:val="17"/>
  </w:num>
  <w:num w:numId="10" w16cid:durableId="2014674860">
    <w:abstractNumId w:val="13"/>
  </w:num>
  <w:num w:numId="11" w16cid:durableId="958032325">
    <w:abstractNumId w:val="22"/>
  </w:num>
  <w:num w:numId="12" w16cid:durableId="1838691975">
    <w:abstractNumId w:val="20"/>
  </w:num>
  <w:num w:numId="13" w16cid:durableId="273679532">
    <w:abstractNumId w:val="10"/>
  </w:num>
  <w:num w:numId="14" w16cid:durableId="2070683866">
    <w:abstractNumId w:val="2"/>
  </w:num>
  <w:num w:numId="15" w16cid:durableId="1975476040">
    <w:abstractNumId w:val="14"/>
  </w:num>
  <w:num w:numId="16" w16cid:durableId="83963299">
    <w:abstractNumId w:val="1"/>
  </w:num>
  <w:num w:numId="17" w16cid:durableId="353533871">
    <w:abstractNumId w:val="9"/>
  </w:num>
  <w:num w:numId="18" w16cid:durableId="788664195">
    <w:abstractNumId w:val="0"/>
  </w:num>
  <w:num w:numId="19" w16cid:durableId="1454788596">
    <w:abstractNumId w:val="19"/>
  </w:num>
  <w:num w:numId="20" w16cid:durableId="1999069271">
    <w:abstractNumId w:val="15"/>
  </w:num>
  <w:num w:numId="21" w16cid:durableId="1075667280">
    <w:abstractNumId w:val="7"/>
  </w:num>
  <w:num w:numId="22" w16cid:durableId="40371620">
    <w:abstractNumId w:val="8"/>
  </w:num>
  <w:num w:numId="23" w16cid:durableId="15740032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3B99"/>
    <w:rsid w:val="00004E30"/>
    <w:rsid w:val="000069D9"/>
    <w:rsid w:val="00006AE2"/>
    <w:rsid w:val="000076A1"/>
    <w:rsid w:val="00012259"/>
    <w:rsid w:val="000168A5"/>
    <w:rsid w:val="00020C28"/>
    <w:rsid w:val="0002151A"/>
    <w:rsid w:val="00024E36"/>
    <w:rsid w:val="00025383"/>
    <w:rsid w:val="00026B89"/>
    <w:rsid w:val="0003555B"/>
    <w:rsid w:val="00036318"/>
    <w:rsid w:val="00043132"/>
    <w:rsid w:val="00045D3D"/>
    <w:rsid w:val="00051F58"/>
    <w:rsid w:val="00052907"/>
    <w:rsid w:val="00055C60"/>
    <w:rsid w:val="0005757E"/>
    <w:rsid w:val="00061CCF"/>
    <w:rsid w:val="000631C7"/>
    <w:rsid w:val="00063657"/>
    <w:rsid w:val="00070572"/>
    <w:rsid w:val="00072EEC"/>
    <w:rsid w:val="00076680"/>
    <w:rsid w:val="00076A1D"/>
    <w:rsid w:val="00076C91"/>
    <w:rsid w:val="0008073E"/>
    <w:rsid w:val="00087C1B"/>
    <w:rsid w:val="00091CDB"/>
    <w:rsid w:val="000A0565"/>
    <w:rsid w:val="000A19AC"/>
    <w:rsid w:val="000B2EC9"/>
    <w:rsid w:val="000B7608"/>
    <w:rsid w:val="000C63BD"/>
    <w:rsid w:val="000D1DB8"/>
    <w:rsid w:val="000D26F8"/>
    <w:rsid w:val="000E0766"/>
    <w:rsid w:val="000E49D7"/>
    <w:rsid w:val="000F2E40"/>
    <w:rsid w:val="00106654"/>
    <w:rsid w:val="00114138"/>
    <w:rsid w:val="0012403C"/>
    <w:rsid w:val="001251B7"/>
    <w:rsid w:val="0013526C"/>
    <w:rsid w:val="0013683A"/>
    <w:rsid w:val="00137286"/>
    <w:rsid w:val="001405C6"/>
    <w:rsid w:val="00141013"/>
    <w:rsid w:val="0014184E"/>
    <w:rsid w:val="001422AC"/>
    <w:rsid w:val="0014560E"/>
    <w:rsid w:val="001469D9"/>
    <w:rsid w:val="001525FF"/>
    <w:rsid w:val="00155967"/>
    <w:rsid w:val="00162DD2"/>
    <w:rsid w:val="00162FF9"/>
    <w:rsid w:val="00172C46"/>
    <w:rsid w:val="00191838"/>
    <w:rsid w:val="00192CBF"/>
    <w:rsid w:val="00192FF1"/>
    <w:rsid w:val="001A185A"/>
    <w:rsid w:val="001A202B"/>
    <w:rsid w:val="001A5F1B"/>
    <w:rsid w:val="001A7AF8"/>
    <w:rsid w:val="001B1C22"/>
    <w:rsid w:val="001B34C6"/>
    <w:rsid w:val="001B461C"/>
    <w:rsid w:val="001B51E7"/>
    <w:rsid w:val="001C3267"/>
    <w:rsid w:val="001D32AA"/>
    <w:rsid w:val="001D3461"/>
    <w:rsid w:val="001D7832"/>
    <w:rsid w:val="001E11B7"/>
    <w:rsid w:val="001E4B97"/>
    <w:rsid w:val="001F297E"/>
    <w:rsid w:val="001F471F"/>
    <w:rsid w:val="002016E3"/>
    <w:rsid w:val="00202372"/>
    <w:rsid w:val="00203904"/>
    <w:rsid w:val="0021093C"/>
    <w:rsid w:val="00210DC1"/>
    <w:rsid w:val="00211D34"/>
    <w:rsid w:val="00214F04"/>
    <w:rsid w:val="00226331"/>
    <w:rsid w:val="00227C4D"/>
    <w:rsid w:val="00233688"/>
    <w:rsid w:val="002351E6"/>
    <w:rsid w:val="002352B9"/>
    <w:rsid w:val="00237631"/>
    <w:rsid w:val="00242C0B"/>
    <w:rsid w:val="00251AB0"/>
    <w:rsid w:val="00256829"/>
    <w:rsid w:val="00262988"/>
    <w:rsid w:val="00266CD6"/>
    <w:rsid w:val="002673AC"/>
    <w:rsid w:val="002701B4"/>
    <w:rsid w:val="00275DAB"/>
    <w:rsid w:val="002903C0"/>
    <w:rsid w:val="00293015"/>
    <w:rsid w:val="002A4BD0"/>
    <w:rsid w:val="002A782A"/>
    <w:rsid w:val="002B11E2"/>
    <w:rsid w:val="002B24B8"/>
    <w:rsid w:val="002B73FC"/>
    <w:rsid w:val="002C4E4F"/>
    <w:rsid w:val="002C588B"/>
    <w:rsid w:val="002D135B"/>
    <w:rsid w:val="002D3AE9"/>
    <w:rsid w:val="002D4510"/>
    <w:rsid w:val="002E1988"/>
    <w:rsid w:val="002E5B2D"/>
    <w:rsid w:val="002E6C87"/>
    <w:rsid w:val="002F0734"/>
    <w:rsid w:val="002F175F"/>
    <w:rsid w:val="002F46E7"/>
    <w:rsid w:val="00304A56"/>
    <w:rsid w:val="003079D2"/>
    <w:rsid w:val="003101DA"/>
    <w:rsid w:val="00311087"/>
    <w:rsid w:val="003111C3"/>
    <w:rsid w:val="00314757"/>
    <w:rsid w:val="003163BC"/>
    <w:rsid w:val="003211CE"/>
    <w:rsid w:val="00321F36"/>
    <w:rsid w:val="00335213"/>
    <w:rsid w:val="00337ECB"/>
    <w:rsid w:val="0035403A"/>
    <w:rsid w:val="00361BA2"/>
    <w:rsid w:val="0036394B"/>
    <w:rsid w:val="00366DB6"/>
    <w:rsid w:val="003709B5"/>
    <w:rsid w:val="00373CE7"/>
    <w:rsid w:val="003759C2"/>
    <w:rsid w:val="003815A6"/>
    <w:rsid w:val="0038240A"/>
    <w:rsid w:val="00383494"/>
    <w:rsid w:val="00391006"/>
    <w:rsid w:val="00397365"/>
    <w:rsid w:val="003A00A9"/>
    <w:rsid w:val="003A31F6"/>
    <w:rsid w:val="003A4702"/>
    <w:rsid w:val="003A51C9"/>
    <w:rsid w:val="003C03D3"/>
    <w:rsid w:val="003C2321"/>
    <w:rsid w:val="003C2B17"/>
    <w:rsid w:val="003C3447"/>
    <w:rsid w:val="003D076C"/>
    <w:rsid w:val="003D2FC1"/>
    <w:rsid w:val="003D43E4"/>
    <w:rsid w:val="003E3077"/>
    <w:rsid w:val="003E50E4"/>
    <w:rsid w:val="003E78B5"/>
    <w:rsid w:val="003F2CA1"/>
    <w:rsid w:val="003F6EFE"/>
    <w:rsid w:val="003F72D7"/>
    <w:rsid w:val="00405A22"/>
    <w:rsid w:val="00415BAB"/>
    <w:rsid w:val="00415ED2"/>
    <w:rsid w:val="0042068C"/>
    <w:rsid w:val="00425B11"/>
    <w:rsid w:val="00427F00"/>
    <w:rsid w:val="00431508"/>
    <w:rsid w:val="0043191A"/>
    <w:rsid w:val="0044318E"/>
    <w:rsid w:val="00443B35"/>
    <w:rsid w:val="004527CA"/>
    <w:rsid w:val="0045488D"/>
    <w:rsid w:val="00461683"/>
    <w:rsid w:val="00463A1F"/>
    <w:rsid w:val="00466D6B"/>
    <w:rsid w:val="0047122B"/>
    <w:rsid w:val="00471E9D"/>
    <w:rsid w:val="00473B7A"/>
    <w:rsid w:val="00484DA5"/>
    <w:rsid w:val="00485D9A"/>
    <w:rsid w:val="004960E9"/>
    <w:rsid w:val="004A2646"/>
    <w:rsid w:val="004A2E88"/>
    <w:rsid w:val="004A4EED"/>
    <w:rsid w:val="004A5305"/>
    <w:rsid w:val="004B1380"/>
    <w:rsid w:val="004B20FC"/>
    <w:rsid w:val="004B62A5"/>
    <w:rsid w:val="004C6B9B"/>
    <w:rsid w:val="004D731C"/>
    <w:rsid w:val="004D7634"/>
    <w:rsid w:val="004E00DA"/>
    <w:rsid w:val="004E611A"/>
    <w:rsid w:val="004F3E8B"/>
    <w:rsid w:val="004F6460"/>
    <w:rsid w:val="004F6A5C"/>
    <w:rsid w:val="00501E50"/>
    <w:rsid w:val="005067F3"/>
    <w:rsid w:val="00507C90"/>
    <w:rsid w:val="00511B5A"/>
    <w:rsid w:val="00517531"/>
    <w:rsid w:val="00527128"/>
    <w:rsid w:val="005300D3"/>
    <w:rsid w:val="005330BD"/>
    <w:rsid w:val="00542A10"/>
    <w:rsid w:val="00544F82"/>
    <w:rsid w:val="005509D2"/>
    <w:rsid w:val="005537D7"/>
    <w:rsid w:val="0057240F"/>
    <w:rsid w:val="00572A42"/>
    <w:rsid w:val="00572AB4"/>
    <w:rsid w:val="00576CE8"/>
    <w:rsid w:val="00580DD8"/>
    <w:rsid w:val="005812EF"/>
    <w:rsid w:val="00587DCD"/>
    <w:rsid w:val="00593C4F"/>
    <w:rsid w:val="005946A8"/>
    <w:rsid w:val="00595160"/>
    <w:rsid w:val="00595944"/>
    <w:rsid w:val="00597BAC"/>
    <w:rsid w:val="005A4407"/>
    <w:rsid w:val="005A59EF"/>
    <w:rsid w:val="005B1BCB"/>
    <w:rsid w:val="005B1C7E"/>
    <w:rsid w:val="005C6007"/>
    <w:rsid w:val="005C6976"/>
    <w:rsid w:val="005D01C5"/>
    <w:rsid w:val="005D35FE"/>
    <w:rsid w:val="005D44B7"/>
    <w:rsid w:val="005E2276"/>
    <w:rsid w:val="005F6F41"/>
    <w:rsid w:val="00600B5F"/>
    <w:rsid w:val="00610483"/>
    <w:rsid w:val="00615824"/>
    <w:rsid w:val="006161FC"/>
    <w:rsid w:val="0062117D"/>
    <w:rsid w:val="00625DC6"/>
    <w:rsid w:val="006322C3"/>
    <w:rsid w:val="0063475A"/>
    <w:rsid w:val="00636D37"/>
    <w:rsid w:val="0064391D"/>
    <w:rsid w:val="00651821"/>
    <w:rsid w:val="00654384"/>
    <w:rsid w:val="00666259"/>
    <w:rsid w:val="006675CD"/>
    <w:rsid w:val="00670223"/>
    <w:rsid w:val="00680A0C"/>
    <w:rsid w:val="0068167A"/>
    <w:rsid w:val="00684D9B"/>
    <w:rsid w:val="0068510A"/>
    <w:rsid w:val="00696224"/>
    <w:rsid w:val="00697556"/>
    <w:rsid w:val="006A07DA"/>
    <w:rsid w:val="006A12E3"/>
    <w:rsid w:val="006A1DBB"/>
    <w:rsid w:val="006A5CF7"/>
    <w:rsid w:val="006B3BFC"/>
    <w:rsid w:val="006B4647"/>
    <w:rsid w:val="006B49EF"/>
    <w:rsid w:val="006B4C2B"/>
    <w:rsid w:val="006B6194"/>
    <w:rsid w:val="006B6D47"/>
    <w:rsid w:val="006C14AB"/>
    <w:rsid w:val="006C3409"/>
    <w:rsid w:val="006C3B69"/>
    <w:rsid w:val="006C53F8"/>
    <w:rsid w:val="006C564C"/>
    <w:rsid w:val="006C5AFE"/>
    <w:rsid w:val="006C7892"/>
    <w:rsid w:val="006E2C8D"/>
    <w:rsid w:val="006E75BB"/>
    <w:rsid w:val="006F2EC8"/>
    <w:rsid w:val="006F38AE"/>
    <w:rsid w:val="006F6D95"/>
    <w:rsid w:val="0070285B"/>
    <w:rsid w:val="00706F13"/>
    <w:rsid w:val="007072E8"/>
    <w:rsid w:val="0071618D"/>
    <w:rsid w:val="00716376"/>
    <w:rsid w:val="0072021B"/>
    <w:rsid w:val="00722511"/>
    <w:rsid w:val="00725FA4"/>
    <w:rsid w:val="007379BF"/>
    <w:rsid w:val="00740446"/>
    <w:rsid w:val="0074090D"/>
    <w:rsid w:val="007420DD"/>
    <w:rsid w:val="007438A9"/>
    <w:rsid w:val="0074491E"/>
    <w:rsid w:val="0075440E"/>
    <w:rsid w:val="00755701"/>
    <w:rsid w:val="0076247A"/>
    <w:rsid w:val="00765E97"/>
    <w:rsid w:val="00775964"/>
    <w:rsid w:val="007765FE"/>
    <w:rsid w:val="007823A8"/>
    <w:rsid w:val="0078624E"/>
    <w:rsid w:val="0079095E"/>
    <w:rsid w:val="00792C53"/>
    <w:rsid w:val="00793A01"/>
    <w:rsid w:val="00794E2E"/>
    <w:rsid w:val="00795BFB"/>
    <w:rsid w:val="007A5A0F"/>
    <w:rsid w:val="007A6181"/>
    <w:rsid w:val="007A64FF"/>
    <w:rsid w:val="007A7E5B"/>
    <w:rsid w:val="007B2760"/>
    <w:rsid w:val="007B5A60"/>
    <w:rsid w:val="007D330B"/>
    <w:rsid w:val="007D5F0D"/>
    <w:rsid w:val="007F5D18"/>
    <w:rsid w:val="00806C01"/>
    <w:rsid w:val="008148CC"/>
    <w:rsid w:val="00820CD0"/>
    <w:rsid w:val="008211A4"/>
    <w:rsid w:val="0083340D"/>
    <w:rsid w:val="00834925"/>
    <w:rsid w:val="00840514"/>
    <w:rsid w:val="00843963"/>
    <w:rsid w:val="00845224"/>
    <w:rsid w:val="00845813"/>
    <w:rsid w:val="0084693A"/>
    <w:rsid w:val="008559F6"/>
    <w:rsid w:val="00861D15"/>
    <w:rsid w:val="008709ED"/>
    <w:rsid w:val="00872B76"/>
    <w:rsid w:val="00873150"/>
    <w:rsid w:val="00873BAB"/>
    <w:rsid w:val="0087657D"/>
    <w:rsid w:val="00876815"/>
    <w:rsid w:val="008807D5"/>
    <w:rsid w:val="0088082A"/>
    <w:rsid w:val="00880832"/>
    <w:rsid w:val="00884B36"/>
    <w:rsid w:val="00886EE1"/>
    <w:rsid w:val="0088727D"/>
    <w:rsid w:val="00897C75"/>
    <w:rsid w:val="008A515E"/>
    <w:rsid w:val="008B58C9"/>
    <w:rsid w:val="008C0857"/>
    <w:rsid w:val="008C1130"/>
    <w:rsid w:val="008C5263"/>
    <w:rsid w:val="008C603B"/>
    <w:rsid w:val="008D09A1"/>
    <w:rsid w:val="008D18E6"/>
    <w:rsid w:val="008D24BF"/>
    <w:rsid w:val="008D7A9B"/>
    <w:rsid w:val="008E0060"/>
    <w:rsid w:val="008E254B"/>
    <w:rsid w:val="008E7091"/>
    <w:rsid w:val="008E76AC"/>
    <w:rsid w:val="008F21F6"/>
    <w:rsid w:val="008F5B99"/>
    <w:rsid w:val="008F637F"/>
    <w:rsid w:val="00902993"/>
    <w:rsid w:val="00907569"/>
    <w:rsid w:val="00911F9B"/>
    <w:rsid w:val="00913C26"/>
    <w:rsid w:val="00914D58"/>
    <w:rsid w:val="00925A60"/>
    <w:rsid w:val="0093788F"/>
    <w:rsid w:val="00941916"/>
    <w:rsid w:val="00944555"/>
    <w:rsid w:val="009474CE"/>
    <w:rsid w:val="00951F79"/>
    <w:rsid w:val="00965854"/>
    <w:rsid w:val="00970DBE"/>
    <w:rsid w:val="00973B82"/>
    <w:rsid w:val="00974AB5"/>
    <w:rsid w:val="009753BD"/>
    <w:rsid w:val="00976BE7"/>
    <w:rsid w:val="0098706D"/>
    <w:rsid w:val="009912A4"/>
    <w:rsid w:val="00992467"/>
    <w:rsid w:val="00992D43"/>
    <w:rsid w:val="009935FB"/>
    <w:rsid w:val="00993D7C"/>
    <w:rsid w:val="00996633"/>
    <w:rsid w:val="009A01BA"/>
    <w:rsid w:val="009A414C"/>
    <w:rsid w:val="009A650B"/>
    <w:rsid w:val="009C0CC3"/>
    <w:rsid w:val="009C169C"/>
    <w:rsid w:val="009D3D0A"/>
    <w:rsid w:val="009D42B6"/>
    <w:rsid w:val="009D5C35"/>
    <w:rsid w:val="009E1CDB"/>
    <w:rsid w:val="009E6459"/>
    <w:rsid w:val="009E6E41"/>
    <w:rsid w:val="009F4A54"/>
    <w:rsid w:val="009F4BEC"/>
    <w:rsid w:val="009F5874"/>
    <w:rsid w:val="00A002B9"/>
    <w:rsid w:val="00A01ABC"/>
    <w:rsid w:val="00A06511"/>
    <w:rsid w:val="00A10741"/>
    <w:rsid w:val="00A118CC"/>
    <w:rsid w:val="00A167C4"/>
    <w:rsid w:val="00A22BF6"/>
    <w:rsid w:val="00A254DC"/>
    <w:rsid w:val="00A25FD7"/>
    <w:rsid w:val="00A27B91"/>
    <w:rsid w:val="00A36AC0"/>
    <w:rsid w:val="00A40286"/>
    <w:rsid w:val="00A42FB5"/>
    <w:rsid w:val="00A43AFF"/>
    <w:rsid w:val="00A4517D"/>
    <w:rsid w:val="00A45189"/>
    <w:rsid w:val="00A5530E"/>
    <w:rsid w:val="00A56C97"/>
    <w:rsid w:val="00A71B24"/>
    <w:rsid w:val="00A7399D"/>
    <w:rsid w:val="00A74C4E"/>
    <w:rsid w:val="00A7793A"/>
    <w:rsid w:val="00A864F8"/>
    <w:rsid w:val="00A97713"/>
    <w:rsid w:val="00AA2217"/>
    <w:rsid w:val="00AA4CC7"/>
    <w:rsid w:val="00AA5E8E"/>
    <w:rsid w:val="00AA6D27"/>
    <w:rsid w:val="00AB2BAD"/>
    <w:rsid w:val="00AB3CA0"/>
    <w:rsid w:val="00AB6CA7"/>
    <w:rsid w:val="00AD01E4"/>
    <w:rsid w:val="00AD0858"/>
    <w:rsid w:val="00AD2209"/>
    <w:rsid w:val="00AD32AA"/>
    <w:rsid w:val="00AD78AD"/>
    <w:rsid w:val="00AE02E3"/>
    <w:rsid w:val="00AE2DA2"/>
    <w:rsid w:val="00AE5605"/>
    <w:rsid w:val="00AE56A3"/>
    <w:rsid w:val="00AE7340"/>
    <w:rsid w:val="00AF1BBD"/>
    <w:rsid w:val="00AF3AE8"/>
    <w:rsid w:val="00AF4A9C"/>
    <w:rsid w:val="00AF5431"/>
    <w:rsid w:val="00B10207"/>
    <w:rsid w:val="00B1331A"/>
    <w:rsid w:val="00B141E7"/>
    <w:rsid w:val="00B20886"/>
    <w:rsid w:val="00B33BAA"/>
    <w:rsid w:val="00B351B4"/>
    <w:rsid w:val="00B42D59"/>
    <w:rsid w:val="00B46BCA"/>
    <w:rsid w:val="00B478AA"/>
    <w:rsid w:val="00B500C8"/>
    <w:rsid w:val="00B60126"/>
    <w:rsid w:val="00B635CC"/>
    <w:rsid w:val="00B655BB"/>
    <w:rsid w:val="00B76393"/>
    <w:rsid w:val="00B817DA"/>
    <w:rsid w:val="00B858C6"/>
    <w:rsid w:val="00B87806"/>
    <w:rsid w:val="00B87EC9"/>
    <w:rsid w:val="00B959CC"/>
    <w:rsid w:val="00BB0E63"/>
    <w:rsid w:val="00BC0989"/>
    <w:rsid w:val="00BC16C3"/>
    <w:rsid w:val="00BC2294"/>
    <w:rsid w:val="00BC38FD"/>
    <w:rsid w:val="00BC3C79"/>
    <w:rsid w:val="00BC74EB"/>
    <w:rsid w:val="00BF0F7B"/>
    <w:rsid w:val="00BF1533"/>
    <w:rsid w:val="00BF72A1"/>
    <w:rsid w:val="00C034CB"/>
    <w:rsid w:val="00C051A8"/>
    <w:rsid w:val="00C054BC"/>
    <w:rsid w:val="00C061E2"/>
    <w:rsid w:val="00C17897"/>
    <w:rsid w:val="00C21BF8"/>
    <w:rsid w:val="00C229BC"/>
    <w:rsid w:val="00C27427"/>
    <w:rsid w:val="00C409D5"/>
    <w:rsid w:val="00C435C3"/>
    <w:rsid w:val="00C44E5F"/>
    <w:rsid w:val="00C46175"/>
    <w:rsid w:val="00C51B7C"/>
    <w:rsid w:val="00C51F4C"/>
    <w:rsid w:val="00C542EA"/>
    <w:rsid w:val="00C6234B"/>
    <w:rsid w:val="00C63EAE"/>
    <w:rsid w:val="00C7054B"/>
    <w:rsid w:val="00C7319D"/>
    <w:rsid w:val="00C73260"/>
    <w:rsid w:val="00C7548F"/>
    <w:rsid w:val="00C7629F"/>
    <w:rsid w:val="00C8291F"/>
    <w:rsid w:val="00C8661B"/>
    <w:rsid w:val="00CA03C8"/>
    <w:rsid w:val="00CA139A"/>
    <w:rsid w:val="00CA2899"/>
    <w:rsid w:val="00CA3A3D"/>
    <w:rsid w:val="00CA3AA6"/>
    <w:rsid w:val="00CA760A"/>
    <w:rsid w:val="00CA77FB"/>
    <w:rsid w:val="00CB379B"/>
    <w:rsid w:val="00CB5DD0"/>
    <w:rsid w:val="00CB7D50"/>
    <w:rsid w:val="00CC017C"/>
    <w:rsid w:val="00CC51D4"/>
    <w:rsid w:val="00CC65DA"/>
    <w:rsid w:val="00CD50EC"/>
    <w:rsid w:val="00CD718E"/>
    <w:rsid w:val="00CE3BD8"/>
    <w:rsid w:val="00CE769A"/>
    <w:rsid w:val="00CF13B2"/>
    <w:rsid w:val="00CF21B9"/>
    <w:rsid w:val="00CF6BF9"/>
    <w:rsid w:val="00D03800"/>
    <w:rsid w:val="00D043C8"/>
    <w:rsid w:val="00D04B8A"/>
    <w:rsid w:val="00D065D3"/>
    <w:rsid w:val="00D109BF"/>
    <w:rsid w:val="00D13614"/>
    <w:rsid w:val="00D14C94"/>
    <w:rsid w:val="00D17F07"/>
    <w:rsid w:val="00D342A6"/>
    <w:rsid w:val="00D43FF8"/>
    <w:rsid w:val="00D4577F"/>
    <w:rsid w:val="00D45CA6"/>
    <w:rsid w:val="00D464BF"/>
    <w:rsid w:val="00D46E0F"/>
    <w:rsid w:val="00D5117E"/>
    <w:rsid w:val="00D53E26"/>
    <w:rsid w:val="00D6006D"/>
    <w:rsid w:val="00D61CF3"/>
    <w:rsid w:val="00D6391B"/>
    <w:rsid w:val="00D656C3"/>
    <w:rsid w:val="00D665C5"/>
    <w:rsid w:val="00D76091"/>
    <w:rsid w:val="00D761E8"/>
    <w:rsid w:val="00D83F43"/>
    <w:rsid w:val="00D85CD3"/>
    <w:rsid w:val="00D904F4"/>
    <w:rsid w:val="00D962D0"/>
    <w:rsid w:val="00DA33A2"/>
    <w:rsid w:val="00DA378C"/>
    <w:rsid w:val="00DA4189"/>
    <w:rsid w:val="00DB182C"/>
    <w:rsid w:val="00DC07DC"/>
    <w:rsid w:val="00DD4148"/>
    <w:rsid w:val="00DD4F0E"/>
    <w:rsid w:val="00DD6D1E"/>
    <w:rsid w:val="00DF0BF0"/>
    <w:rsid w:val="00DF16F5"/>
    <w:rsid w:val="00DF1D2F"/>
    <w:rsid w:val="00DF2A6F"/>
    <w:rsid w:val="00DF3CA2"/>
    <w:rsid w:val="00DF7350"/>
    <w:rsid w:val="00DF753F"/>
    <w:rsid w:val="00E007ED"/>
    <w:rsid w:val="00E0111A"/>
    <w:rsid w:val="00E01463"/>
    <w:rsid w:val="00E05E0A"/>
    <w:rsid w:val="00E060BE"/>
    <w:rsid w:val="00E11D03"/>
    <w:rsid w:val="00E22BAC"/>
    <w:rsid w:val="00E23A14"/>
    <w:rsid w:val="00E30986"/>
    <w:rsid w:val="00E318F1"/>
    <w:rsid w:val="00E41C2B"/>
    <w:rsid w:val="00E42A0C"/>
    <w:rsid w:val="00E534CF"/>
    <w:rsid w:val="00E57466"/>
    <w:rsid w:val="00E60CC7"/>
    <w:rsid w:val="00E63920"/>
    <w:rsid w:val="00E752FC"/>
    <w:rsid w:val="00E81CB4"/>
    <w:rsid w:val="00E8585B"/>
    <w:rsid w:val="00E87F41"/>
    <w:rsid w:val="00E9037F"/>
    <w:rsid w:val="00EA3F15"/>
    <w:rsid w:val="00EA7847"/>
    <w:rsid w:val="00EB220B"/>
    <w:rsid w:val="00EB32AA"/>
    <w:rsid w:val="00EB4C2F"/>
    <w:rsid w:val="00EC0AC8"/>
    <w:rsid w:val="00EC32FE"/>
    <w:rsid w:val="00EC6F5B"/>
    <w:rsid w:val="00EC7C51"/>
    <w:rsid w:val="00ED04F0"/>
    <w:rsid w:val="00ED188B"/>
    <w:rsid w:val="00ED5087"/>
    <w:rsid w:val="00EE2E6E"/>
    <w:rsid w:val="00F00FC7"/>
    <w:rsid w:val="00F03D14"/>
    <w:rsid w:val="00F03FC6"/>
    <w:rsid w:val="00F0759E"/>
    <w:rsid w:val="00F12E6C"/>
    <w:rsid w:val="00F15967"/>
    <w:rsid w:val="00F16A43"/>
    <w:rsid w:val="00F203EF"/>
    <w:rsid w:val="00F21919"/>
    <w:rsid w:val="00F21F97"/>
    <w:rsid w:val="00F32112"/>
    <w:rsid w:val="00F33208"/>
    <w:rsid w:val="00F43C3E"/>
    <w:rsid w:val="00F46780"/>
    <w:rsid w:val="00F55DB1"/>
    <w:rsid w:val="00F62582"/>
    <w:rsid w:val="00F77D2D"/>
    <w:rsid w:val="00F81231"/>
    <w:rsid w:val="00F81BAF"/>
    <w:rsid w:val="00F821A3"/>
    <w:rsid w:val="00F8423A"/>
    <w:rsid w:val="00F900A6"/>
    <w:rsid w:val="00F90F7E"/>
    <w:rsid w:val="00F92DAF"/>
    <w:rsid w:val="00F9314A"/>
    <w:rsid w:val="00F940B2"/>
    <w:rsid w:val="00F94870"/>
    <w:rsid w:val="00FB1CF4"/>
    <w:rsid w:val="00FB5D7C"/>
    <w:rsid w:val="00FB7261"/>
    <w:rsid w:val="00FC0542"/>
    <w:rsid w:val="00FC58EF"/>
    <w:rsid w:val="00FD0D47"/>
    <w:rsid w:val="00FD33DF"/>
    <w:rsid w:val="00FE21E4"/>
    <w:rsid w:val="00FE2272"/>
    <w:rsid w:val="00FE39D7"/>
    <w:rsid w:val="00FE5C99"/>
    <w:rsid w:val="00FF0709"/>
    <w:rsid w:val="00FF2F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9A204BFE-BF51-470B-9C8D-5FFD1F03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988"/>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character" w:styleId="Refdecomentario">
    <w:name w:val="annotation reference"/>
    <w:basedOn w:val="Fuentedeprrafopredeter"/>
    <w:uiPriority w:val="99"/>
    <w:semiHidden/>
    <w:unhideWhenUsed/>
    <w:rsid w:val="00BF0F7B"/>
    <w:rPr>
      <w:sz w:val="16"/>
      <w:szCs w:val="16"/>
    </w:rPr>
  </w:style>
  <w:style w:type="paragraph" w:styleId="Textocomentario">
    <w:name w:val="annotation text"/>
    <w:basedOn w:val="Normal"/>
    <w:link w:val="TextocomentarioCar"/>
    <w:uiPriority w:val="99"/>
    <w:unhideWhenUsed/>
    <w:rsid w:val="00BF0F7B"/>
    <w:rPr>
      <w:sz w:val="20"/>
      <w:szCs w:val="20"/>
    </w:rPr>
  </w:style>
  <w:style w:type="character" w:customStyle="1" w:styleId="TextocomentarioCar">
    <w:name w:val="Texto comentario Car"/>
    <w:basedOn w:val="Fuentedeprrafopredeter"/>
    <w:link w:val="Textocomentario"/>
    <w:uiPriority w:val="99"/>
    <w:rsid w:val="00BF0F7B"/>
    <w:rPr>
      <w:lang w:val="es-ES" w:eastAsia="es-ES"/>
    </w:rPr>
  </w:style>
  <w:style w:type="paragraph" w:styleId="Asuntodelcomentario">
    <w:name w:val="annotation subject"/>
    <w:basedOn w:val="Textocomentario"/>
    <w:next w:val="Textocomentario"/>
    <w:link w:val="AsuntodelcomentarioCar"/>
    <w:uiPriority w:val="99"/>
    <w:semiHidden/>
    <w:unhideWhenUsed/>
    <w:rsid w:val="00E752FC"/>
    <w:rPr>
      <w:b/>
      <w:bCs/>
    </w:rPr>
  </w:style>
  <w:style w:type="character" w:customStyle="1" w:styleId="AsuntodelcomentarioCar">
    <w:name w:val="Asunto del comentario Car"/>
    <w:basedOn w:val="TextocomentarioCar"/>
    <w:link w:val="Asuntodelcomentario"/>
    <w:uiPriority w:val="99"/>
    <w:semiHidden/>
    <w:rsid w:val="00E752FC"/>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39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CDD0B26ABEDD0459BD4267A57D8442E" ma:contentTypeVersion="18" ma:contentTypeDescription="Crear nuevo documento." ma:contentTypeScope="" ma:versionID="63345bc15eff37b58dbc522584adda90">
  <xsd:schema xmlns:xsd="http://www.w3.org/2001/XMLSchema" xmlns:xs="http://www.w3.org/2001/XMLSchema" xmlns:p="http://schemas.microsoft.com/office/2006/metadata/properties" xmlns:ns2="52f50d89-700a-49c3-acb1-cc45863f80d1" xmlns:ns3="c5e352c5-a0a5-4aff-9101-fc8c076df9f7" targetNamespace="http://schemas.microsoft.com/office/2006/metadata/properties" ma:root="true" ma:fieldsID="d7dbd54db26729453a066201da170044" ns2:_="" ns3:_="">
    <xsd:import namespace="52f50d89-700a-49c3-acb1-cc45863f80d1"/>
    <xsd:import namespace="c5e352c5-a0a5-4aff-9101-fc8c076df9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0d89-700a-49c3-acb1-cc45863f8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352c5-a0a5-4aff-9101-fc8c076df9f7"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da11bec3-26df-47a9-92ee-f2870e4266c1}" ma:internalName="TaxCatchAll" ma:showField="CatchAllData" ma:web="c5e352c5-a0a5-4aff-9101-fc8c076df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B57DB9-B91D-45A1-9463-7D8257CA5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50d89-700a-49c3-acb1-cc45863f80d1"/>
    <ds:schemaRef ds:uri="c5e352c5-a0a5-4aff-9101-fc8c076df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418FB4-966E-497D-BD19-BC9DE03550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PLANTILLA1</Template>
  <TotalTime>7</TotalTime>
  <Pages>8</Pages>
  <Words>3612</Words>
  <Characters>19869</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23435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Eliana Rodriguez Fonseca</cp:lastModifiedBy>
  <cp:revision>4</cp:revision>
  <cp:lastPrinted>2011-07-21T13:53:00Z</cp:lastPrinted>
  <dcterms:created xsi:type="dcterms:W3CDTF">2023-10-04T00:58:00Z</dcterms:created>
  <dcterms:modified xsi:type="dcterms:W3CDTF">2023-10-04T04:40:00Z</dcterms:modified>
</cp:coreProperties>
</file>