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4C76" w14:textId="77777777" w:rsidR="007254B8" w:rsidRPr="00BA511F" w:rsidRDefault="007254B8" w:rsidP="000A11BD">
      <w:pPr>
        <w:rPr>
          <w:rFonts w:cs="Arial"/>
          <w:sz w:val="22"/>
          <w:szCs w:val="22"/>
        </w:rPr>
      </w:pPr>
    </w:p>
    <w:p w14:paraId="38B2399D" w14:textId="092AE60C" w:rsidR="000A11BD" w:rsidRPr="00BA511F" w:rsidRDefault="000A11BD" w:rsidP="000A11BD">
      <w:pPr>
        <w:rPr>
          <w:rFonts w:cs="Arial"/>
          <w:sz w:val="22"/>
          <w:szCs w:val="22"/>
        </w:rPr>
      </w:pPr>
    </w:p>
    <w:p w14:paraId="28590158" w14:textId="77777777" w:rsidR="000A11BD" w:rsidRPr="00BA511F" w:rsidRDefault="000A11BD" w:rsidP="000A11BD">
      <w:pPr>
        <w:rPr>
          <w:rFonts w:cs="Arial"/>
          <w:sz w:val="22"/>
          <w:szCs w:val="22"/>
        </w:rPr>
      </w:pPr>
    </w:p>
    <w:p w14:paraId="7995677B" w14:textId="77777777" w:rsidR="00020441" w:rsidRPr="00BA511F" w:rsidRDefault="0016550B" w:rsidP="000A11BD">
      <w:pPr>
        <w:rPr>
          <w:rFonts w:cs="Arial"/>
          <w:sz w:val="22"/>
          <w:szCs w:val="22"/>
        </w:rPr>
      </w:pPr>
      <w:r w:rsidRPr="00BA511F">
        <w:rPr>
          <w:rFonts w:cs="Arial"/>
          <w:noProof/>
          <w:sz w:val="22"/>
          <w:szCs w:val="22"/>
          <w:lang w:val="es-CO" w:eastAsia="es-CO"/>
        </w:rPr>
        <w:drawing>
          <wp:anchor distT="0" distB="0" distL="114300" distR="114300" simplePos="0" relativeHeight="251658240" behindDoc="0" locked="0" layoutInCell="1" allowOverlap="1" wp14:anchorId="3A42CFAF" wp14:editId="429F9DF7">
            <wp:simplePos x="0" y="0"/>
            <wp:positionH relativeFrom="column">
              <wp:posOffset>1714500</wp:posOffset>
            </wp:positionH>
            <wp:positionV relativeFrom="paragraph">
              <wp:posOffset>215265</wp:posOffset>
            </wp:positionV>
            <wp:extent cx="2377440" cy="109283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FC3B4" w14:textId="77777777" w:rsidR="00020441" w:rsidRPr="00BA511F" w:rsidRDefault="00020441" w:rsidP="007134BE">
      <w:pPr>
        <w:pStyle w:val="TDC1"/>
      </w:pPr>
    </w:p>
    <w:p w14:paraId="38F3D17E" w14:textId="77777777" w:rsidR="00020441" w:rsidRPr="00BA511F" w:rsidRDefault="00020441" w:rsidP="000A11BD">
      <w:pPr>
        <w:rPr>
          <w:rFonts w:cs="Arial"/>
          <w:sz w:val="40"/>
          <w:szCs w:val="22"/>
        </w:rPr>
      </w:pPr>
    </w:p>
    <w:p w14:paraId="7CB8A769" w14:textId="6F18A49B" w:rsidR="00020441" w:rsidRPr="00BA511F" w:rsidRDefault="00020441" w:rsidP="000A11BD">
      <w:pPr>
        <w:rPr>
          <w:rFonts w:cs="Arial"/>
          <w:sz w:val="40"/>
          <w:szCs w:val="22"/>
        </w:rPr>
      </w:pPr>
    </w:p>
    <w:p w14:paraId="0EAEC11D" w14:textId="77777777" w:rsidR="00A7457A" w:rsidRDefault="00A7457A" w:rsidP="00A7457A">
      <w:pPr>
        <w:pStyle w:val="Textoindependiente"/>
        <w:rPr>
          <w:rFonts w:cs="Arial"/>
          <w:sz w:val="40"/>
        </w:rPr>
      </w:pPr>
      <w:r w:rsidRPr="007E0036">
        <w:rPr>
          <w:rFonts w:cs="Arial"/>
          <w:sz w:val="40"/>
        </w:rPr>
        <w:t>TASA DE DESCUENTO APLICABLE A LA METODOLOGÍA TARIFARIA PARA ESTABLECER LA REMUNERACIÓN DE LA PRESTACIÓN DEL SERVICIO DE ENERGÍA ELÉCTRICA MEDIANTE SOLUCIONES INDIVIDUALES SOLARES FOTOVOLTAICAS</w:t>
      </w:r>
    </w:p>
    <w:p w14:paraId="688EA1DD" w14:textId="77777777" w:rsidR="00A7457A" w:rsidRPr="00381713" w:rsidRDefault="00A7457A" w:rsidP="00A7457A">
      <w:pPr>
        <w:pStyle w:val="Textoindependiente"/>
        <w:rPr>
          <w:rFonts w:cs="Arial"/>
          <w:sz w:val="28"/>
          <w:szCs w:val="14"/>
        </w:rPr>
      </w:pPr>
    </w:p>
    <w:p w14:paraId="09095ECE" w14:textId="77777777" w:rsidR="00381713" w:rsidRPr="00381713" w:rsidRDefault="00381713" w:rsidP="00A7457A">
      <w:pPr>
        <w:pStyle w:val="Textoindependiente"/>
        <w:rPr>
          <w:rFonts w:cs="Arial"/>
          <w:sz w:val="28"/>
          <w:szCs w:val="14"/>
        </w:rPr>
      </w:pPr>
    </w:p>
    <w:p w14:paraId="5E92E22F" w14:textId="43FC0B47" w:rsidR="002E62B4" w:rsidRPr="00C53C3F" w:rsidRDefault="00FF0F5D" w:rsidP="002E62B4">
      <w:pPr>
        <w:jc w:val="center"/>
        <w:rPr>
          <w:rFonts w:cs="Arial"/>
          <w:b/>
          <w:sz w:val="28"/>
          <w:szCs w:val="16"/>
        </w:rPr>
      </w:pPr>
      <w:r w:rsidRPr="00C53C3F">
        <w:rPr>
          <w:rFonts w:cs="Arial"/>
          <w:b/>
          <w:sz w:val="28"/>
          <w:szCs w:val="16"/>
        </w:rPr>
        <w:t>ANÁLISIS DE COMENTARIOS</w:t>
      </w:r>
    </w:p>
    <w:p w14:paraId="4B8C7FC0" w14:textId="4A858FE8" w:rsidR="00020441" w:rsidRPr="00C53C3F" w:rsidRDefault="00B470C0" w:rsidP="002E62B4">
      <w:pPr>
        <w:jc w:val="center"/>
        <w:rPr>
          <w:rFonts w:cs="Arial"/>
          <w:b/>
          <w:sz w:val="28"/>
          <w:szCs w:val="16"/>
        </w:rPr>
      </w:pPr>
      <w:r w:rsidRPr="00C53C3F">
        <w:rPr>
          <w:rFonts w:cs="Arial"/>
          <w:b/>
          <w:sz w:val="28"/>
          <w:szCs w:val="16"/>
        </w:rPr>
        <w:t>RESOLUCI</w:t>
      </w:r>
      <w:r w:rsidR="00893E56" w:rsidRPr="00C53C3F">
        <w:rPr>
          <w:rFonts w:cs="Arial"/>
          <w:b/>
          <w:sz w:val="28"/>
          <w:szCs w:val="16"/>
        </w:rPr>
        <w:t>O</w:t>
      </w:r>
      <w:r w:rsidRPr="00C53C3F">
        <w:rPr>
          <w:rFonts w:cs="Arial"/>
          <w:b/>
          <w:sz w:val="28"/>
          <w:szCs w:val="16"/>
        </w:rPr>
        <w:t>N</w:t>
      </w:r>
      <w:r w:rsidR="002D6D98" w:rsidRPr="00C53C3F">
        <w:rPr>
          <w:rFonts w:cs="Arial"/>
          <w:b/>
          <w:sz w:val="28"/>
          <w:szCs w:val="16"/>
        </w:rPr>
        <w:t>ES</w:t>
      </w:r>
      <w:r w:rsidR="00FF0F5D" w:rsidRPr="00C53C3F">
        <w:rPr>
          <w:rFonts w:cs="Arial"/>
          <w:b/>
          <w:sz w:val="28"/>
          <w:szCs w:val="16"/>
        </w:rPr>
        <w:t xml:space="preserve"> CREG </w:t>
      </w:r>
      <w:r w:rsidR="002D6D98" w:rsidRPr="00C53C3F">
        <w:rPr>
          <w:rFonts w:cs="Arial"/>
          <w:b/>
          <w:sz w:val="28"/>
          <w:szCs w:val="16"/>
        </w:rPr>
        <w:t xml:space="preserve">701 </w:t>
      </w:r>
      <w:r w:rsidR="00893E56" w:rsidRPr="00C53C3F">
        <w:rPr>
          <w:rFonts w:cs="Arial"/>
          <w:b/>
          <w:sz w:val="28"/>
          <w:szCs w:val="16"/>
        </w:rPr>
        <w:t xml:space="preserve">022 de 2022 Y </w:t>
      </w:r>
      <w:r w:rsidRPr="00C53C3F">
        <w:rPr>
          <w:rFonts w:cs="Arial"/>
          <w:b/>
          <w:sz w:val="28"/>
          <w:szCs w:val="16"/>
        </w:rPr>
        <w:t>701 009 de 2023</w:t>
      </w:r>
    </w:p>
    <w:p w14:paraId="0D7C0C5A" w14:textId="77777777" w:rsidR="007901A0" w:rsidRDefault="007901A0" w:rsidP="000A11BD">
      <w:pPr>
        <w:rPr>
          <w:rFonts w:cs="Arial"/>
          <w:sz w:val="40"/>
          <w:szCs w:val="22"/>
        </w:rPr>
      </w:pPr>
    </w:p>
    <w:p w14:paraId="2FA5FC0F" w14:textId="77777777" w:rsidR="00905409" w:rsidRPr="00BA511F" w:rsidRDefault="00905409" w:rsidP="000A11BD">
      <w:pPr>
        <w:rPr>
          <w:rFonts w:cs="Arial"/>
          <w:sz w:val="40"/>
          <w:szCs w:val="22"/>
        </w:rPr>
      </w:pPr>
    </w:p>
    <w:p w14:paraId="680DCC41" w14:textId="468A65D9" w:rsidR="00020441" w:rsidRPr="00997418" w:rsidRDefault="00020441" w:rsidP="000A11BD">
      <w:pPr>
        <w:rPr>
          <w:rFonts w:cs="Arial"/>
          <w:b/>
          <w:caps/>
          <w:sz w:val="28"/>
          <w:szCs w:val="22"/>
          <w:lang w:val="es-ES"/>
        </w:rPr>
      </w:pPr>
      <w:r w:rsidRPr="00BA511F">
        <w:rPr>
          <w:rFonts w:cs="Arial"/>
          <w:b/>
          <w:caps/>
          <w:sz w:val="28"/>
          <w:szCs w:val="22"/>
          <w:lang w:val="es-ES"/>
        </w:rPr>
        <w:t xml:space="preserve">DOCUMENTO </w:t>
      </w:r>
      <w:r w:rsidRPr="00BA511F">
        <w:rPr>
          <w:rFonts w:cs="Arial"/>
          <w:b/>
          <w:caps/>
          <w:sz w:val="40"/>
          <w:szCs w:val="22"/>
          <w:lang w:val="es-ES"/>
        </w:rPr>
        <w:t>CREG-</w:t>
      </w:r>
      <w:r w:rsidR="000300F0">
        <w:rPr>
          <w:rFonts w:cs="Arial"/>
          <w:b/>
          <w:caps/>
          <w:sz w:val="40"/>
          <w:szCs w:val="22"/>
          <w:lang w:val="es-ES"/>
        </w:rPr>
        <w:t xml:space="preserve"> 901 030</w:t>
      </w:r>
    </w:p>
    <w:p w14:paraId="7461BBD7" w14:textId="174EC7A5" w:rsidR="00020441" w:rsidRPr="00BA511F" w:rsidRDefault="00AA106A" w:rsidP="000A11BD">
      <w:pPr>
        <w:tabs>
          <w:tab w:val="left" w:pos="9142"/>
        </w:tabs>
        <w:jc w:val="left"/>
        <w:rPr>
          <w:rFonts w:cs="Arial"/>
          <w:b/>
          <w:caps/>
          <w:sz w:val="28"/>
          <w:szCs w:val="22"/>
          <w:lang w:val="es-ES"/>
        </w:rPr>
      </w:pPr>
      <w:r w:rsidRPr="000300F0">
        <w:rPr>
          <w:rFonts w:cs="Arial"/>
          <w:b/>
          <w:caps/>
          <w:sz w:val="28"/>
          <w:szCs w:val="22"/>
          <w:lang w:val="es-ES"/>
        </w:rPr>
        <w:t>03</w:t>
      </w:r>
      <w:r w:rsidR="000300F0" w:rsidRPr="000300F0">
        <w:rPr>
          <w:rFonts w:cs="Arial"/>
          <w:b/>
          <w:caps/>
          <w:sz w:val="28"/>
          <w:szCs w:val="22"/>
          <w:lang w:val="es-ES"/>
        </w:rPr>
        <w:t xml:space="preserve"> de </w:t>
      </w:r>
      <w:r w:rsidRPr="000300F0">
        <w:rPr>
          <w:rFonts w:cs="Arial"/>
          <w:b/>
          <w:caps/>
          <w:sz w:val="28"/>
          <w:szCs w:val="22"/>
          <w:lang w:val="es-ES"/>
        </w:rPr>
        <w:t>OCT</w:t>
      </w:r>
      <w:r w:rsidR="000300F0" w:rsidRPr="000300F0">
        <w:rPr>
          <w:rFonts w:cs="Arial"/>
          <w:b/>
          <w:caps/>
          <w:sz w:val="28"/>
          <w:szCs w:val="22"/>
          <w:lang w:val="es-ES"/>
        </w:rPr>
        <w:t xml:space="preserve">ubre de </w:t>
      </w:r>
      <w:r w:rsidR="00B442D3" w:rsidRPr="000300F0">
        <w:rPr>
          <w:rFonts w:cs="Arial"/>
          <w:b/>
          <w:caps/>
          <w:sz w:val="28"/>
          <w:szCs w:val="22"/>
          <w:lang w:val="es-ES"/>
        </w:rPr>
        <w:t>20</w:t>
      </w:r>
      <w:r w:rsidR="00232BF4" w:rsidRPr="000300F0">
        <w:rPr>
          <w:rFonts w:cs="Arial"/>
          <w:b/>
          <w:caps/>
          <w:sz w:val="28"/>
          <w:szCs w:val="22"/>
          <w:lang w:val="es-ES"/>
        </w:rPr>
        <w:t>2</w:t>
      </w:r>
      <w:r w:rsidR="001722BA" w:rsidRPr="000300F0">
        <w:rPr>
          <w:rFonts w:cs="Arial"/>
          <w:b/>
          <w:caps/>
          <w:sz w:val="28"/>
          <w:szCs w:val="22"/>
          <w:lang w:val="es-ES"/>
        </w:rPr>
        <w:t>3</w:t>
      </w:r>
    </w:p>
    <w:p w14:paraId="64702C53" w14:textId="77777777" w:rsidR="000A11BD" w:rsidRDefault="000A11BD" w:rsidP="000A11BD">
      <w:pPr>
        <w:tabs>
          <w:tab w:val="left" w:pos="9142"/>
        </w:tabs>
        <w:jc w:val="left"/>
        <w:rPr>
          <w:rFonts w:cs="Arial"/>
          <w:b/>
          <w:caps/>
          <w:sz w:val="28"/>
          <w:szCs w:val="22"/>
          <w:lang w:val="es-ES"/>
        </w:rPr>
      </w:pPr>
    </w:p>
    <w:p w14:paraId="7425B35F" w14:textId="77777777" w:rsidR="00905409" w:rsidRDefault="00905409" w:rsidP="000A11BD">
      <w:pPr>
        <w:tabs>
          <w:tab w:val="left" w:pos="9142"/>
        </w:tabs>
        <w:jc w:val="left"/>
        <w:rPr>
          <w:rFonts w:cs="Arial"/>
          <w:b/>
          <w:caps/>
          <w:sz w:val="28"/>
          <w:szCs w:val="22"/>
          <w:lang w:val="es-ES"/>
        </w:rPr>
      </w:pPr>
    </w:p>
    <w:p w14:paraId="0EDBA184" w14:textId="77777777" w:rsidR="00905409" w:rsidRPr="00BA511F" w:rsidRDefault="00905409" w:rsidP="000A11BD">
      <w:pPr>
        <w:tabs>
          <w:tab w:val="left" w:pos="9142"/>
        </w:tabs>
        <w:jc w:val="left"/>
        <w:rPr>
          <w:rFonts w:cs="Arial"/>
          <w:b/>
          <w:caps/>
          <w:sz w:val="28"/>
          <w:szCs w:val="22"/>
          <w:lang w:val="es-ES"/>
        </w:rPr>
      </w:pPr>
    </w:p>
    <w:tbl>
      <w:tblPr>
        <w:tblW w:w="0" w:type="auto"/>
        <w:tblInd w:w="4890" w:type="dxa"/>
        <w:tblCellMar>
          <w:left w:w="70" w:type="dxa"/>
          <w:right w:w="70" w:type="dxa"/>
        </w:tblCellMar>
        <w:tblLook w:val="0000" w:firstRow="0" w:lastRow="0" w:firstColumn="0" w:lastColumn="0" w:noHBand="0" w:noVBand="0"/>
      </w:tblPr>
      <w:tblGrid>
        <w:gridCol w:w="4252"/>
      </w:tblGrid>
      <w:tr w:rsidR="00020441" w:rsidRPr="00BA511F" w14:paraId="7BC62D52" w14:textId="77777777" w:rsidTr="0016550B">
        <w:tc>
          <w:tcPr>
            <w:tcW w:w="4252" w:type="dxa"/>
          </w:tcPr>
          <w:p w14:paraId="3E616ADB" w14:textId="77777777" w:rsidR="0077100C" w:rsidRPr="00BA511F" w:rsidRDefault="0077100C" w:rsidP="000A11BD">
            <w:pPr>
              <w:jc w:val="left"/>
              <w:rPr>
                <w:rFonts w:cs="Arial"/>
                <w:b/>
                <w:bCs/>
                <w:szCs w:val="22"/>
              </w:rPr>
            </w:pPr>
          </w:p>
          <w:p w14:paraId="3A4D3351" w14:textId="77777777" w:rsidR="0077100C" w:rsidRPr="00BA511F" w:rsidRDefault="0077100C" w:rsidP="000A11BD">
            <w:pPr>
              <w:jc w:val="left"/>
              <w:rPr>
                <w:rFonts w:cs="Arial"/>
                <w:b/>
                <w:bCs/>
                <w:szCs w:val="22"/>
              </w:rPr>
            </w:pPr>
          </w:p>
          <w:p w14:paraId="3EB68983" w14:textId="77777777" w:rsidR="00020441" w:rsidRPr="00BA511F" w:rsidRDefault="00020441" w:rsidP="000A11BD">
            <w:pPr>
              <w:jc w:val="left"/>
              <w:rPr>
                <w:rFonts w:cs="Arial"/>
                <w:b/>
                <w:bCs/>
                <w:szCs w:val="22"/>
              </w:rPr>
            </w:pPr>
            <w:r w:rsidRPr="00BA511F">
              <w:rPr>
                <w:rFonts w:cs="Arial"/>
                <w:b/>
                <w:bCs/>
                <w:szCs w:val="22"/>
              </w:rPr>
              <w:t>CIRCULACIÓN:</w:t>
            </w:r>
          </w:p>
        </w:tc>
      </w:tr>
      <w:tr w:rsidR="00020441" w:rsidRPr="00BA511F" w14:paraId="41FCDF32" w14:textId="77777777" w:rsidTr="0016550B">
        <w:tc>
          <w:tcPr>
            <w:tcW w:w="4252" w:type="dxa"/>
          </w:tcPr>
          <w:p w14:paraId="7CC58E9C" w14:textId="77777777" w:rsidR="00020441" w:rsidRPr="00BA511F" w:rsidRDefault="00020441" w:rsidP="000A11BD">
            <w:pPr>
              <w:jc w:val="left"/>
              <w:rPr>
                <w:rFonts w:cs="Arial"/>
                <w:b/>
                <w:bCs/>
                <w:szCs w:val="22"/>
              </w:rPr>
            </w:pPr>
            <w:r w:rsidRPr="00BA511F">
              <w:rPr>
                <w:rFonts w:cs="Arial"/>
                <w:b/>
                <w:bCs/>
                <w:szCs w:val="22"/>
              </w:rPr>
              <w:t>MIEMBROS DE LA COMISIÓN DE</w:t>
            </w:r>
          </w:p>
        </w:tc>
      </w:tr>
      <w:tr w:rsidR="00020441" w:rsidRPr="00BA511F" w14:paraId="59EDED2B" w14:textId="77777777" w:rsidTr="0016550B">
        <w:tc>
          <w:tcPr>
            <w:tcW w:w="4252" w:type="dxa"/>
          </w:tcPr>
          <w:p w14:paraId="1D0B69FE" w14:textId="77777777" w:rsidR="00020441" w:rsidRPr="00BA511F" w:rsidRDefault="0016550B" w:rsidP="000A11BD">
            <w:pPr>
              <w:tabs>
                <w:tab w:val="left" w:pos="4606"/>
                <w:tab w:val="left" w:pos="9142"/>
              </w:tabs>
              <w:jc w:val="left"/>
              <w:rPr>
                <w:rFonts w:cs="Arial"/>
                <w:b/>
                <w:bCs/>
                <w:szCs w:val="22"/>
              </w:rPr>
            </w:pPr>
            <w:r w:rsidRPr="00BA511F">
              <w:rPr>
                <w:rFonts w:cs="Arial"/>
                <w:b/>
                <w:bCs/>
                <w:szCs w:val="22"/>
              </w:rPr>
              <w:t>REGULACIÓN DE ENERGÍA Y GAS</w:t>
            </w:r>
          </w:p>
        </w:tc>
      </w:tr>
    </w:tbl>
    <w:p w14:paraId="28A66484" w14:textId="77777777" w:rsidR="00905409" w:rsidRDefault="00905409" w:rsidP="000A11BD">
      <w:pPr>
        <w:rPr>
          <w:rFonts w:cs="Arial"/>
          <w:sz w:val="22"/>
          <w:szCs w:val="22"/>
        </w:rPr>
      </w:pPr>
    </w:p>
    <w:p w14:paraId="17B077CB" w14:textId="5038A889" w:rsidR="004E3965" w:rsidRPr="00BA511F" w:rsidRDefault="00020441" w:rsidP="000A11BD">
      <w:pPr>
        <w:rPr>
          <w:rFonts w:cs="Arial"/>
          <w:sz w:val="22"/>
          <w:szCs w:val="22"/>
        </w:rPr>
      </w:pPr>
      <w:r w:rsidRPr="00BA511F">
        <w:rPr>
          <w:rFonts w:cs="Arial"/>
          <w:sz w:val="22"/>
          <w:szCs w:val="22"/>
        </w:rPr>
        <w:br w:type="page"/>
      </w:r>
    </w:p>
    <w:p w14:paraId="67F0732C" w14:textId="77777777" w:rsidR="004C1A0B" w:rsidRDefault="004C1A0B" w:rsidP="000A11BD">
      <w:pPr>
        <w:pStyle w:val="TtuloTDC1"/>
        <w:spacing w:before="0" w:line="240" w:lineRule="auto"/>
        <w:jc w:val="center"/>
        <w:rPr>
          <w:rFonts w:ascii="Arial" w:hAnsi="Arial" w:cs="Arial"/>
          <w:b/>
          <w:color w:val="auto"/>
          <w:sz w:val="24"/>
          <w:szCs w:val="24"/>
          <w:lang w:val="es-ES"/>
        </w:rPr>
      </w:pPr>
      <w:r w:rsidRPr="00B866EE">
        <w:rPr>
          <w:rFonts w:ascii="Arial" w:hAnsi="Arial" w:cs="Arial"/>
          <w:b/>
          <w:color w:val="auto"/>
          <w:sz w:val="24"/>
          <w:szCs w:val="24"/>
          <w:lang w:val="es-ES"/>
        </w:rPr>
        <w:lastRenderedPageBreak/>
        <w:t>Tabla de contenido</w:t>
      </w:r>
    </w:p>
    <w:p w14:paraId="2D190F47" w14:textId="77777777" w:rsidR="002671D5" w:rsidRDefault="002671D5" w:rsidP="002671D5">
      <w:pPr>
        <w:rPr>
          <w:lang w:val="es-ES" w:eastAsia="es-CO"/>
        </w:rPr>
      </w:pPr>
    </w:p>
    <w:p w14:paraId="099C4149" w14:textId="77777777" w:rsidR="002671D5" w:rsidRDefault="002671D5" w:rsidP="002671D5">
      <w:pPr>
        <w:rPr>
          <w:lang w:val="es-ES" w:eastAsia="es-CO"/>
        </w:rPr>
      </w:pPr>
    </w:p>
    <w:p w14:paraId="5B7F0A1E" w14:textId="77777777" w:rsidR="002671D5" w:rsidRPr="002671D5" w:rsidRDefault="002671D5" w:rsidP="002671D5">
      <w:pPr>
        <w:rPr>
          <w:lang w:val="es-ES" w:eastAsia="es-CO"/>
        </w:rPr>
      </w:pPr>
    </w:p>
    <w:sdt>
      <w:sdtPr>
        <w:rPr>
          <w:szCs w:val="24"/>
          <w:lang w:val="es-ES"/>
        </w:rPr>
        <w:id w:val="1623183066"/>
        <w:docPartObj>
          <w:docPartGallery w:val="Table of Contents"/>
          <w:docPartUnique/>
        </w:docPartObj>
      </w:sdtPr>
      <w:sdtEndPr>
        <w:rPr>
          <w:rFonts w:cs="Arial"/>
          <w:b/>
          <w:bCs/>
          <w:lang w:val="es-ES_tradnl"/>
        </w:rPr>
      </w:sdtEndPr>
      <w:sdtContent>
        <w:p w14:paraId="4B97060D" w14:textId="24FED162" w:rsidR="00B866EE" w:rsidRPr="00B866EE" w:rsidRDefault="00B866EE" w:rsidP="00B866EE">
          <w:pPr>
            <w:rPr>
              <w:szCs w:val="24"/>
            </w:rPr>
          </w:pPr>
        </w:p>
        <w:p w14:paraId="5E280331" w14:textId="546FF6BD" w:rsidR="00D86633" w:rsidRDefault="002671D5">
          <w:pPr>
            <w:pStyle w:val="TDC1"/>
            <w:rPr>
              <w:rFonts w:asciiTheme="minorHAnsi" w:eastAsiaTheme="minorEastAsia" w:hAnsiTheme="minorHAnsi" w:cstheme="minorBidi"/>
              <w:kern w:val="2"/>
              <w:sz w:val="22"/>
              <w:szCs w:val="22"/>
              <w:lang w:val="es-CO" w:eastAsia="es-CO"/>
              <w14:ligatures w14:val="standardContextual"/>
            </w:rPr>
          </w:pPr>
          <w:r>
            <w:rPr>
              <w:rFonts w:cs="Arial"/>
              <w:b/>
              <w:bCs/>
            </w:rPr>
            <w:fldChar w:fldCharType="begin"/>
          </w:r>
          <w:r>
            <w:rPr>
              <w:rFonts w:cs="Arial"/>
              <w:b/>
              <w:bCs/>
            </w:rPr>
            <w:instrText xml:space="preserve"> TOC \o "1-4" \h \z \u </w:instrText>
          </w:r>
          <w:r>
            <w:rPr>
              <w:rFonts w:cs="Arial"/>
              <w:b/>
              <w:bCs/>
            </w:rPr>
            <w:fldChar w:fldCharType="separate"/>
          </w:r>
          <w:hyperlink w:anchor="_Toc147137549" w:history="1">
            <w:r w:rsidR="00D86633" w:rsidRPr="00C551D0">
              <w:rPr>
                <w:rStyle w:val="Hipervnculo"/>
                <w:rFonts w:cs="Arial"/>
              </w:rPr>
              <w:t>1.</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Fonts w:cs="Arial"/>
              </w:rPr>
              <w:t>ANTECEDENTES</w:t>
            </w:r>
            <w:r w:rsidR="00D86633">
              <w:rPr>
                <w:webHidden/>
              </w:rPr>
              <w:tab/>
            </w:r>
            <w:r w:rsidR="00D86633">
              <w:rPr>
                <w:webHidden/>
              </w:rPr>
              <w:fldChar w:fldCharType="begin"/>
            </w:r>
            <w:r w:rsidR="00D86633">
              <w:rPr>
                <w:webHidden/>
              </w:rPr>
              <w:instrText xml:space="preserve"> PAGEREF _Toc147137549 \h </w:instrText>
            </w:r>
            <w:r w:rsidR="00D86633">
              <w:rPr>
                <w:webHidden/>
              </w:rPr>
            </w:r>
            <w:r w:rsidR="00D86633">
              <w:rPr>
                <w:webHidden/>
              </w:rPr>
              <w:fldChar w:fldCharType="separate"/>
            </w:r>
            <w:r w:rsidR="00D86633">
              <w:rPr>
                <w:webHidden/>
              </w:rPr>
              <w:t>4</w:t>
            </w:r>
            <w:r w:rsidR="00D86633">
              <w:rPr>
                <w:webHidden/>
              </w:rPr>
              <w:fldChar w:fldCharType="end"/>
            </w:r>
          </w:hyperlink>
        </w:p>
        <w:p w14:paraId="400F5D52" w14:textId="637AED93"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50" w:history="1">
            <w:r w:rsidR="00D86633" w:rsidRPr="00C551D0">
              <w:rPr>
                <w:rStyle w:val="Hipervnculo"/>
              </w:rPr>
              <w:t>2.</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CONSULTA PÚBLICA</w:t>
            </w:r>
            <w:r w:rsidR="00D86633">
              <w:rPr>
                <w:webHidden/>
              </w:rPr>
              <w:tab/>
            </w:r>
            <w:r w:rsidR="00D86633">
              <w:rPr>
                <w:webHidden/>
              </w:rPr>
              <w:fldChar w:fldCharType="begin"/>
            </w:r>
            <w:r w:rsidR="00D86633">
              <w:rPr>
                <w:webHidden/>
              </w:rPr>
              <w:instrText xml:space="preserve"> PAGEREF _Toc147137550 \h </w:instrText>
            </w:r>
            <w:r w:rsidR="00D86633">
              <w:rPr>
                <w:webHidden/>
              </w:rPr>
            </w:r>
            <w:r w:rsidR="00D86633">
              <w:rPr>
                <w:webHidden/>
              </w:rPr>
              <w:fldChar w:fldCharType="separate"/>
            </w:r>
            <w:r w:rsidR="00D86633">
              <w:rPr>
                <w:webHidden/>
              </w:rPr>
              <w:t>4</w:t>
            </w:r>
            <w:r w:rsidR="00D86633">
              <w:rPr>
                <w:webHidden/>
              </w:rPr>
              <w:fldChar w:fldCharType="end"/>
            </w:r>
          </w:hyperlink>
        </w:p>
        <w:p w14:paraId="287BE98F" w14:textId="304756D7"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51" w:history="1">
            <w:r w:rsidR="00D86633" w:rsidRPr="00C551D0">
              <w:rPr>
                <w:rStyle w:val="Hipervnculo"/>
                <w:rFonts w:cs="Arial"/>
              </w:rPr>
              <w:t>3.</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Fonts w:cs="Arial"/>
              </w:rPr>
              <w:t>RESUMEN Y AJUSTES</w:t>
            </w:r>
            <w:r w:rsidR="00D86633">
              <w:rPr>
                <w:webHidden/>
              </w:rPr>
              <w:tab/>
            </w:r>
            <w:r w:rsidR="00D86633">
              <w:rPr>
                <w:webHidden/>
              </w:rPr>
              <w:fldChar w:fldCharType="begin"/>
            </w:r>
            <w:r w:rsidR="00D86633">
              <w:rPr>
                <w:webHidden/>
              </w:rPr>
              <w:instrText xml:space="preserve"> PAGEREF _Toc147137551 \h </w:instrText>
            </w:r>
            <w:r w:rsidR="00D86633">
              <w:rPr>
                <w:webHidden/>
              </w:rPr>
            </w:r>
            <w:r w:rsidR="00D86633">
              <w:rPr>
                <w:webHidden/>
              </w:rPr>
              <w:fldChar w:fldCharType="separate"/>
            </w:r>
            <w:r w:rsidR="00D86633">
              <w:rPr>
                <w:webHidden/>
              </w:rPr>
              <w:t>5</w:t>
            </w:r>
            <w:r w:rsidR="00D86633">
              <w:rPr>
                <w:webHidden/>
              </w:rPr>
              <w:fldChar w:fldCharType="end"/>
            </w:r>
          </w:hyperlink>
        </w:p>
        <w:p w14:paraId="34BBD377" w14:textId="5FEAC53C"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52" w:history="1">
            <w:r w:rsidR="00D86633" w:rsidRPr="00C551D0">
              <w:rPr>
                <w:rStyle w:val="Hipervnculo"/>
                <w:rFonts w:cs="Arial"/>
              </w:rPr>
              <w:t>ANEXO 1. ANÁLISIS COMENTARIOS</w:t>
            </w:r>
            <w:r w:rsidR="00D86633">
              <w:rPr>
                <w:webHidden/>
              </w:rPr>
              <w:tab/>
            </w:r>
            <w:r w:rsidR="00D86633">
              <w:rPr>
                <w:webHidden/>
              </w:rPr>
              <w:fldChar w:fldCharType="begin"/>
            </w:r>
            <w:r w:rsidR="00D86633">
              <w:rPr>
                <w:webHidden/>
              </w:rPr>
              <w:instrText xml:space="preserve"> PAGEREF _Toc147137552 \h </w:instrText>
            </w:r>
            <w:r w:rsidR="00D86633">
              <w:rPr>
                <w:webHidden/>
              </w:rPr>
            </w:r>
            <w:r w:rsidR="00D86633">
              <w:rPr>
                <w:webHidden/>
              </w:rPr>
              <w:fldChar w:fldCharType="separate"/>
            </w:r>
            <w:r w:rsidR="00D86633">
              <w:rPr>
                <w:webHidden/>
              </w:rPr>
              <w:t>7</w:t>
            </w:r>
            <w:r w:rsidR="00D86633">
              <w:rPr>
                <w:webHidden/>
              </w:rPr>
              <w:fldChar w:fldCharType="end"/>
            </w:r>
          </w:hyperlink>
        </w:p>
        <w:p w14:paraId="24AC3EC5" w14:textId="0FE26D9B"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53" w:history="1">
            <w:r w:rsidR="00D86633" w:rsidRPr="00C551D0">
              <w:rPr>
                <w:rStyle w:val="Hipervnculo"/>
              </w:rPr>
              <w:t>1.</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COMENTARIOS REALZADOS A LA RESOLUCIÓN CREG 701 012 DE 2022</w:t>
            </w:r>
            <w:r w:rsidR="00D86633">
              <w:rPr>
                <w:webHidden/>
              </w:rPr>
              <w:tab/>
            </w:r>
            <w:r w:rsidR="00D86633">
              <w:rPr>
                <w:webHidden/>
              </w:rPr>
              <w:fldChar w:fldCharType="begin"/>
            </w:r>
            <w:r w:rsidR="00D86633">
              <w:rPr>
                <w:webHidden/>
              </w:rPr>
              <w:instrText xml:space="preserve"> PAGEREF _Toc147137553 \h </w:instrText>
            </w:r>
            <w:r w:rsidR="00D86633">
              <w:rPr>
                <w:webHidden/>
              </w:rPr>
            </w:r>
            <w:r w:rsidR="00D86633">
              <w:rPr>
                <w:webHidden/>
              </w:rPr>
              <w:fldChar w:fldCharType="separate"/>
            </w:r>
            <w:r w:rsidR="00D86633">
              <w:rPr>
                <w:webHidden/>
              </w:rPr>
              <w:t>7</w:t>
            </w:r>
            <w:r w:rsidR="00D86633">
              <w:rPr>
                <w:webHidden/>
              </w:rPr>
              <w:fldChar w:fldCharType="end"/>
            </w:r>
          </w:hyperlink>
        </w:p>
        <w:p w14:paraId="7EF0CA6D" w14:textId="5F53597A"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54" w:history="1">
            <w:r w:rsidR="00D86633" w:rsidRPr="00C551D0">
              <w:rPr>
                <w:rStyle w:val="Hipervnculo"/>
              </w:rPr>
              <w:t>1.1.</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Enel S.A. E.S.P.</w:t>
            </w:r>
            <w:r w:rsidR="00D86633">
              <w:rPr>
                <w:webHidden/>
              </w:rPr>
              <w:tab/>
            </w:r>
            <w:r w:rsidR="00D86633">
              <w:rPr>
                <w:webHidden/>
              </w:rPr>
              <w:fldChar w:fldCharType="begin"/>
            </w:r>
            <w:r w:rsidR="00D86633">
              <w:rPr>
                <w:webHidden/>
              </w:rPr>
              <w:instrText xml:space="preserve"> PAGEREF _Toc147137554 \h </w:instrText>
            </w:r>
            <w:r w:rsidR="00D86633">
              <w:rPr>
                <w:webHidden/>
              </w:rPr>
            </w:r>
            <w:r w:rsidR="00D86633">
              <w:rPr>
                <w:webHidden/>
              </w:rPr>
              <w:fldChar w:fldCharType="separate"/>
            </w:r>
            <w:r w:rsidR="00D86633">
              <w:rPr>
                <w:webHidden/>
              </w:rPr>
              <w:t>7</w:t>
            </w:r>
            <w:r w:rsidR="00D86633">
              <w:rPr>
                <w:webHidden/>
              </w:rPr>
              <w:fldChar w:fldCharType="end"/>
            </w:r>
          </w:hyperlink>
        </w:p>
        <w:p w14:paraId="7692C702" w14:textId="087C0E61"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55" w:history="1">
            <w:r w:rsidR="00D86633" w:rsidRPr="00C551D0">
              <w:rPr>
                <w:rStyle w:val="Hipervnculo"/>
              </w:rPr>
              <w:t>1.2.</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Empresas Grupo EPM</w:t>
            </w:r>
            <w:r w:rsidR="00D86633">
              <w:rPr>
                <w:webHidden/>
              </w:rPr>
              <w:tab/>
            </w:r>
            <w:r w:rsidR="00D86633">
              <w:rPr>
                <w:webHidden/>
              </w:rPr>
              <w:fldChar w:fldCharType="begin"/>
            </w:r>
            <w:r w:rsidR="00D86633">
              <w:rPr>
                <w:webHidden/>
              </w:rPr>
              <w:instrText xml:space="preserve"> PAGEREF _Toc147137555 \h </w:instrText>
            </w:r>
            <w:r w:rsidR="00D86633">
              <w:rPr>
                <w:webHidden/>
              </w:rPr>
            </w:r>
            <w:r w:rsidR="00D86633">
              <w:rPr>
                <w:webHidden/>
              </w:rPr>
              <w:fldChar w:fldCharType="separate"/>
            </w:r>
            <w:r w:rsidR="00D86633">
              <w:rPr>
                <w:webHidden/>
              </w:rPr>
              <w:t>8</w:t>
            </w:r>
            <w:r w:rsidR="00D86633">
              <w:rPr>
                <w:webHidden/>
              </w:rPr>
              <w:fldChar w:fldCharType="end"/>
            </w:r>
          </w:hyperlink>
        </w:p>
        <w:p w14:paraId="77E98B0A" w14:textId="4B0686FD"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56" w:history="1">
            <w:r w:rsidR="00D86633" w:rsidRPr="00C551D0">
              <w:rPr>
                <w:rStyle w:val="Hipervnculo"/>
              </w:rPr>
              <w:t>1.3.</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CEDENAR S.A. E.S.P.</w:t>
            </w:r>
            <w:r w:rsidR="00D86633">
              <w:rPr>
                <w:webHidden/>
              </w:rPr>
              <w:tab/>
            </w:r>
            <w:r w:rsidR="00D86633">
              <w:rPr>
                <w:webHidden/>
              </w:rPr>
              <w:fldChar w:fldCharType="begin"/>
            </w:r>
            <w:r w:rsidR="00D86633">
              <w:rPr>
                <w:webHidden/>
              </w:rPr>
              <w:instrText xml:space="preserve"> PAGEREF _Toc147137556 \h </w:instrText>
            </w:r>
            <w:r w:rsidR="00D86633">
              <w:rPr>
                <w:webHidden/>
              </w:rPr>
            </w:r>
            <w:r w:rsidR="00D86633">
              <w:rPr>
                <w:webHidden/>
              </w:rPr>
              <w:fldChar w:fldCharType="separate"/>
            </w:r>
            <w:r w:rsidR="00D86633">
              <w:rPr>
                <w:webHidden/>
              </w:rPr>
              <w:t>9</w:t>
            </w:r>
            <w:r w:rsidR="00D86633">
              <w:rPr>
                <w:webHidden/>
              </w:rPr>
              <w:fldChar w:fldCharType="end"/>
            </w:r>
          </w:hyperlink>
        </w:p>
        <w:p w14:paraId="5587ED73" w14:textId="28BDB2C3"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57" w:history="1">
            <w:r w:rsidR="00D86633" w:rsidRPr="00C551D0">
              <w:rPr>
                <w:rStyle w:val="Hipervnculo"/>
              </w:rPr>
              <w:t>2.</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COMENTARIOS REALZADOS A LA RESOLUCIÓN CREG 701 022 DE 2022</w:t>
            </w:r>
            <w:r w:rsidR="00D86633">
              <w:rPr>
                <w:webHidden/>
              </w:rPr>
              <w:tab/>
            </w:r>
            <w:r w:rsidR="00D86633">
              <w:rPr>
                <w:webHidden/>
              </w:rPr>
              <w:fldChar w:fldCharType="begin"/>
            </w:r>
            <w:r w:rsidR="00D86633">
              <w:rPr>
                <w:webHidden/>
              </w:rPr>
              <w:instrText xml:space="preserve"> PAGEREF _Toc147137557 \h </w:instrText>
            </w:r>
            <w:r w:rsidR="00D86633">
              <w:rPr>
                <w:webHidden/>
              </w:rPr>
            </w:r>
            <w:r w:rsidR="00D86633">
              <w:rPr>
                <w:webHidden/>
              </w:rPr>
              <w:fldChar w:fldCharType="separate"/>
            </w:r>
            <w:r w:rsidR="00D86633">
              <w:rPr>
                <w:webHidden/>
              </w:rPr>
              <w:t>9</w:t>
            </w:r>
            <w:r w:rsidR="00D86633">
              <w:rPr>
                <w:webHidden/>
              </w:rPr>
              <w:fldChar w:fldCharType="end"/>
            </w:r>
          </w:hyperlink>
        </w:p>
        <w:p w14:paraId="5AAD477E" w14:textId="79C84123"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58" w:history="1">
            <w:r w:rsidR="00D86633" w:rsidRPr="00C551D0">
              <w:rPr>
                <w:rStyle w:val="Hipervnculo"/>
                <w:lang w:val="es-CO"/>
              </w:rPr>
              <w:t>2.1.</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lang w:val="es-CO"/>
              </w:rPr>
              <w:t>Asociación Nacional de Empresas de Servicios Públicos y Comunicaciones, ANDESCO</w:t>
            </w:r>
            <w:r w:rsidR="00D86633">
              <w:rPr>
                <w:webHidden/>
              </w:rPr>
              <w:tab/>
            </w:r>
            <w:r w:rsidR="00D86633">
              <w:rPr>
                <w:webHidden/>
              </w:rPr>
              <w:fldChar w:fldCharType="begin"/>
            </w:r>
            <w:r w:rsidR="00D86633">
              <w:rPr>
                <w:webHidden/>
              </w:rPr>
              <w:instrText xml:space="preserve"> PAGEREF _Toc147137558 \h </w:instrText>
            </w:r>
            <w:r w:rsidR="00D86633">
              <w:rPr>
                <w:webHidden/>
              </w:rPr>
            </w:r>
            <w:r w:rsidR="00D86633">
              <w:rPr>
                <w:webHidden/>
              </w:rPr>
              <w:fldChar w:fldCharType="separate"/>
            </w:r>
            <w:r w:rsidR="00D86633">
              <w:rPr>
                <w:webHidden/>
              </w:rPr>
              <w:t>9</w:t>
            </w:r>
            <w:r w:rsidR="00D86633">
              <w:rPr>
                <w:webHidden/>
              </w:rPr>
              <w:fldChar w:fldCharType="end"/>
            </w:r>
          </w:hyperlink>
        </w:p>
        <w:p w14:paraId="449C8A22" w14:textId="5F5F6A5B"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59" w:history="1">
            <w:r w:rsidR="00D86633" w:rsidRPr="00C551D0">
              <w:rPr>
                <w:rStyle w:val="Hipervnculo"/>
                <w:lang w:val="es-CO"/>
              </w:rPr>
              <w:t>2.2.</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lang w:val="es-CO"/>
              </w:rPr>
              <w:t>Superintendencia de Servicios Públicos Domiciliarios, SSPD (E2022000688 y E2022000688)</w:t>
            </w:r>
            <w:r w:rsidR="00D86633">
              <w:rPr>
                <w:webHidden/>
              </w:rPr>
              <w:tab/>
            </w:r>
            <w:r w:rsidR="00D86633">
              <w:rPr>
                <w:webHidden/>
              </w:rPr>
              <w:fldChar w:fldCharType="begin"/>
            </w:r>
            <w:r w:rsidR="00D86633">
              <w:rPr>
                <w:webHidden/>
              </w:rPr>
              <w:instrText xml:space="preserve"> PAGEREF _Toc147137559 \h </w:instrText>
            </w:r>
            <w:r w:rsidR="00D86633">
              <w:rPr>
                <w:webHidden/>
              </w:rPr>
            </w:r>
            <w:r w:rsidR="00D86633">
              <w:rPr>
                <w:webHidden/>
              </w:rPr>
              <w:fldChar w:fldCharType="separate"/>
            </w:r>
            <w:r w:rsidR="00D86633">
              <w:rPr>
                <w:webHidden/>
              </w:rPr>
              <w:t>11</w:t>
            </w:r>
            <w:r w:rsidR="00D86633">
              <w:rPr>
                <w:webHidden/>
              </w:rPr>
              <w:fldChar w:fldCharType="end"/>
            </w:r>
          </w:hyperlink>
        </w:p>
        <w:p w14:paraId="446C20A1" w14:textId="7579309E"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60" w:history="1">
            <w:r w:rsidR="00D86633" w:rsidRPr="00C551D0">
              <w:rPr>
                <w:rStyle w:val="Hipervnculo"/>
                <w:lang w:val="es-CO"/>
              </w:rPr>
              <w:t>2.3.</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lang w:val="es-CO"/>
              </w:rPr>
              <w:t>Enel S.A. E.S.P.</w:t>
            </w:r>
            <w:r w:rsidR="00D86633">
              <w:rPr>
                <w:webHidden/>
              </w:rPr>
              <w:tab/>
            </w:r>
            <w:r w:rsidR="00D86633">
              <w:rPr>
                <w:webHidden/>
              </w:rPr>
              <w:fldChar w:fldCharType="begin"/>
            </w:r>
            <w:r w:rsidR="00D86633">
              <w:rPr>
                <w:webHidden/>
              </w:rPr>
              <w:instrText xml:space="preserve"> PAGEREF _Toc147137560 \h </w:instrText>
            </w:r>
            <w:r w:rsidR="00D86633">
              <w:rPr>
                <w:webHidden/>
              </w:rPr>
            </w:r>
            <w:r w:rsidR="00D86633">
              <w:rPr>
                <w:webHidden/>
              </w:rPr>
              <w:fldChar w:fldCharType="separate"/>
            </w:r>
            <w:r w:rsidR="00D86633">
              <w:rPr>
                <w:webHidden/>
              </w:rPr>
              <w:t>12</w:t>
            </w:r>
            <w:r w:rsidR="00D86633">
              <w:rPr>
                <w:webHidden/>
              </w:rPr>
              <w:fldChar w:fldCharType="end"/>
            </w:r>
          </w:hyperlink>
        </w:p>
        <w:p w14:paraId="032C9802" w14:textId="28E9D745"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61" w:history="1">
            <w:r w:rsidR="00D86633" w:rsidRPr="00C551D0">
              <w:rPr>
                <w:rStyle w:val="Hipervnculo"/>
                <w:lang w:val="es-CO"/>
              </w:rPr>
              <w:t>2.4.</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lang w:val="es-CO"/>
              </w:rPr>
              <w:t>AES Colombia</w:t>
            </w:r>
            <w:r w:rsidR="00D86633">
              <w:rPr>
                <w:webHidden/>
              </w:rPr>
              <w:tab/>
            </w:r>
            <w:r w:rsidR="00D86633">
              <w:rPr>
                <w:webHidden/>
              </w:rPr>
              <w:fldChar w:fldCharType="begin"/>
            </w:r>
            <w:r w:rsidR="00D86633">
              <w:rPr>
                <w:webHidden/>
              </w:rPr>
              <w:instrText xml:space="preserve"> PAGEREF _Toc147137561 \h </w:instrText>
            </w:r>
            <w:r w:rsidR="00D86633">
              <w:rPr>
                <w:webHidden/>
              </w:rPr>
            </w:r>
            <w:r w:rsidR="00D86633">
              <w:rPr>
                <w:webHidden/>
              </w:rPr>
              <w:fldChar w:fldCharType="separate"/>
            </w:r>
            <w:r w:rsidR="00D86633">
              <w:rPr>
                <w:webHidden/>
              </w:rPr>
              <w:t>14</w:t>
            </w:r>
            <w:r w:rsidR="00D86633">
              <w:rPr>
                <w:webHidden/>
              </w:rPr>
              <w:fldChar w:fldCharType="end"/>
            </w:r>
          </w:hyperlink>
        </w:p>
        <w:p w14:paraId="60D03E32" w14:textId="7142E274"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62" w:history="1">
            <w:r w:rsidR="00D86633" w:rsidRPr="00C551D0">
              <w:rPr>
                <w:rStyle w:val="Hipervnculo"/>
                <w:lang w:val="es-CO"/>
              </w:rPr>
              <w:t>2.5.</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lang w:val="es-CO"/>
              </w:rPr>
              <w:t>Asociación de Energías Renovables Colombia, SER Colombia</w:t>
            </w:r>
            <w:r w:rsidR="00D86633">
              <w:rPr>
                <w:webHidden/>
              </w:rPr>
              <w:tab/>
            </w:r>
            <w:r w:rsidR="00D86633">
              <w:rPr>
                <w:webHidden/>
              </w:rPr>
              <w:fldChar w:fldCharType="begin"/>
            </w:r>
            <w:r w:rsidR="00D86633">
              <w:rPr>
                <w:webHidden/>
              </w:rPr>
              <w:instrText xml:space="preserve"> PAGEREF _Toc147137562 \h </w:instrText>
            </w:r>
            <w:r w:rsidR="00D86633">
              <w:rPr>
                <w:webHidden/>
              </w:rPr>
            </w:r>
            <w:r w:rsidR="00D86633">
              <w:rPr>
                <w:webHidden/>
              </w:rPr>
              <w:fldChar w:fldCharType="separate"/>
            </w:r>
            <w:r w:rsidR="00D86633">
              <w:rPr>
                <w:webHidden/>
              </w:rPr>
              <w:t>17</w:t>
            </w:r>
            <w:r w:rsidR="00D86633">
              <w:rPr>
                <w:webHidden/>
              </w:rPr>
              <w:fldChar w:fldCharType="end"/>
            </w:r>
          </w:hyperlink>
        </w:p>
        <w:p w14:paraId="2FEEEA38" w14:textId="4818A71C"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63" w:history="1">
            <w:r w:rsidR="00D86633" w:rsidRPr="00C551D0">
              <w:rPr>
                <w:rStyle w:val="Hipervnculo"/>
              </w:rPr>
              <w:t>3.</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COMENTARIOS REALZADOS A LA RESOLUCIÓN CREG 701 009 DE 2029</w:t>
            </w:r>
            <w:r w:rsidR="00D86633">
              <w:rPr>
                <w:webHidden/>
              </w:rPr>
              <w:tab/>
            </w:r>
            <w:r w:rsidR="00D86633">
              <w:rPr>
                <w:webHidden/>
              </w:rPr>
              <w:fldChar w:fldCharType="begin"/>
            </w:r>
            <w:r w:rsidR="00D86633">
              <w:rPr>
                <w:webHidden/>
              </w:rPr>
              <w:instrText xml:space="preserve"> PAGEREF _Toc147137563 \h </w:instrText>
            </w:r>
            <w:r w:rsidR="00D86633">
              <w:rPr>
                <w:webHidden/>
              </w:rPr>
            </w:r>
            <w:r w:rsidR="00D86633">
              <w:rPr>
                <w:webHidden/>
              </w:rPr>
              <w:fldChar w:fldCharType="separate"/>
            </w:r>
            <w:r w:rsidR="00D86633">
              <w:rPr>
                <w:webHidden/>
              </w:rPr>
              <w:t>18</w:t>
            </w:r>
            <w:r w:rsidR="00D86633">
              <w:rPr>
                <w:webHidden/>
              </w:rPr>
              <w:fldChar w:fldCharType="end"/>
            </w:r>
          </w:hyperlink>
        </w:p>
        <w:p w14:paraId="7B9C3FF4" w14:textId="3208DDE5"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64" w:history="1">
            <w:r w:rsidR="00D86633" w:rsidRPr="00C551D0">
              <w:rPr>
                <w:rStyle w:val="Hipervnculo"/>
              </w:rPr>
              <w:t>3.1.</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Enel S.A. E.S.P.</w:t>
            </w:r>
            <w:r w:rsidR="00D86633">
              <w:rPr>
                <w:webHidden/>
              </w:rPr>
              <w:tab/>
            </w:r>
            <w:r w:rsidR="00D86633">
              <w:rPr>
                <w:webHidden/>
              </w:rPr>
              <w:fldChar w:fldCharType="begin"/>
            </w:r>
            <w:r w:rsidR="00D86633">
              <w:rPr>
                <w:webHidden/>
              </w:rPr>
              <w:instrText xml:space="preserve"> PAGEREF _Toc147137564 \h </w:instrText>
            </w:r>
            <w:r w:rsidR="00D86633">
              <w:rPr>
                <w:webHidden/>
              </w:rPr>
            </w:r>
            <w:r w:rsidR="00D86633">
              <w:rPr>
                <w:webHidden/>
              </w:rPr>
              <w:fldChar w:fldCharType="separate"/>
            </w:r>
            <w:r w:rsidR="00D86633">
              <w:rPr>
                <w:webHidden/>
              </w:rPr>
              <w:t>18</w:t>
            </w:r>
            <w:r w:rsidR="00D86633">
              <w:rPr>
                <w:webHidden/>
              </w:rPr>
              <w:fldChar w:fldCharType="end"/>
            </w:r>
          </w:hyperlink>
        </w:p>
        <w:p w14:paraId="344E7D23" w14:textId="66F5ED64"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65" w:history="1">
            <w:r w:rsidR="00D86633" w:rsidRPr="00C551D0">
              <w:rPr>
                <w:rStyle w:val="Hipervnculo"/>
              </w:rPr>
              <w:t>3.2.</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CELSIA</w:t>
            </w:r>
            <w:r w:rsidR="00D86633">
              <w:rPr>
                <w:webHidden/>
              </w:rPr>
              <w:tab/>
            </w:r>
            <w:r w:rsidR="00D86633">
              <w:rPr>
                <w:webHidden/>
              </w:rPr>
              <w:fldChar w:fldCharType="begin"/>
            </w:r>
            <w:r w:rsidR="00D86633">
              <w:rPr>
                <w:webHidden/>
              </w:rPr>
              <w:instrText xml:space="preserve"> PAGEREF _Toc147137565 \h </w:instrText>
            </w:r>
            <w:r w:rsidR="00D86633">
              <w:rPr>
                <w:webHidden/>
              </w:rPr>
            </w:r>
            <w:r w:rsidR="00D86633">
              <w:rPr>
                <w:webHidden/>
              </w:rPr>
              <w:fldChar w:fldCharType="separate"/>
            </w:r>
            <w:r w:rsidR="00D86633">
              <w:rPr>
                <w:webHidden/>
              </w:rPr>
              <w:t>21</w:t>
            </w:r>
            <w:r w:rsidR="00D86633">
              <w:rPr>
                <w:webHidden/>
              </w:rPr>
              <w:fldChar w:fldCharType="end"/>
            </w:r>
          </w:hyperlink>
        </w:p>
        <w:p w14:paraId="4223672E" w14:textId="6EDACEC4" w:rsidR="00D86633" w:rsidRDefault="000300F0">
          <w:pPr>
            <w:pStyle w:val="TDC2"/>
            <w:rPr>
              <w:rFonts w:asciiTheme="minorHAnsi" w:eastAsiaTheme="minorEastAsia" w:hAnsiTheme="minorHAnsi" w:cstheme="minorBidi"/>
              <w:kern w:val="2"/>
              <w:sz w:val="22"/>
              <w:szCs w:val="22"/>
              <w:lang w:val="es-CO" w:eastAsia="es-CO"/>
              <w14:ligatures w14:val="standardContextual"/>
            </w:rPr>
          </w:pPr>
          <w:hyperlink w:anchor="_Toc147137566" w:history="1">
            <w:r w:rsidR="00D86633" w:rsidRPr="00C551D0">
              <w:rPr>
                <w:rStyle w:val="Hipervnculo"/>
              </w:rPr>
              <w:t>3.3.</w:t>
            </w:r>
            <w:r w:rsidR="00D86633">
              <w:rPr>
                <w:rFonts w:asciiTheme="minorHAnsi" w:eastAsiaTheme="minorEastAsia" w:hAnsiTheme="minorHAnsi" w:cstheme="minorBidi"/>
                <w:kern w:val="2"/>
                <w:sz w:val="22"/>
                <w:szCs w:val="22"/>
                <w:lang w:val="es-CO" w:eastAsia="es-CO"/>
                <w14:ligatures w14:val="standardContextual"/>
              </w:rPr>
              <w:tab/>
            </w:r>
            <w:r w:rsidR="00D86633" w:rsidRPr="00C551D0">
              <w:rPr>
                <w:rStyle w:val="Hipervnculo"/>
              </w:rPr>
              <w:t>Empresas Públicas de Medellín, EPM</w:t>
            </w:r>
            <w:r w:rsidR="00D86633">
              <w:rPr>
                <w:webHidden/>
              </w:rPr>
              <w:tab/>
            </w:r>
            <w:r w:rsidR="00D86633">
              <w:rPr>
                <w:webHidden/>
              </w:rPr>
              <w:fldChar w:fldCharType="begin"/>
            </w:r>
            <w:r w:rsidR="00D86633">
              <w:rPr>
                <w:webHidden/>
              </w:rPr>
              <w:instrText xml:space="preserve"> PAGEREF _Toc147137566 \h </w:instrText>
            </w:r>
            <w:r w:rsidR="00D86633">
              <w:rPr>
                <w:webHidden/>
              </w:rPr>
            </w:r>
            <w:r w:rsidR="00D86633">
              <w:rPr>
                <w:webHidden/>
              </w:rPr>
              <w:fldChar w:fldCharType="separate"/>
            </w:r>
            <w:r w:rsidR="00D86633">
              <w:rPr>
                <w:webHidden/>
              </w:rPr>
              <w:t>22</w:t>
            </w:r>
            <w:r w:rsidR="00D86633">
              <w:rPr>
                <w:webHidden/>
              </w:rPr>
              <w:fldChar w:fldCharType="end"/>
            </w:r>
          </w:hyperlink>
        </w:p>
        <w:p w14:paraId="633A23C7" w14:textId="731B3919"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67" w:history="1">
            <w:r w:rsidR="00D86633" w:rsidRPr="00C551D0">
              <w:rPr>
                <w:rStyle w:val="Hipervnculo"/>
                <w:rFonts w:cs="Arial"/>
              </w:rPr>
              <w:t>ANEXO 2. DETERMINACIÓN DEL VALOR DE LA ESTRUCTURA DE CAPITAL Y DEL BETA DESAPALANCADO PARA EL CÓDIGO GICS 55105020</w:t>
            </w:r>
            <w:r w:rsidR="00D86633">
              <w:rPr>
                <w:webHidden/>
              </w:rPr>
              <w:tab/>
            </w:r>
            <w:r w:rsidR="00D86633">
              <w:rPr>
                <w:webHidden/>
              </w:rPr>
              <w:fldChar w:fldCharType="begin"/>
            </w:r>
            <w:r w:rsidR="00D86633">
              <w:rPr>
                <w:webHidden/>
              </w:rPr>
              <w:instrText xml:space="preserve"> PAGEREF _Toc147137567 \h </w:instrText>
            </w:r>
            <w:r w:rsidR="00D86633">
              <w:rPr>
                <w:webHidden/>
              </w:rPr>
            </w:r>
            <w:r w:rsidR="00D86633">
              <w:rPr>
                <w:webHidden/>
              </w:rPr>
              <w:fldChar w:fldCharType="separate"/>
            </w:r>
            <w:r w:rsidR="00D86633">
              <w:rPr>
                <w:webHidden/>
              </w:rPr>
              <w:t>24</w:t>
            </w:r>
            <w:r w:rsidR="00D86633">
              <w:rPr>
                <w:webHidden/>
              </w:rPr>
              <w:fldChar w:fldCharType="end"/>
            </w:r>
          </w:hyperlink>
        </w:p>
        <w:p w14:paraId="487B81DA" w14:textId="6396DDFA" w:rsidR="00D86633" w:rsidRDefault="000300F0">
          <w:pPr>
            <w:pStyle w:val="TDC1"/>
            <w:rPr>
              <w:rFonts w:asciiTheme="minorHAnsi" w:eastAsiaTheme="minorEastAsia" w:hAnsiTheme="minorHAnsi" w:cstheme="minorBidi"/>
              <w:kern w:val="2"/>
              <w:sz w:val="22"/>
              <w:szCs w:val="22"/>
              <w:lang w:val="es-CO" w:eastAsia="es-CO"/>
              <w14:ligatures w14:val="standardContextual"/>
            </w:rPr>
          </w:pPr>
          <w:hyperlink w:anchor="_Toc147137568" w:history="1">
            <w:r w:rsidR="00D86633" w:rsidRPr="00C551D0">
              <w:rPr>
                <w:rStyle w:val="Hipervnculo"/>
                <w:rFonts w:cs="Arial"/>
              </w:rPr>
              <w:t>ANEXO 3. CUSTIONARIO COMPETENCIA SIC</w:t>
            </w:r>
            <w:r w:rsidR="00D86633">
              <w:rPr>
                <w:webHidden/>
              </w:rPr>
              <w:tab/>
            </w:r>
            <w:r w:rsidR="00D86633">
              <w:rPr>
                <w:webHidden/>
              </w:rPr>
              <w:fldChar w:fldCharType="begin"/>
            </w:r>
            <w:r w:rsidR="00D86633">
              <w:rPr>
                <w:webHidden/>
              </w:rPr>
              <w:instrText xml:space="preserve"> PAGEREF _Toc147137568 \h </w:instrText>
            </w:r>
            <w:r w:rsidR="00D86633">
              <w:rPr>
                <w:webHidden/>
              </w:rPr>
            </w:r>
            <w:r w:rsidR="00D86633">
              <w:rPr>
                <w:webHidden/>
              </w:rPr>
              <w:fldChar w:fldCharType="separate"/>
            </w:r>
            <w:r w:rsidR="00D86633">
              <w:rPr>
                <w:webHidden/>
              </w:rPr>
              <w:t>26</w:t>
            </w:r>
            <w:r w:rsidR="00D86633">
              <w:rPr>
                <w:webHidden/>
              </w:rPr>
              <w:fldChar w:fldCharType="end"/>
            </w:r>
          </w:hyperlink>
        </w:p>
        <w:p w14:paraId="5BC35000" w14:textId="45316C00" w:rsidR="00B866EE" w:rsidRDefault="002671D5" w:rsidP="00B866EE">
          <w:pPr>
            <w:rPr>
              <w:rFonts w:cs="Arial"/>
              <w:b/>
              <w:bCs/>
              <w:szCs w:val="24"/>
            </w:rPr>
          </w:pPr>
          <w:r>
            <w:rPr>
              <w:rFonts w:cs="Arial"/>
              <w:b/>
              <w:bCs/>
              <w:noProof/>
              <w:szCs w:val="24"/>
              <w:lang w:val="es-ES"/>
            </w:rPr>
            <w:fldChar w:fldCharType="end"/>
          </w:r>
        </w:p>
      </w:sdtContent>
    </w:sdt>
    <w:p w14:paraId="7C294841" w14:textId="77777777" w:rsidR="00801109" w:rsidRDefault="00801109" w:rsidP="00B866EE">
      <w:pPr>
        <w:rPr>
          <w:rFonts w:cs="Arial"/>
          <w:szCs w:val="24"/>
        </w:rPr>
      </w:pPr>
    </w:p>
    <w:p w14:paraId="7C641382" w14:textId="77777777" w:rsidR="00EB7BAC" w:rsidRDefault="00EB7BAC" w:rsidP="00B866EE">
      <w:pPr>
        <w:rPr>
          <w:rFonts w:cs="Arial"/>
          <w:szCs w:val="24"/>
        </w:rPr>
      </w:pPr>
    </w:p>
    <w:p w14:paraId="0F3DF350" w14:textId="1E443ACF" w:rsidR="00EB7BAC" w:rsidRDefault="00EB7BAC" w:rsidP="00B866EE">
      <w:pPr>
        <w:rPr>
          <w:rFonts w:cs="Arial"/>
          <w:szCs w:val="24"/>
        </w:rPr>
      </w:pPr>
      <w:r>
        <w:rPr>
          <w:rFonts w:cs="Arial"/>
          <w:szCs w:val="24"/>
        </w:rPr>
        <w:br w:type="page"/>
      </w:r>
    </w:p>
    <w:p w14:paraId="3A90CA3A" w14:textId="77777777" w:rsidR="00EB7BAC" w:rsidRDefault="00EB7BAC" w:rsidP="00B866EE">
      <w:pPr>
        <w:rPr>
          <w:rFonts w:cs="Arial"/>
          <w:szCs w:val="24"/>
        </w:rPr>
      </w:pPr>
    </w:p>
    <w:p w14:paraId="3991EC5D" w14:textId="77777777" w:rsidR="00EB7BAC" w:rsidRPr="00587698" w:rsidRDefault="00EB7BAC" w:rsidP="00B866EE">
      <w:pPr>
        <w:rPr>
          <w:rFonts w:cs="Arial"/>
          <w:szCs w:val="24"/>
        </w:rPr>
      </w:pPr>
    </w:p>
    <w:p w14:paraId="47A275D1" w14:textId="77777777" w:rsidR="00B866EE" w:rsidRDefault="00B866EE" w:rsidP="00B866EE">
      <w:pPr>
        <w:spacing w:after="120"/>
        <w:jc w:val="center"/>
        <w:rPr>
          <w:rFonts w:eastAsiaTheme="majorEastAsia" w:cs="Arial"/>
          <w:b/>
          <w:bCs/>
          <w:szCs w:val="24"/>
        </w:rPr>
      </w:pPr>
      <w:r w:rsidRPr="00587698">
        <w:rPr>
          <w:rFonts w:eastAsiaTheme="majorEastAsia" w:cs="Arial"/>
          <w:b/>
          <w:bCs/>
          <w:szCs w:val="24"/>
        </w:rPr>
        <w:t>Lista de figuras</w:t>
      </w:r>
    </w:p>
    <w:p w14:paraId="5C113707" w14:textId="77777777" w:rsidR="00076E39" w:rsidRDefault="00076E39" w:rsidP="00AC6FBB">
      <w:pPr>
        <w:spacing w:after="120"/>
        <w:jc w:val="left"/>
        <w:rPr>
          <w:rFonts w:cs="Arial"/>
          <w:szCs w:val="24"/>
        </w:rPr>
      </w:pPr>
    </w:p>
    <w:p w14:paraId="34F745E2" w14:textId="77777777" w:rsidR="00874F87" w:rsidRDefault="00874F87" w:rsidP="00AC6FBB">
      <w:pPr>
        <w:spacing w:after="120"/>
        <w:jc w:val="left"/>
        <w:rPr>
          <w:rFonts w:cs="Arial"/>
          <w:szCs w:val="24"/>
        </w:rPr>
      </w:pPr>
    </w:p>
    <w:p w14:paraId="2C697FC5" w14:textId="66576EC6" w:rsidR="000300F0" w:rsidRDefault="00874F87" w:rsidP="00AC6FBB">
      <w:pPr>
        <w:spacing w:after="120"/>
        <w:jc w:val="left"/>
        <w:rPr>
          <w:rFonts w:cs="Arial"/>
          <w:szCs w:val="24"/>
        </w:rPr>
      </w:pPr>
      <w:r>
        <w:rPr>
          <w:rFonts w:cs="Arial"/>
          <w:noProof/>
          <w:szCs w:val="24"/>
        </w:rPr>
        <w:fldChar w:fldCharType="begin"/>
      </w:r>
      <w:r>
        <w:rPr>
          <w:rFonts w:cs="Arial"/>
          <w:szCs w:val="24"/>
        </w:rPr>
        <w:instrText xml:space="preserve"> TOC \h \z \c "Figura" </w:instrText>
      </w:r>
      <w:r>
        <w:rPr>
          <w:rFonts w:cs="Arial"/>
          <w:noProof/>
          <w:szCs w:val="24"/>
        </w:rPr>
        <w:fldChar w:fldCharType="separate"/>
      </w:r>
      <w:r w:rsidR="00900B70">
        <w:rPr>
          <w:rFonts w:cs="Arial"/>
          <w:b/>
          <w:bCs/>
          <w:noProof/>
          <w:szCs w:val="24"/>
          <w:lang w:val="es-ES"/>
        </w:rPr>
        <w:t>No se encuentran elementos de tabla de ilustraciones.</w:t>
      </w:r>
      <w:r>
        <w:rPr>
          <w:rFonts w:cs="Arial"/>
          <w:szCs w:val="24"/>
        </w:rPr>
        <w:fldChar w:fldCharType="end"/>
      </w:r>
    </w:p>
    <w:p w14:paraId="76C73ED0" w14:textId="77777777" w:rsidR="00874F87" w:rsidRDefault="00874F87" w:rsidP="00AC6FBB">
      <w:pPr>
        <w:spacing w:after="120"/>
        <w:jc w:val="left"/>
        <w:rPr>
          <w:rFonts w:cs="Arial"/>
          <w:szCs w:val="24"/>
        </w:rPr>
      </w:pPr>
    </w:p>
    <w:p w14:paraId="21AE8D57" w14:textId="77777777" w:rsidR="00874F87" w:rsidRDefault="00874F87" w:rsidP="00AC6FBB">
      <w:pPr>
        <w:spacing w:after="120"/>
        <w:jc w:val="left"/>
        <w:rPr>
          <w:rFonts w:cs="Arial"/>
          <w:szCs w:val="24"/>
        </w:rPr>
      </w:pPr>
    </w:p>
    <w:p w14:paraId="0B003506" w14:textId="77777777" w:rsidR="00076E39" w:rsidRDefault="00076E39" w:rsidP="00AC6FBB">
      <w:pPr>
        <w:spacing w:after="120"/>
        <w:jc w:val="left"/>
        <w:rPr>
          <w:rFonts w:cs="Arial"/>
          <w:szCs w:val="24"/>
        </w:rPr>
      </w:pPr>
    </w:p>
    <w:p w14:paraId="477C2332" w14:textId="77777777" w:rsidR="00076E39" w:rsidRPr="00587698" w:rsidRDefault="00076E39" w:rsidP="00AC6FBB">
      <w:pPr>
        <w:spacing w:after="120"/>
        <w:jc w:val="left"/>
        <w:rPr>
          <w:rFonts w:cs="Arial"/>
          <w:szCs w:val="24"/>
        </w:rPr>
      </w:pPr>
    </w:p>
    <w:p w14:paraId="5FC1436B" w14:textId="77777777" w:rsidR="00B866EE" w:rsidRDefault="00B866EE" w:rsidP="00B866EE">
      <w:pPr>
        <w:spacing w:after="120"/>
        <w:jc w:val="center"/>
        <w:rPr>
          <w:rFonts w:eastAsiaTheme="majorEastAsia" w:cs="Arial"/>
          <w:b/>
          <w:bCs/>
          <w:szCs w:val="24"/>
        </w:rPr>
      </w:pPr>
    </w:p>
    <w:p w14:paraId="1444561C" w14:textId="77777777" w:rsidR="00B866EE" w:rsidRPr="00587698" w:rsidRDefault="00B866EE" w:rsidP="00B866EE">
      <w:pPr>
        <w:spacing w:after="120"/>
        <w:jc w:val="center"/>
        <w:rPr>
          <w:rFonts w:eastAsiaTheme="majorEastAsia" w:cs="Arial"/>
          <w:b/>
          <w:bCs/>
          <w:szCs w:val="24"/>
        </w:rPr>
      </w:pPr>
      <w:r w:rsidRPr="00587698">
        <w:rPr>
          <w:rFonts w:eastAsiaTheme="majorEastAsia" w:cs="Arial"/>
          <w:b/>
          <w:bCs/>
          <w:szCs w:val="24"/>
        </w:rPr>
        <w:t>Lista de tablas</w:t>
      </w:r>
    </w:p>
    <w:p w14:paraId="1CA83BC7" w14:textId="77777777" w:rsidR="00B866EE" w:rsidRPr="00587698" w:rsidRDefault="00B866EE" w:rsidP="00B866EE">
      <w:pPr>
        <w:spacing w:after="120"/>
        <w:rPr>
          <w:rFonts w:eastAsiaTheme="majorEastAsia" w:cs="Arial"/>
          <w:bCs/>
          <w:szCs w:val="24"/>
        </w:rPr>
      </w:pPr>
    </w:p>
    <w:p w14:paraId="4930A23C" w14:textId="5DC5AF44" w:rsidR="00EE76A9" w:rsidRDefault="00832DBB">
      <w:pPr>
        <w:pStyle w:val="Tabladeilustraciones"/>
        <w:rPr>
          <w:rFonts w:asciiTheme="minorHAnsi" w:eastAsiaTheme="minorEastAsia" w:hAnsiTheme="minorHAnsi" w:cstheme="minorBidi"/>
          <w:kern w:val="2"/>
          <w:sz w:val="22"/>
          <w:szCs w:val="22"/>
          <w:lang w:val="es-CO" w:eastAsia="es-CO"/>
          <w14:ligatures w14:val="standardContextual"/>
        </w:rPr>
      </w:pPr>
      <w:r>
        <w:rPr>
          <w:rFonts w:eastAsiaTheme="minorEastAsia" w:cs="Arial"/>
          <w:color w:val="0563C1" w:themeColor="hyperlink"/>
          <w:szCs w:val="24"/>
          <w:u w:val="single"/>
          <w:lang w:val="es-PE" w:eastAsia="es-PE"/>
        </w:rPr>
        <w:fldChar w:fldCharType="begin"/>
      </w:r>
      <w:r>
        <w:rPr>
          <w:rFonts w:eastAsiaTheme="minorEastAsia" w:cs="Arial"/>
          <w:color w:val="0563C1" w:themeColor="hyperlink"/>
          <w:szCs w:val="24"/>
          <w:u w:val="single"/>
          <w:lang w:val="es-PE" w:eastAsia="es-PE"/>
        </w:rPr>
        <w:instrText xml:space="preserve"> TOC \h \z \c "Tabla" </w:instrText>
      </w:r>
      <w:r>
        <w:rPr>
          <w:rFonts w:eastAsiaTheme="minorEastAsia" w:cs="Arial"/>
          <w:color w:val="0563C1" w:themeColor="hyperlink"/>
          <w:szCs w:val="24"/>
          <w:u w:val="single"/>
          <w:lang w:val="es-PE" w:eastAsia="es-PE"/>
        </w:rPr>
        <w:fldChar w:fldCharType="separate"/>
      </w:r>
      <w:hyperlink w:anchor="_Toc142896782" w:history="1">
        <w:r w:rsidR="00EE76A9" w:rsidRPr="00833B14">
          <w:rPr>
            <w:rStyle w:val="Hipervnculo"/>
          </w:rPr>
          <w:t xml:space="preserve">Tabla 1. </w:t>
        </w:r>
        <w:r w:rsidR="00EE76A9" w:rsidRPr="00833B14">
          <w:rPr>
            <w:rStyle w:val="Hipervnculo"/>
            <w:rFonts w:cs="Arial"/>
            <w:bCs/>
          </w:rPr>
          <w:t>Resoluciones de consulta publicadas</w:t>
        </w:r>
        <w:r w:rsidR="00EE76A9">
          <w:rPr>
            <w:webHidden/>
          </w:rPr>
          <w:tab/>
        </w:r>
        <w:r w:rsidR="00EE76A9">
          <w:rPr>
            <w:webHidden/>
          </w:rPr>
          <w:fldChar w:fldCharType="begin"/>
        </w:r>
        <w:r w:rsidR="00EE76A9">
          <w:rPr>
            <w:webHidden/>
          </w:rPr>
          <w:instrText xml:space="preserve"> PAGEREF _Toc142896782 \h </w:instrText>
        </w:r>
        <w:r w:rsidR="00EE76A9">
          <w:rPr>
            <w:webHidden/>
          </w:rPr>
        </w:r>
        <w:r w:rsidR="00EE76A9">
          <w:rPr>
            <w:webHidden/>
          </w:rPr>
          <w:fldChar w:fldCharType="separate"/>
        </w:r>
        <w:r w:rsidR="00EE76A9">
          <w:rPr>
            <w:webHidden/>
          </w:rPr>
          <w:t>4</w:t>
        </w:r>
        <w:r w:rsidR="00EE76A9">
          <w:rPr>
            <w:webHidden/>
          </w:rPr>
          <w:fldChar w:fldCharType="end"/>
        </w:r>
      </w:hyperlink>
    </w:p>
    <w:p w14:paraId="69CCB72E" w14:textId="2CA79F1D" w:rsidR="00EE76A9" w:rsidRDefault="000300F0">
      <w:pPr>
        <w:pStyle w:val="Tabladeilustraciones"/>
        <w:rPr>
          <w:rFonts w:asciiTheme="minorHAnsi" w:eastAsiaTheme="minorEastAsia" w:hAnsiTheme="minorHAnsi" w:cstheme="minorBidi"/>
          <w:kern w:val="2"/>
          <w:sz w:val="22"/>
          <w:szCs w:val="22"/>
          <w:lang w:val="es-CO" w:eastAsia="es-CO"/>
          <w14:ligatures w14:val="standardContextual"/>
        </w:rPr>
      </w:pPr>
      <w:hyperlink w:anchor="_Toc142896783" w:history="1">
        <w:r w:rsidR="00EE76A9" w:rsidRPr="00833B14">
          <w:rPr>
            <w:rStyle w:val="Hipervnculo"/>
          </w:rPr>
          <w:t xml:space="preserve">Tabla 2. </w:t>
        </w:r>
        <w:r w:rsidR="00EE76A9" w:rsidRPr="00833B14">
          <w:rPr>
            <w:rStyle w:val="Hipervnculo"/>
            <w:rFonts w:cs="Arial"/>
            <w:bCs/>
          </w:rPr>
          <w:t>Agentes que presentaron comentarios.</w:t>
        </w:r>
        <w:r w:rsidR="00EE76A9">
          <w:rPr>
            <w:webHidden/>
          </w:rPr>
          <w:tab/>
        </w:r>
        <w:r w:rsidR="00EE76A9">
          <w:rPr>
            <w:webHidden/>
          </w:rPr>
          <w:fldChar w:fldCharType="begin"/>
        </w:r>
        <w:r w:rsidR="00EE76A9">
          <w:rPr>
            <w:webHidden/>
          </w:rPr>
          <w:instrText xml:space="preserve"> PAGEREF _Toc142896783 \h </w:instrText>
        </w:r>
        <w:r w:rsidR="00EE76A9">
          <w:rPr>
            <w:webHidden/>
          </w:rPr>
        </w:r>
        <w:r w:rsidR="00EE76A9">
          <w:rPr>
            <w:webHidden/>
          </w:rPr>
          <w:fldChar w:fldCharType="separate"/>
        </w:r>
        <w:r w:rsidR="00EE76A9">
          <w:rPr>
            <w:webHidden/>
          </w:rPr>
          <w:t>5</w:t>
        </w:r>
        <w:r w:rsidR="00EE76A9">
          <w:rPr>
            <w:webHidden/>
          </w:rPr>
          <w:fldChar w:fldCharType="end"/>
        </w:r>
      </w:hyperlink>
    </w:p>
    <w:p w14:paraId="6D9C4250" w14:textId="16AB2DAD" w:rsidR="00EE76A9" w:rsidRDefault="000300F0">
      <w:pPr>
        <w:pStyle w:val="Tabladeilustraciones"/>
        <w:rPr>
          <w:rFonts w:asciiTheme="minorHAnsi" w:eastAsiaTheme="minorEastAsia" w:hAnsiTheme="minorHAnsi" w:cstheme="minorBidi"/>
          <w:kern w:val="2"/>
          <w:sz w:val="22"/>
          <w:szCs w:val="22"/>
          <w:lang w:val="es-CO" w:eastAsia="es-CO"/>
          <w14:ligatures w14:val="standardContextual"/>
        </w:rPr>
      </w:pPr>
      <w:hyperlink w:anchor="_Toc142896784" w:history="1">
        <w:r w:rsidR="00EE76A9" w:rsidRPr="00833B14">
          <w:rPr>
            <w:rStyle w:val="Hipervnculo"/>
          </w:rPr>
          <w:t xml:space="preserve">Tabla 3. </w:t>
        </w:r>
        <w:r w:rsidR="00EE76A9" w:rsidRPr="00833B14">
          <w:rPr>
            <w:rStyle w:val="Hipervnculo"/>
            <w:rFonts w:cs="Arial"/>
          </w:rPr>
          <w:t>Canasta de empresas</w:t>
        </w:r>
        <w:r w:rsidR="00EE76A9">
          <w:rPr>
            <w:webHidden/>
          </w:rPr>
          <w:tab/>
        </w:r>
        <w:r w:rsidR="00EE76A9">
          <w:rPr>
            <w:webHidden/>
          </w:rPr>
          <w:fldChar w:fldCharType="begin"/>
        </w:r>
        <w:r w:rsidR="00EE76A9">
          <w:rPr>
            <w:webHidden/>
          </w:rPr>
          <w:instrText xml:space="preserve"> PAGEREF _Toc142896784 \h </w:instrText>
        </w:r>
        <w:r w:rsidR="00EE76A9">
          <w:rPr>
            <w:webHidden/>
          </w:rPr>
        </w:r>
        <w:r w:rsidR="00EE76A9">
          <w:rPr>
            <w:webHidden/>
          </w:rPr>
          <w:fldChar w:fldCharType="separate"/>
        </w:r>
        <w:r w:rsidR="00EE76A9">
          <w:rPr>
            <w:webHidden/>
          </w:rPr>
          <w:t>23</w:t>
        </w:r>
        <w:r w:rsidR="00EE76A9">
          <w:rPr>
            <w:webHidden/>
          </w:rPr>
          <w:fldChar w:fldCharType="end"/>
        </w:r>
      </w:hyperlink>
    </w:p>
    <w:p w14:paraId="1EA8F8C4" w14:textId="3F73F31C" w:rsidR="00EE76A9" w:rsidRDefault="000300F0">
      <w:pPr>
        <w:pStyle w:val="Tabladeilustraciones"/>
        <w:rPr>
          <w:rFonts w:asciiTheme="minorHAnsi" w:eastAsiaTheme="minorEastAsia" w:hAnsiTheme="minorHAnsi" w:cstheme="minorBidi"/>
          <w:kern w:val="2"/>
          <w:sz w:val="22"/>
          <w:szCs w:val="22"/>
          <w:lang w:val="es-CO" w:eastAsia="es-CO"/>
          <w14:ligatures w14:val="standardContextual"/>
        </w:rPr>
      </w:pPr>
      <w:hyperlink w:anchor="_Toc142896785" w:history="1">
        <w:r w:rsidR="00EE76A9" w:rsidRPr="00833B14">
          <w:rPr>
            <w:rStyle w:val="Hipervnculo"/>
          </w:rPr>
          <w:t>Tabla 4. Betas y ponderadores para las empresas de la canasta</w:t>
        </w:r>
        <w:r w:rsidR="00EE76A9">
          <w:rPr>
            <w:webHidden/>
          </w:rPr>
          <w:tab/>
        </w:r>
        <w:r w:rsidR="00EE76A9">
          <w:rPr>
            <w:webHidden/>
          </w:rPr>
          <w:fldChar w:fldCharType="begin"/>
        </w:r>
        <w:r w:rsidR="00EE76A9">
          <w:rPr>
            <w:webHidden/>
          </w:rPr>
          <w:instrText xml:space="preserve"> PAGEREF _Toc142896785 \h </w:instrText>
        </w:r>
        <w:r w:rsidR="00EE76A9">
          <w:rPr>
            <w:webHidden/>
          </w:rPr>
        </w:r>
        <w:r w:rsidR="00EE76A9">
          <w:rPr>
            <w:webHidden/>
          </w:rPr>
          <w:fldChar w:fldCharType="separate"/>
        </w:r>
        <w:r w:rsidR="00EE76A9">
          <w:rPr>
            <w:webHidden/>
          </w:rPr>
          <w:t>24</w:t>
        </w:r>
        <w:r w:rsidR="00EE76A9">
          <w:rPr>
            <w:webHidden/>
          </w:rPr>
          <w:fldChar w:fldCharType="end"/>
        </w:r>
      </w:hyperlink>
    </w:p>
    <w:p w14:paraId="5D263383" w14:textId="535C3ADD" w:rsidR="00EF3BA9" w:rsidRPr="005B5C7B" w:rsidRDefault="00832DBB" w:rsidP="007149BD">
      <w:pPr>
        <w:tabs>
          <w:tab w:val="right" w:leader="dot" w:pos="9394"/>
        </w:tabs>
        <w:spacing w:after="120"/>
        <w:rPr>
          <w:rFonts w:eastAsiaTheme="minorEastAsia" w:cs="Arial"/>
          <w:noProof/>
          <w:szCs w:val="24"/>
          <w:u w:val="single"/>
          <w:lang w:val="es-PE" w:eastAsia="es-PE"/>
        </w:rPr>
      </w:pPr>
      <w:r>
        <w:rPr>
          <w:rFonts w:eastAsiaTheme="minorEastAsia" w:cs="Arial"/>
          <w:noProof/>
          <w:color w:val="0563C1" w:themeColor="hyperlink"/>
          <w:szCs w:val="24"/>
          <w:u w:val="single"/>
          <w:lang w:val="es-PE" w:eastAsia="es-PE"/>
        </w:rPr>
        <w:fldChar w:fldCharType="end"/>
      </w:r>
    </w:p>
    <w:p w14:paraId="47B7B93D" w14:textId="77777777" w:rsidR="00962E08" w:rsidRPr="005B5C7B" w:rsidRDefault="00962E08" w:rsidP="007149BD">
      <w:pPr>
        <w:tabs>
          <w:tab w:val="right" w:leader="dot" w:pos="9394"/>
        </w:tabs>
        <w:spacing w:after="120"/>
        <w:rPr>
          <w:rFonts w:eastAsiaTheme="minorEastAsia" w:cs="Arial"/>
          <w:noProof/>
          <w:szCs w:val="24"/>
          <w:u w:val="single"/>
          <w:lang w:val="es-PE" w:eastAsia="es-PE"/>
        </w:rPr>
      </w:pPr>
    </w:p>
    <w:p w14:paraId="2FFB77A7" w14:textId="77777777" w:rsidR="00EF3BA9" w:rsidRPr="005B5C7B" w:rsidRDefault="00EF3BA9" w:rsidP="007149BD">
      <w:pPr>
        <w:tabs>
          <w:tab w:val="right" w:leader="dot" w:pos="9394"/>
        </w:tabs>
        <w:spacing w:after="120"/>
        <w:rPr>
          <w:rFonts w:eastAsiaTheme="minorEastAsia" w:cs="Arial"/>
          <w:noProof/>
          <w:szCs w:val="24"/>
          <w:u w:val="single"/>
          <w:lang w:val="es-PE" w:eastAsia="es-PE"/>
        </w:rPr>
      </w:pPr>
    </w:p>
    <w:p w14:paraId="5A02F7E8" w14:textId="1D931E3B" w:rsidR="00B866EE" w:rsidRPr="00587698" w:rsidRDefault="00B866EE" w:rsidP="007149BD">
      <w:pPr>
        <w:tabs>
          <w:tab w:val="right" w:leader="dot" w:pos="9394"/>
        </w:tabs>
        <w:spacing w:after="120"/>
        <w:rPr>
          <w:rFonts w:cs="Arial"/>
          <w:b/>
          <w:bCs/>
          <w:szCs w:val="24"/>
        </w:rPr>
      </w:pPr>
      <w:r w:rsidRPr="00587698">
        <w:rPr>
          <w:rFonts w:cs="Arial"/>
          <w:b/>
          <w:bCs/>
          <w:szCs w:val="24"/>
        </w:rPr>
        <w:br w:type="page"/>
      </w:r>
    </w:p>
    <w:p w14:paraId="42EA6086" w14:textId="0856AC34" w:rsidR="00713E16" w:rsidRDefault="00364EB1" w:rsidP="00364EB1">
      <w:pPr>
        <w:jc w:val="center"/>
        <w:rPr>
          <w:rFonts w:cs="Arial"/>
          <w:b/>
          <w:szCs w:val="24"/>
        </w:rPr>
      </w:pPr>
      <w:r w:rsidRPr="00364EB1">
        <w:rPr>
          <w:rFonts w:cs="Arial"/>
          <w:b/>
          <w:szCs w:val="24"/>
        </w:rPr>
        <w:lastRenderedPageBreak/>
        <w:t>ANÁLISIS DE COMENTARIOS</w:t>
      </w:r>
      <w:r>
        <w:rPr>
          <w:rFonts w:cs="Arial"/>
          <w:b/>
          <w:szCs w:val="24"/>
        </w:rPr>
        <w:t xml:space="preserve"> </w:t>
      </w:r>
      <w:r w:rsidRPr="00364EB1">
        <w:rPr>
          <w:rFonts w:cs="Arial"/>
          <w:b/>
          <w:szCs w:val="24"/>
        </w:rPr>
        <w:t>RESOLUCIÓN CREG 701 009 de 2023</w:t>
      </w:r>
    </w:p>
    <w:p w14:paraId="69C2C545" w14:textId="77777777" w:rsidR="00364EB1" w:rsidRDefault="00364EB1" w:rsidP="00364EB1">
      <w:pPr>
        <w:jc w:val="center"/>
        <w:rPr>
          <w:rFonts w:cs="Arial"/>
          <w:b/>
          <w:szCs w:val="24"/>
        </w:rPr>
      </w:pPr>
    </w:p>
    <w:p w14:paraId="5058E844" w14:textId="7B1A8A20" w:rsidR="0015760C" w:rsidRDefault="0015760C" w:rsidP="00905409">
      <w:pPr>
        <w:pStyle w:val="Ttulo1"/>
        <w:keepLines/>
        <w:numPr>
          <w:ilvl w:val="0"/>
          <w:numId w:val="5"/>
        </w:numPr>
        <w:shd w:val="clear" w:color="auto" w:fill="FFFFFF" w:themeFill="background1"/>
        <w:suppressAutoHyphens w:val="0"/>
        <w:spacing w:after="0"/>
        <w:rPr>
          <w:rFonts w:cs="Arial"/>
          <w:szCs w:val="24"/>
        </w:rPr>
      </w:pPr>
      <w:bookmarkStart w:id="0" w:name="_Toc66972379"/>
      <w:bookmarkStart w:id="1" w:name="_Toc147137549"/>
      <w:r>
        <w:rPr>
          <w:rFonts w:cs="Arial"/>
          <w:szCs w:val="24"/>
        </w:rPr>
        <w:t>ANTECEDENTES</w:t>
      </w:r>
      <w:bookmarkEnd w:id="0"/>
      <w:bookmarkEnd w:id="1"/>
    </w:p>
    <w:p w14:paraId="6E5D9117" w14:textId="77777777" w:rsidR="00F609D0" w:rsidRDefault="00F609D0" w:rsidP="00F609D0"/>
    <w:p w14:paraId="4463089A" w14:textId="77777777" w:rsidR="0095636B" w:rsidRPr="00FE35E1" w:rsidRDefault="0095636B" w:rsidP="0095636B">
      <w:pPr>
        <w:pStyle w:val="Textosinformato"/>
        <w:spacing w:line="240" w:lineRule="auto"/>
        <w:rPr>
          <w:rFonts w:ascii="Arial" w:hAnsi="Arial" w:cs="Arial"/>
          <w:color w:val="000000" w:themeColor="text1"/>
          <w:sz w:val="24"/>
          <w:szCs w:val="24"/>
        </w:rPr>
      </w:pPr>
      <w:r w:rsidRPr="00FE35E1">
        <w:rPr>
          <w:rFonts w:ascii="Arial" w:hAnsi="Arial" w:cs="Arial"/>
          <w:color w:val="000000" w:themeColor="text1"/>
          <w:sz w:val="24"/>
          <w:szCs w:val="24"/>
        </w:rPr>
        <w:t>La Resolución CREG 004 de 2021, modificada por la Resolución CREG 073 de 2021, establece el procedimiento de cálculo de la tasa de descuento o de rentabilidad aplicable en las metodologías tarifarias que expide la Comisión de Regulación de Energía y Gas para las actividades que regula.</w:t>
      </w:r>
    </w:p>
    <w:p w14:paraId="264DE5D2" w14:textId="77777777" w:rsidR="0095636B" w:rsidRPr="00FE35E1" w:rsidRDefault="0095636B" w:rsidP="0095636B">
      <w:pPr>
        <w:pStyle w:val="Textosinformato"/>
        <w:spacing w:line="240" w:lineRule="auto"/>
        <w:rPr>
          <w:rFonts w:ascii="Arial" w:hAnsi="Arial" w:cs="Arial"/>
          <w:sz w:val="24"/>
          <w:szCs w:val="24"/>
          <w:lang w:val="es-MX"/>
        </w:rPr>
      </w:pPr>
    </w:p>
    <w:p w14:paraId="15767605" w14:textId="77777777" w:rsidR="0095636B" w:rsidRPr="00FE35E1" w:rsidRDefault="0095636B" w:rsidP="0095636B">
      <w:pPr>
        <w:rPr>
          <w:rFonts w:cs="Arial"/>
          <w:szCs w:val="24"/>
          <w:lang w:val="es-MX"/>
        </w:rPr>
      </w:pPr>
      <w:r w:rsidRPr="00FE35E1">
        <w:rPr>
          <w:rFonts w:cs="Arial"/>
          <w:szCs w:val="24"/>
          <w:lang w:val="es-MX"/>
        </w:rPr>
        <w:t>De acuerdo con lo previsto en la mencionada resolución, en cada metodología debe decidirse lo siguiente:</w:t>
      </w:r>
    </w:p>
    <w:p w14:paraId="7C9A514A" w14:textId="77777777" w:rsidR="0095636B" w:rsidRPr="00FE35E1" w:rsidRDefault="0095636B" w:rsidP="0095636B">
      <w:pPr>
        <w:rPr>
          <w:rFonts w:cs="Arial"/>
          <w:szCs w:val="24"/>
          <w:lang w:val="es-MX"/>
        </w:rPr>
      </w:pPr>
    </w:p>
    <w:p w14:paraId="472D7BEB" w14:textId="77777777" w:rsidR="0095636B" w:rsidRPr="00FE35E1" w:rsidRDefault="0095636B" w:rsidP="002F0764">
      <w:pPr>
        <w:pStyle w:val="Prrafodelista"/>
        <w:numPr>
          <w:ilvl w:val="0"/>
          <w:numId w:val="6"/>
        </w:numPr>
        <w:contextualSpacing w:val="0"/>
        <w:rPr>
          <w:rFonts w:cs="Arial"/>
          <w:szCs w:val="24"/>
          <w:lang w:val="es-MX"/>
        </w:rPr>
      </w:pPr>
      <w:r w:rsidRPr="00FE35E1">
        <w:rPr>
          <w:rFonts w:cs="Arial"/>
          <w:szCs w:val="24"/>
          <w:lang w:val="es-MX"/>
        </w:rPr>
        <w:t xml:space="preserve">EL código GICS que se utilizará como referencia para la estimación de la estructura de capital (D/E) y de los valores </w:t>
      </w:r>
      <w:r w:rsidRPr="00FE35E1">
        <w:rPr>
          <w:rFonts w:ascii="Symbol" w:hAnsi="Symbol" w:cs="Arial"/>
          <w:szCs w:val="24"/>
          <w:lang w:val="es-MX"/>
        </w:rPr>
        <w:t>b</w:t>
      </w:r>
      <w:r w:rsidRPr="00FE35E1">
        <w:rPr>
          <w:rFonts w:cs="Arial"/>
          <w:szCs w:val="24"/>
          <w:lang w:val="es-MX"/>
        </w:rPr>
        <w:t xml:space="preserve">. </w:t>
      </w:r>
    </w:p>
    <w:p w14:paraId="36F7BFE9" w14:textId="77777777" w:rsidR="0095636B" w:rsidRPr="00FE35E1" w:rsidRDefault="0095636B" w:rsidP="0095636B">
      <w:pPr>
        <w:pStyle w:val="Prrafodelista"/>
        <w:ind w:left="720"/>
        <w:rPr>
          <w:rFonts w:cs="Arial"/>
          <w:szCs w:val="24"/>
          <w:lang w:val="es-MX"/>
        </w:rPr>
      </w:pPr>
    </w:p>
    <w:p w14:paraId="598A29CE" w14:textId="77777777" w:rsidR="0095636B" w:rsidRPr="00FE35E1" w:rsidRDefault="0095636B" w:rsidP="002F0764">
      <w:pPr>
        <w:pStyle w:val="Prrafodelista"/>
        <w:numPr>
          <w:ilvl w:val="0"/>
          <w:numId w:val="6"/>
        </w:numPr>
        <w:contextualSpacing w:val="0"/>
        <w:rPr>
          <w:rFonts w:cs="Arial"/>
          <w:szCs w:val="24"/>
          <w:lang w:val="es-MX"/>
        </w:rPr>
      </w:pPr>
      <w:r w:rsidRPr="00FE35E1">
        <w:rPr>
          <w:rFonts w:cs="Arial"/>
          <w:szCs w:val="24"/>
          <w:lang w:val="es-MX"/>
        </w:rPr>
        <w:t xml:space="preserve">La fecha de referencia, </w:t>
      </w:r>
      <w:r w:rsidRPr="00C93396">
        <w:rPr>
          <w:rFonts w:ascii="Symbol" w:hAnsi="Symbol" w:cs="Arial"/>
          <w:b/>
          <w:bCs/>
          <w:szCs w:val="24"/>
          <w:lang w:val="es-MX"/>
        </w:rPr>
        <w:t>t</w:t>
      </w:r>
      <w:r w:rsidRPr="00FE35E1">
        <w:rPr>
          <w:rFonts w:cs="Arial"/>
          <w:szCs w:val="24"/>
          <w:lang w:val="es-MX"/>
        </w:rPr>
        <w:t>, para la estimación de cada una de las variables.</w:t>
      </w:r>
    </w:p>
    <w:p w14:paraId="2472ADB6" w14:textId="77777777" w:rsidR="0095636B" w:rsidRPr="00FE35E1" w:rsidRDefault="0095636B" w:rsidP="0095636B">
      <w:pPr>
        <w:rPr>
          <w:rFonts w:cs="Arial"/>
          <w:szCs w:val="24"/>
          <w:lang w:val="es-MX"/>
        </w:rPr>
      </w:pPr>
    </w:p>
    <w:p w14:paraId="48B4DD66" w14:textId="43DC88BC" w:rsidR="00F609D0" w:rsidRDefault="00364EB1" w:rsidP="00905409">
      <w:pPr>
        <w:pStyle w:val="Ttulo1"/>
        <w:numPr>
          <w:ilvl w:val="0"/>
          <w:numId w:val="5"/>
        </w:numPr>
      </w:pPr>
      <w:bookmarkStart w:id="2" w:name="_Toc147137550"/>
      <w:r>
        <w:t>CONSULTA PÚBLICA</w:t>
      </w:r>
      <w:bookmarkEnd w:id="2"/>
    </w:p>
    <w:p w14:paraId="79ED2151" w14:textId="73E7893D" w:rsidR="008F397F" w:rsidRDefault="00B1291D" w:rsidP="008F397F">
      <w:r>
        <w:rPr>
          <w:rFonts w:cs="Arial"/>
          <w:szCs w:val="24"/>
          <w:lang w:val="es-MX"/>
        </w:rPr>
        <w:t xml:space="preserve">De acuerdo con el procedimiento mencionado en el numeral anterior, </w:t>
      </w:r>
      <w:r w:rsidR="005860C1">
        <w:t>para</w:t>
      </w:r>
      <w:r w:rsidR="00B348F9">
        <w:t xml:space="preserve"> </w:t>
      </w:r>
      <w:r w:rsidR="005860C1">
        <w:t xml:space="preserve">la </w:t>
      </w:r>
      <w:r w:rsidR="00CD504C" w:rsidRPr="00CD504C">
        <w:t xml:space="preserve">estimación de la tasa de descuento para </w:t>
      </w:r>
      <w:r w:rsidR="000C6A18">
        <w:t xml:space="preserve">la </w:t>
      </w:r>
      <w:r w:rsidR="006D5C6E">
        <w:t xml:space="preserve">remuneración de </w:t>
      </w:r>
      <w:r w:rsidR="00CD504C" w:rsidRPr="00CD504C">
        <w:t>la prestación del servicio de energía eléctrica mediante Soluciones Individuales Solares Fotovoltaicas, SISFV</w:t>
      </w:r>
      <w:r w:rsidR="00094846">
        <w:t xml:space="preserve">, </w:t>
      </w:r>
      <w:r w:rsidR="00F16734">
        <w:t xml:space="preserve">se han </w:t>
      </w:r>
      <w:r w:rsidR="0005652D">
        <w:t>publicado las resoluciones de consulta</w:t>
      </w:r>
      <w:r>
        <w:t xml:space="preserve"> que se incluyen en la </w:t>
      </w:r>
      <w:r w:rsidR="008F66F7">
        <w:fldChar w:fldCharType="begin"/>
      </w:r>
      <w:r w:rsidR="008F66F7">
        <w:instrText xml:space="preserve"> REF  _Ref136533002 \* Lower \h </w:instrText>
      </w:r>
      <w:r w:rsidR="008F66F7">
        <w:fldChar w:fldCharType="separate"/>
      </w:r>
      <w:r w:rsidR="008F66F7" w:rsidRPr="008C79BB">
        <w:rPr>
          <w:szCs w:val="24"/>
        </w:rPr>
        <w:t xml:space="preserve">tabla </w:t>
      </w:r>
      <w:r w:rsidR="008F66F7" w:rsidRPr="008C79BB">
        <w:rPr>
          <w:noProof/>
          <w:szCs w:val="24"/>
        </w:rPr>
        <w:t>1</w:t>
      </w:r>
      <w:r w:rsidR="008F66F7">
        <w:fldChar w:fldCharType="end"/>
      </w:r>
      <w:r w:rsidR="0005652D">
        <w:t>:</w:t>
      </w:r>
    </w:p>
    <w:p w14:paraId="124706EA" w14:textId="77777777" w:rsidR="003B2330" w:rsidRDefault="003B2330" w:rsidP="008F397F"/>
    <w:p w14:paraId="4ED7B946" w14:textId="3AB67809" w:rsidR="00B1291D" w:rsidRPr="00F90BAE" w:rsidRDefault="00B1291D" w:rsidP="001F4F0A">
      <w:pPr>
        <w:pStyle w:val="Descripcin"/>
        <w:rPr>
          <w:rFonts w:cs="Arial"/>
          <w:b w:val="0"/>
          <w:bCs/>
          <w:sz w:val="20"/>
        </w:rPr>
      </w:pPr>
      <w:bookmarkStart w:id="3" w:name="_Ref136533002"/>
      <w:bookmarkStart w:id="4" w:name="_Toc142896782"/>
      <w:r w:rsidRPr="008C79BB">
        <w:rPr>
          <w:szCs w:val="24"/>
        </w:rPr>
        <w:t xml:space="preserve">Tabla </w:t>
      </w:r>
      <w:r w:rsidRPr="008C79BB">
        <w:rPr>
          <w:szCs w:val="24"/>
        </w:rPr>
        <w:fldChar w:fldCharType="begin"/>
      </w:r>
      <w:r w:rsidRPr="008C79BB">
        <w:rPr>
          <w:szCs w:val="24"/>
        </w:rPr>
        <w:instrText xml:space="preserve"> SEQ Tabla \* ARABIC </w:instrText>
      </w:r>
      <w:r w:rsidRPr="008C79BB">
        <w:rPr>
          <w:szCs w:val="24"/>
        </w:rPr>
        <w:fldChar w:fldCharType="separate"/>
      </w:r>
      <w:r w:rsidR="00900B70">
        <w:rPr>
          <w:noProof/>
          <w:szCs w:val="24"/>
        </w:rPr>
        <w:t>1</w:t>
      </w:r>
      <w:r w:rsidRPr="008C79BB">
        <w:rPr>
          <w:szCs w:val="24"/>
        </w:rPr>
        <w:fldChar w:fldCharType="end"/>
      </w:r>
      <w:bookmarkEnd w:id="3"/>
      <w:r w:rsidRPr="008C79BB">
        <w:rPr>
          <w:szCs w:val="24"/>
        </w:rPr>
        <w:t xml:space="preserve">. </w:t>
      </w:r>
      <w:r>
        <w:rPr>
          <w:rFonts w:cs="Arial"/>
          <w:bCs/>
          <w:szCs w:val="24"/>
        </w:rPr>
        <w:t xml:space="preserve">Resoluciones </w:t>
      </w:r>
      <w:r w:rsidR="00C87800">
        <w:rPr>
          <w:rFonts w:cs="Arial"/>
          <w:bCs/>
          <w:szCs w:val="24"/>
        </w:rPr>
        <w:t>de consu</w:t>
      </w:r>
      <w:r w:rsidR="00912659">
        <w:rPr>
          <w:rFonts w:cs="Arial"/>
          <w:bCs/>
          <w:szCs w:val="24"/>
        </w:rPr>
        <w:t xml:space="preserve">lta </w:t>
      </w:r>
      <w:r>
        <w:rPr>
          <w:rFonts w:cs="Arial"/>
          <w:bCs/>
          <w:szCs w:val="24"/>
        </w:rPr>
        <w:t>publicadas</w:t>
      </w:r>
      <w:bookmarkEnd w:id="4"/>
      <w:r>
        <w:rPr>
          <w:rFonts w:cs="Arial"/>
          <w:bCs/>
          <w:szCs w:val="24"/>
        </w:rPr>
        <w:t xml:space="preserve"> </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2938"/>
        <w:gridCol w:w="1341"/>
        <w:gridCol w:w="1374"/>
      </w:tblGrid>
      <w:tr w:rsidR="00FA6663" w:rsidRPr="006166B4" w14:paraId="2592822F" w14:textId="016095B0" w:rsidTr="008C7B23">
        <w:trPr>
          <w:trHeight w:val="329"/>
          <w:tblHeader/>
        </w:trPr>
        <w:tc>
          <w:tcPr>
            <w:tcW w:w="1555" w:type="dxa"/>
            <w:vMerge w:val="restart"/>
            <w:tcBorders>
              <w:top w:val="single" w:sz="4" w:space="0" w:color="auto"/>
              <w:left w:val="single" w:sz="4" w:space="0" w:color="auto"/>
              <w:right w:val="single" w:sz="4" w:space="0" w:color="FFFFFF" w:themeColor="background1"/>
            </w:tcBorders>
            <w:shd w:val="clear" w:color="auto" w:fill="44546A" w:themeFill="text2"/>
            <w:vAlign w:val="center"/>
          </w:tcPr>
          <w:p w14:paraId="44EB92A3" w14:textId="7A20C412" w:rsidR="00FA6663" w:rsidRPr="00FA6663" w:rsidRDefault="00FA6663" w:rsidP="00AC36CB">
            <w:pPr>
              <w:ind w:left="-118"/>
              <w:jc w:val="center"/>
              <w:rPr>
                <w:rFonts w:cs="Arial"/>
                <w:b/>
                <w:color w:val="FFFFFF"/>
                <w:sz w:val="22"/>
              </w:rPr>
            </w:pPr>
            <w:r w:rsidRPr="00FA6663">
              <w:rPr>
                <w:rFonts w:cs="Arial"/>
                <w:b/>
                <w:color w:val="FFFFFF"/>
                <w:sz w:val="22"/>
              </w:rPr>
              <w:t>Resolución</w:t>
            </w:r>
          </w:p>
        </w:tc>
        <w:tc>
          <w:tcPr>
            <w:tcW w:w="534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4546A" w:themeFill="text2"/>
            <w:vAlign w:val="center"/>
          </w:tcPr>
          <w:p w14:paraId="1C6559BF" w14:textId="1411A91A" w:rsidR="00FA6663" w:rsidRPr="00FA6663" w:rsidRDefault="00FA6663" w:rsidP="00AC36CB">
            <w:pPr>
              <w:jc w:val="center"/>
              <w:rPr>
                <w:rFonts w:cs="Arial"/>
                <w:b/>
                <w:color w:val="FFFFFF" w:themeColor="background1"/>
                <w:sz w:val="22"/>
              </w:rPr>
            </w:pPr>
            <w:r w:rsidRPr="00FA6663">
              <w:rPr>
                <w:rFonts w:cs="Arial"/>
                <w:b/>
                <w:color w:val="FFFFFF" w:themeColor="background1"/>
                <w:sz w:val="22"/>
              </w:rPr>
              <w:t>Parámetros consultados</w:t>
            </w:r>
          </w:p>
        </w:tc>
        <w:tc>
          <w:tcPr>
            <w:tcW w:w="1341" w:type="dxa"/>
            <w:vMerge w:val="restart"/>
            <w:tcBorders>
              <w:top w:val="single" w:sz="4" w:space="0" w:color="auto"/>
              <w:left w:val="single" w:sz="4" w:space="0" w:color="FFFFFF" w:themeColor="background1"/>
              <w:right w:val="single" w:sz="4" w:space="0" w:color="FFFFFF" w:themeColor="background1"/>
            </w:tcBorders>
            <w:shd w:val="clear" w:color="auto" w:fill="44546A" w:themeFill="text2"/>
            <w:vAlign w:val="center"/>
          </w:tcPr>
          <w:p w14:paraId="7730C8C1" w14:textId="18DD1308" w:rsidR="00FA6663" w:rsidRPr="00FA6663" w:rsidRDefault="00FA6663" w:rsidP="00AC36CB">
            <w:pPr>
              <w:jc w:val="center"/>
              <w:rPr>
                <w:rFonts w:cs="Arial"/>
                <w:b/>
                <w:color w:val="FFFFFF"/>
                <w:sz w:val="22"/>
              </w:rPr>
            </w:pPr>
            <w:r w:rsidRPr="00FA6663">
              <w:rPr>
                <w:rFonts w:cs="Arial"/>
                <w:b/>
                <w:color w:val="FFFFFF"/>
                <w:sz w:val="22"/>
              </w:rPr>
              <w:t>Tiempo consulta</w:t>
            </w:r>
          </w:p>
        </w:tc>
        <w:tc>
          <w:tcPr>
            <w:tcW w:w="1374" w:type="dxa"/>
            <w:vMerge w:val="restart"/>
            <w:tcBorders>
              <w:top w:val="single" w:sz="4" w:space="0" w:color="auto"/>
              <w:left w:val="single" w:sz="4" w:space="0" w:color="FFFFFF" w:themeColor="background1"/>
              <w:right w:val="single" w:sz="4" w:space="0" w:color="FFFFFF" w:themeColor="background1"/>
            </w:tcBorders>
            <w:shd w:val="clear" w:color="auto" w:fill="44546A" w:themeFill="text2"/>
            <w:vAlign w:val="center"/>
          </w:tcPr>
          <w:p w14:paraId="715B4246" w14:textId="317DE143" w:rsidR="00FA6663" w:rsidRPr="00FA6663" w:rsidRDefault="000454E5" w:rsidP="00AC36CB">
            <w:pPr>
              <w:jc w:val="center"/>
              <w:rPr>
                <w:rFonts w:cs="Arial"/>
                <w:b/>
                <w:color w:val="FFFFFF"/>
                <w:sz w:val="22"/>
              </w:rPr>
            </w:pPr>
            <w:r>
              <w:rPr>
                <w:rFonts w:cs="Arial"/>
                <w:b/>
                <w:color w:val="FFFFFF"/>
                <w:sz w:val="22"/>
              </w:rPr>
              <w:t>Fecha límite</w:t>
            </w:r>
          </w:p>
        </w:tc>
      </w:tr>
      <w:tr w:rsidR="00FA6663" w:rsidRPr="006166B4" w14:paraId="2BBAE447" w14:textId="5D299323" w:rsidTr="008C7B23">
        <w:trPr>
          <w:trHeight w:val="329"/>
          <w:tblHeader/>
        </w:trPr>
        <w:tc>
          <w:tcPr>
            <w:tcW w:w="1555" w:type="dxa"/>
            <w:vMerge/>
            <w:tcBorders>
              <w:left w:val="single" w:sz="4" w:space="0" w:color="auto"/>
              <w:bottom w:val="single" w:sz="4" w:space="0" w:color="auto"/>
              <w:right w:val="single" w:sz="4" w:space="0" w:color="FFFFFF" w:themeColor="background1"/>
            </w:tcBorders>
            <w:shd w:val="clear" w:color="auto" w:fill="44546A" w:themeFill="text2"/>
            <w:vAlign w:val="center"/>
          </w:tcPr>
          <w:p w14:paraId="4E1C1839" w14:textId="77777777" w:rsidR="00FA6663" w:rsidRPr="00FA6663" w:rsidRDefault="00FA6663" w:rsidP="00AC36CB">
            <w:pPr>
              <w:ind w:left="-118"/>
              <w:jc w:val="center"/>
              <w:rPr>
                <w:rFonts w:cs="Arial"/>
                <w:b/>
                <w:color w:val="FFFFFF"/>
                <w:sz w:val="22"/>
              </w:rPr>
            </w:pPr>
          </w:p>
        </w:tc>
        <w:tc>
          <w:tcPr>
            <w:tcW w:w="24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44546A" w:themeFill="text2"/>
            <w:vAlign w:val="center"/>
          </w:tcPr>
          <w:p w14:paraId="2B52A1F4" w14:textId="4FE106A8" w:rsidR="00FA6663" w:rsidRPr="00FA6663" w:rsidRDefault="00FA6663" w:rsidP="00AC36CB">
            <w:pPr>
              <w:jc w:val="center"/>
              <w:rPr>
                <w:rFonts w:cs="Arial"/>
                <w:b/>
                <w:color w:val="FFFFFF"/>
                <w:sz w:val="22"/>
              </w:rPr>
            </w:pPr>
            <w:r w:rsidRPr="00FA6663">
              <w:rPr>
                <w:rFonts w:cs="Arial"/>
                <w:b/>
                <w:color w:val="FFFFFF" w:themeColor="background1"/>
                <w:sz w:val="22"/>
              </w:rPr>
              <w:t>Código GICS</w:t>
            </w:r>
          </w:p>
        </w:tc>
        <w:tc>
          <w:tcPr>
            <w:tcW w:w="293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44546A" w:themeFill="text2"/>
            <w:vAlign w:val="center"/>
          </w:tcPr>
          <w:p w14:paraId="26DA14AE" w14:textId="63F51785" w:rsidR="00FA6663" w:rsidRPr="00FA6663" w:rsidRDefault="00FA6663" w:rsidP="00AC36CB">
            <w:pPr>
              <w:jc w:val="center"/>
              <w:rPr>
                <w:rFonts w:cs="Arial"/>
                <w:b/>
                <w:color w:val="FFFFFF" w:themeColor="background1"/>
                <w:sz w:val="22"/>
              </w:rPr>
            </w:pPr>
            <w:r w:rsidRPr="00FA6663">
              <w:rPr>
                <w:rFonts w:ascii="Symbol" w:hAnsi="Symbol" w:cs="Arial"/>
                <w:b/>
                <w:bCs/>
                <w:color w:val="FFFFFF" w:themeColor="background1"/>
                <w:sz w:val="22"/>
                <w:lang w:val="es-MX"/>
              </w:rPr>
              <w:t>t</w:t>
            </w:r>
          </w:p>
        </w:tc>
        <w:tc>
          <w:tcPr>
            <w:tcW w:w="1341" w:type="dxa"/>
            <w:vMerge/>
            <w:tcBorders>
              <w:left w:val="single" w:sz="4" w:space="0" w:color="FFFFFF" w:themeColor="background1"/>
              <w:bottom w:val="single" w:sz="4" w:space="0" w:color="auto"/>
              <w:right w:val="single" w:sz="4" w:space="0" w:color="FFFFFF" w:themeColor="background1"/>
            </w:tcBorders>
            <w:shd w:val="clear" w:color="auto" w:fill="44546A" w:themeFill="text2"/>
            <w:vAlign w:val="center"/>
          </w:tcPr>
          <w:p w14:paraId="1758261D" w14:textId="77777777" w:rsidR="00FA6663" w:rsidRPr="00FA6663" w:rsidRDefault="00FA6663" w:rsidP="00AC36CB">
            <w:pPr>
              <w:jc w:val="center"/>
              <w:rPr>
                <w:rFonts w:cs="Arial"/>
                <w:b/>
                <w:color w:val="FFFFFF"/>
                <w:sz w:val="22"/>
              </w:rPr>
            </w:pPr>
          </w:p>
        </w:tc>
        <w:tc>
          <w:tcPr>
            <w:tcW w:w="1374" w:type="dxa"/>
            <w:vMerge/>
            <w:tcBorders>
              <w:left w:val="single" w:sz="4" w:space="0" w:color="FFFFFF" w:themeColor="background1"/>
              <w:bottom w:val="single" w:sz="4" w:space="0" w:color="auto"/>
              <w:right w:val="single" w:sz="4" w:space="0" w:color="FFFFFF" w:themeColor="background1"/>
            </w:tcBorders>
            <w:shd w:val="clear" w:color="auto" w:fill="44546A" w:themeFill="text2"/>
          </w:tcPr>
          <w:p w14:paraId="1EFE7F8E" w14:textId="77777777" w:rsidR="00FA6663" w:rsidRPr="00FA6663" w:rsidRDefault="00FA6663" w:rsidP="00AC36CB">
            <w:pPr>
              <w:jc w:val="center"/>
              <w:rPr>
                <w:rFonts w:cs="Arial"/>
                <w:b/>
                <w:color w:val="FFFFFF"/>
                <w:sz w:val="22"/>
              </w:rPr>
            </w:pPr>
          </w:p>
        </w:tc>
      </w:tr>
      <w:tr w:rsidR="002213FB" w:rsidRPr="006166B4" w14:paraId="508CC03C" w14:textId="0ED6A960" w:rsidTr="008C7B23">
        <w:trPr>
          <w:trHeight w:val="329"/>
        </w:trPr>
        <w:tc>
          <w:tcPr>
            <w:tcW w:w="1555" w:type="dxa"/>
            <w:shd w:val="clear" w:color="auto" w:fill="auto"/>
            <w:vAlign w:val="center"/>
          </w:tcPr>
          <w:p w14:paraId="00991879" w14:textId="26128484" w:rsidR="002213FB" w:rsidRPr="00FA6663" w:rsidRDefault="002213FB" w:rsidP="00AC36CB">
            <w:pPr>
              <w:ind w:left="-118"/>
              <w:jc w:val="center"/>
              <w:rPr>
                <w:rFonts w:cs="Arial"/>
                <w:sz w:val="20"/>
              </w:rPr>
            </w:pPr>
            <w:r w:rsidRPr="00FA6663">
              <w:rPr>
                <w:rFonts w:cs="Arial"/>
                <w:sz w:val="20"/>
              </w:rPr>
              <w:t xml:space="preserve">701 012 </w:t>
            </w:r>
            <w:r w:rsidR="000454E5">
              <w:rPr>
                <w:rFonts w:cs="Arial"/>
                <w:sz w:val="20"/>
              </w:rPr>
              <w:t xml:space="preserve">- </w:t>
            </w:r>
            <w:r w:rsidRPr="00FA6663">
              <w:rPr>
                <w:rFonts w:cs="Arial"/>
                <w:sz w:val="20"/>
              </w:rPr>
              <w:t>2022</w:t>
            </w:r>
          </w:p>
        </w:tc>
        <w:tc>
          <w:tcPr>
            <w:tcW w:w="2409" w:type="dxa"/>
            <w:shd w:val="clear" w:color="auto" w:fill="auto"/>
            <w:vAlign w:val="center"/>
          </w:tcPr>
          <w:p w14:paraId="36C889EB" w14:textId="77777777" w:rsidR="002213FB" w:rsidRDefault="002213FB" w:rsidP="00AB0928">
            <w:pPr>
              <w:jc w:val="center"/>
              <w:rPr>
                <w:rFonts w:cs="Arial"/>
                <w:bCs/>
                <w:sz w:val="22"/>
                <w:szCs w:val="22"/>
              </w:rPr>
            </w:pPr>
            <w:r w:rsidRPr="00AB0928">
              <w:rPr>
                <w:rFonts w:cs="Arial"/>
                <w:bCs/>
                <w:sz w:val="22"/>
                <w:szCs w:val="22"/>
              </w:rPr>
              <w:t>551010</w:t>
            </w:r>
          </w:p>
          <w:p w14:paraId="41D7C7EE" w14:textId="05B6D293" w:rsidR="0061317E" w:rsidRPr="00AB0928" w:rsidRDefault="0061317E" w:rsidP="00AB0928">
            <w:pPr>
              <w:jc w:val="center"/>
              <w:rPr>
                <w:rFonts w:cs="Arial"/>
                <w:color w:val="000000"/>
                <w:sz w:val="22"/>
                <w:szCs w:val="22"/>
              </w:rPr>
            </w:pPr>
            <w:r>
              <w:rPr>
                <w:rFonts w:cs="Arial"/>
                <w:bCs/>
                <w:sz w:val="22"/>
                <w:szCs w:val="22"/>
              </w:rPr>
              <w:t xml:space="preserve">Electric </w:t>
            </w:r>
            <w:proofErr w:type="spellStart"/>
            <w:r>
              <w:rPr>
                <w:rFonts w:cs="Arial"/>
                <w:bCs/>
                <w:sz w:val="22"/>
                <w:szCs w:val="22"/>
              </w:rPr>
              <w:t>Utilities</w:t>
            </w:r>
            <w:proofErr w:type="spellEnd"/>
          </w:p>
        </w:tc>
        <w:tc>
          <w:tcPr>
            <w:tcW w:w="2938" w:type="dxa"/>
            <w:shd w:val="clear" w:color="auto" w:fill="auto"/>
            <w:vAlign w:val="center"/>
          </w:tcPr>
          <w:p w14:paraId="0C4C93CE" w14:textId="1F5A9584" w:rsidR="002213FB" w:rsidRPr="00AB0928" w:rsidRDefault="002213FB" w:rsidP="00AC36CB">
            <w:pPr>
              <w:rPr>
                <w:rFonts w:cs="Arial"/>
                <w:color w:val="000000"/>
                <w:sz w:val="22"/>
                <w:szCs w:val="22"/>
              </w:rPr>
            </w:pPr>
            <w:r w:rsidRPr="00AB0928">
              <w:rPr>
                <w:rFonts w:cs="Arial"/>
                <w:bCs/>
                <w:sz w:val="22"/>
                <w:szCs w:val="22"/>
              </w:rPr>
              <w:t>Mes anterior al que se apruebe la disposición final</w:t>
            </w:r>
          </w:p>
        </w:tc>
        <w:tc>
          <w:tcPr>
            <w:tcW w:w="1341" w:type="dxa"/>
            <w:shd w:val="clear" w:color="auto" w:fill="auto"/>
            <w:vAlign w:val="center"/>
          </w:tcPr>
          <w:p w14:paraId="70CF0200" w14:textId="5760C349" w:rsidR="002213FB" w:rsidRPr="00AB0928" w:rsidRDefault="002213FB" w:rsidP="00AC36CB">
            <w:pPr>
              <w:jc w:val="center"/>
              <w:rPr>
                <w:rFonts w:cs="Arial"/>
                <w:color w:val="000000"/>
                <w:sz w:val="22"/>
                <w:szCs w:val="22"/>
              </w:rPr>
            </w:pPr>
            <w:r w:rsidRPr="00AB0928">
              <w:rPr>
                <w:rFonts w:cs="Arial"/>
                <w:color w:val="000000"/>
                <w:sz w:val="22"/>
                <w:szCs w:val="22"/>
              </w:rPr>
              <w:t>Diez días calendario</w:t>
            </w:r>
          </w:p>
        </w:tc>
        <w:tc>
          <w:tcPr>
            <w:tcW w:w="1374" w:type="dxa"/>
          </w:tcPr>
          <w:p w14:paraId="5C2C93A1" w14:textId="6049C1F3" w:rsidR="002213FB" w:rsidRPr="00EF433C" w:rsidRDefault="00BC43E4" w:rsidP="00EF433C">
            <w:pPr>
              <w:jc w:val="center"/>
              <w:rPr>
                <w:rFonts w:cs="Arial"/>
                <w:color w:val="000000"/>
                <w:sz w:val="20"/>
              </w:rPr>
            </w:pPr>
            <w:r w:rsidRPr="00EF433C">
              <w:rPr>
                <w:rFonts w:cs="Arial"/>
                <w:color w:val="000000"/>
                <w:sz w:val="20"/>
              </w:rPr>
              <w:t>04 de agosto de 2022</w:t>
            </w:r>
          </w:p>
        </w:tc>
      </w:tr>
      <w:tr w:rsidR="002213FB" w:rsidRPr="006166B4" w14:paraId="19DD2076" w14:textId="12648457" w:rsidTr="008C7B23">
        <w:trPr>
          <w:trHeight w:val="329"/>
        </w:trPr>
        <w:tc>
          <w:tcPr>
            <w:tcW w:w="1555" w:type="dxa"/>
            <w:shd w:val="clear" w:color="auto" w:fill="auto"/>
            <w:vAlign w:val="center"/>
          </w:tcPr>
          <w:p w14:paraId="42B79430" w14:textId="610B51E6" w:rsidR="002213FB" w:rsidRPr="00FA6663" w:rsidRDefault="002213FB" w:rsidP="008F66F7">
            <w:pPr>
              <w:rPr>
                <w:rFonts w:cs="Arial"/>
                <w:sz w:val="20"/>
              </w:rPr>
            </w:pPr>
            <w:r w:rsidRPr="00FA6663">
              <w:rPr>
                <w:rFonts w:cs="Arial"/>
                <w:sz w:val="20"/>
              </w:rPr>
              <w:t xml:space="preserve">701 022 </w:t>
            </w:r>
            <w:r w:rsidR="000454E5">
              <w:rPr>
                <w:rFonts w:cs="Arial"/>
                <w:sz w:val="20"/>
              </w:rPr>
              <w:t xml:space="preserve">- </w:t>
            </w:r>
            <w:r w:rsidRPr="00FA6663">
              <w:rPr>
                <w:rFonts w:cs="Arial"/>
                <w:sz w:val="20"/>
              </w:rPr>
              <w:t>2022</w:t>
            </w:r>
          </w:p>
        </w:tc>
        <w:tc>
          <w:tcPr>
            <w:tcW w:w="2409" w:type="dxa"/>
            <w:shd w:val="clear" w:color="auto" w:fill="auto"/>
            <w:vAlign w:val="center"/>
          </w:tcPr>
          <w:p w14:paraId="18049589" w14:textId="77777777" w:rsidR="002213FB" w:rsidRDefault="002213FB" w:rsidP="00AB0928">
            <w:pPr>
              <w:jc w:val="center"/>
              <w:rPr>
                <w:rFonts w:cs="Arial"/>
                <w:bCs/>
                <w:sz w:val="22"/>
                <w:szCs w:val="22"/>
              </w:rPr>
            </w:pPr>
            <w:r w:rsidRPr="00AB0928">
              <w:rPr>
                <w:rFonts w:cs="Arial"/>
                <w:bCs/>
                <w:sz w:val="22"/>
                <w:szCs w:val="22"/>
              </w:rPr>
              <w:t>55105020</w:t>
            </w:r>
          </w:p>
          <w:p w14:paraId="14A0C9CF" w14:textId="63E74284" w:rsidR="00DD4AF5" w:rsidRPr="00DD4AF5" w:rsidRDefault="00DD4AF5" w:rsidP="00DD4AF5">
            <w:pPr>
              <w:jc w:val="center"/>
              <w:rPr>
                <w:rFonts w:cs="Arial"/>
                <w:color w:val="000000"/>
                <w:sz w:val="22"/>
                <w:szCs w:val="22"/>
                <w:lang w:val="es-CO"/>
              </w:rPr>
            </w:pPr>
            <w:proofErr w:type="spellStart"/>
            <w:r w:rsidRPr="00DD4AF5">
              <w:rPr>
                <w:rFonts w:cs="Arial"/>
                <w:color w:val="000000"/>
                <w:sz w:val="22"/>
                <w:szCs w:val="22"/>
                <w:lang w:val="es-CO"/>
              </w:rPr>
              <w:t>Renewable</w:t>
            </w:r>
            <w:proofErr w:type="spellEnd"/>
            <w:r w:rsidRPr="00DD4AF5">
              <w:rPr>
                <w:rFonts w:cs="Arial"/>
                <w:color w:val="000000"/>
                <w:sz w:val="22"/>
                <w:szCs w:val="22"/>
                <w:lang w:val="es-CO"/>
              </w:rPr>
              <w:t xml:space="preserve"> </w:t>
            </w:r>
            <w:proofErr w:type="spellStart"/>
            <w:r w:rsidRPr="00DD4AF5">
              <w:rPr>
                <w:rFonts w:cs="Arial"/>
                <w:color w:val="000000"/>
                <w:sz w:val="22"/>
                <w:szCs w:val="22"/>
                <w:lang w:val="es-CO"/>
              </w:rPr>
              <w:t>Electricity</w:t>
            </w:r>
            <w:proofErr w:type="spellEnd"/>
          </w:p>
        </w:tc>
        <w:tc>
          <w:tcPr>
            <w:tcW w:w="2938" w:type="dxa"/>
            <w:shd w:val="clear" w:color="auto" w:fill="auto"/>
            <w:vAlign w:val="center"/>
          </w:tcPr>
          <w:p w14:paraId="17BCDFD7" w14:textId="4AC77EE5" w:rsidR="002213FB" w:rsidRPr="00AB0928" w:rsidRDefault="002213FB" w:rsidP="00AC36CB">
            <w:pPr>
              <w:rPr>
                <w:rFonts w:cs="Arial"/>
                <w:color w:val="000000"/>
                <w:sz w:val="22"/>
                <w:szCs w:val="22"/>
              </w:rPr>
            </w:pPr>
            <w:r w:rsidRPr="00AB0928">
              <w:rPr>
                <w:rFonts w:cs="Arial"/>
                <w:bCs/>
                <w:sz w:val="22"/>
                <w:szCs w:val="22"/>
              </w:rPr>
              <w:t>30 de junio de 2022.</w:t>
            </w:r>
          </w:p>
        </w:tc>
        <w:tc>
          <w:tcPr>
            <w:tcW w:w="1341" w:type="dxa"/>
            <w:shd w:val="clear" w:color="auto" w:fill="auto"/>
            <w:vAlign w:val="center"/>
          </w:tcPr>
          <w:p w14:paraId="43E3EBE2" w14:textId="21538968" w:rsidR="002213FB" w:rsidRPr="00AB0928" w:rsidRDefault="002213FB" w:rsidP="00AC36CB">
            <w:pPr>
              <w:jc w:val="center"/>
              <w:rPr>
                <w:rFonts w:cs="Arial"/>
                <w:color w:val="000000"/>
                <w:sz w:val="22"/>
                <w:szCs w:val="22"/>
              </w:rPr>
            </w:pPr>
            <w:r w:rsidRPr="00AB0928">
              <w:rPr>
                <w:rFonts w:cs="Arial"/>
                <w:sz w:val="22"/>
                <w:szCs w:val="22"/>
              </w:rPr>
              <w:t>Cinco días hábiles</w:t>
            </w:r>
          </w:p>
        </w:tc>
        <w:tc>
          <w:tcPr>
            <w:tcW w:w="1374" w:type="dxa"/>
          </w:tcPr>
          <w:p w14:paraId="3535AEE9" w14:textId="4E25D317" w:rsidR="002213FB" w:rsidRPr="00EF433C" w:rsidRDefault="00EE099E" w:rsidP="00EF433C">
            <w:pPr>
              <w:jc w:val="center"/>
              <w:rPr>
                <w:rFonts w:cs="Arial"/>
                <w:sz w:val="20"/>
              </w:rPr>
            </w:pPr>
            <w:r w:rsidRPr="00EF433C">
              <w:rPr>
                <w:rFonts w:cs="Arial"/>
                <w:sz w:val="20"/>
              </w:rPr>
              <w:t>17 de enero de 2023</w:t>
            </w:r>
          </w:p>
        </w:tc>
      </w:tr>
      <w:tr w:rsidR="002213FB" w:rsidRPr="006166B4" w14:paraId="6A79D850" w14:textId="633C0321" w:rsidTr="008C7B23">
        <w:trPr>
          <w:trHeight w:val="329"/>
        </w:trPr>
        <w:tc>
          <w:tcPr>
            <w:tcW w:w="1555" w:type="dxa"/>
            <w:shd w:val="clear" w:color="auto" w:fill="auto"/>
            <w:vAlign w:val="center"/>
          </w:tcPr>
          <w:p w14:paraId="5332FCCC" w14:textId="3ADBECCD" w:rsidR="002213FB" w:rsidRPr="00FA6663" w:rsidRDefault="002213FB" w:rsidP="00AC36CB">
            <w:pPr>
              <w:ind w:left="-118"/>
              <w:jc w:val="center"/>
              <w:rPr>
                <w:rFonts w:cs="Arial"/>
                <w:sz w:val="20"/>
              </w:rPr>
            </w:pPr>
            <w:r w:rsidRPr="00FA6663">
              <w:rPr>
                <w:rFonts w:cs="Arial"/>
                <w:sz w:val="20"/>
              </w:rPr>
              <w:t xml:space="preserve">701 009 </w:t>
            </w:r>
            <w:r w:rsidR="000454E5">
              <w:rPr>
                <w:rFonts w:cs="Arial"/>
                <w:sz w:val="20"/>
              </w:rPr>
              <w:t xml:space="preserve">- </w:t>
            </w:r>
            <w:r w:rsidRPr="00FA6663">
              <w:rPr>
                <w:rFonts w:cs="Arial"/>
                <w:sz w:val="20"/>
              </w:rPr>
              <w:t>2023</w:t>
            </w:r>
          </w:p>
        </w:tc>
        <w:tc>
          <w:tcPr>
            <w:tcW w:w="2409" w:type="dxa"/>
            <w:shd w:val="clear" w:color="auto" w:fill="auto"/>
            <w:vAlign w:val="center"/>
          </w:tcPr>
          <w:p w14:paraId="393E20A6" w14:textId="77777777" w:rsidR="002213FB" w:rsidRDefault="002213FB" w:rsidP="00AB0928">
            <w:pPr>
              <w:jc w:val="center"/>
              <w:rPr>
                <w:rFonts w:cs="Arial"/>
                <w:bCs/>
                <w:sz w:val="22"/>
                <w:szCs w:val="22"/>
              </w:rPr>
            </w:pPr>
            <w:r w:rsidRPr="00AB0928">
              <w:rPr>
                <w:rFonts w:cs="Arial"/>
                <w:bCs/>
                <w:sz w:val="22"/>
                <w:szCs w:val="22"/>
              </w:rPr>
              <w:t>55105020</w:t>
            </w:r>
          </w:p>
          <w:p w14:paraId="2A161947" w14:textId="181F052E" w:rsidR="00DD4AF5" w:rsidRPr="00DD4AF5" w:rsidRDefault="00DD4AF5" w:rsidP="00DD4AF5">
            <w:pPr>
              <w:jc w:val="center"/>
              <w:rPr>
                <w:rFonts w:cs="Arial"/>
                <w:color w:val="000000"/>
                <w:sz w:val="22"/>
                <w:szCs w:val="22"/>
                <w:lang w:val="es-CO"/>
              </w:rPr>
            </w:pPr>
            <w:proofErr w:type="spellStart"/>
            <w:r w:rsidRPr="00DD4AF5">
              <w:rPr>
                <w:rFonts w:cs="Arial"/>
                <w:color w:val="000000"/>
                <w:sz w:val="22"/>
                <w:szCs w:val="22"/>
                <w:lang w:val="es-CO"/>
              </w:rPr>
              <w:t>Renewable</w:t>
            </w:r>
            <w:proofErr w:type="spellEnd"/>
            <w:r w:rsidRPr="00DD4AF5">
              <w:rPr>
                <w:rFonts w:cs="Arial"/>
                <w:color w:val="000000"/>
                <w:sz w:val="22"/>
                <w:szCs w:val="22"/>
                <w:lang w:val="es-CO"/>
              </w:rPr>
              <w:t xml:space="preserve"> </w:t>
            </w:r>
            <w:proofErr w:type="spellStart"/>
            <w:r w:rsidRPr="00DD4AF5">
              <w:rPr>
                <w:rFonts w:cs="Arial"/>
                <w:color w:val="000000"/>
                <w:sz w:val="22"/>
                <w:szCs w:val="22"/>
                <w:lang w:val="es-CO"/>
              </w:rPr>
              <w:t>Electricity</w:t>
            </w:r>
            <w:proofErr w:type="spellEnd"/>
          </w:p>
        </w:tc>
        <w:tc>
          <w:tcPr>
            <w:tcW w:w="2938" w:type="dxa"/>
            <w:shd w:val="clear" w:color="auto" w:fill="auto"/>
            <w:vAlign w:val="center"/>
          </w:tcPr>
          <w:p w14:paraId="66190535" w14:textId="7020CC1F" w:rsidR="002213FB" w:rsidRPr="00AB0928" w:rsidRDefault="002213FB" w:rsidP="00AC36CB">
            <w:pPr>
              <w:rPr>
                <w:rFonts w:cs="Arial"/>
                <w:color w:val="000000"/>
                <w:sz w:val="22"/>
                <w:szCs w:val="22"/>
              </w:rPr>
            </w:pPr>
            <w:r w:rsidRPr="00AB0928">
              <w:rPr>
                <w:rFonts w:cs="Arial"/>
                <w:bCs/>
                <w:sz w:val="22"/>
                <w:szCs w:val="22"/>
              </w:rPr>
              <w:t>30 de junio de 2022.</w:t>
            </w:r>
          </w:p>
        </w:tc>
        <w:tc>
          <w:tcPr>
            <w:tcW w:w="1341" w:type="dxa"/>
            <w:shd w:val="clear" w:color="auto" w:fill="auto"/>
            <w:vAlign w:val="center"/>
          </w:tcPr>
          <w:p w14:paraId="68E9C00E" w14:textId="7C577826" w:rsidR="002213FB" w:rsidRPr="00AB0928" w:rsidRDefault="002213FB" w:rsidP="00AC36CB">
            <w:pPr>
              <w:jc w:val="center"/>
              <w:rPr>
                <w:rFonts w:cs="Arial"/>
                <w:color w:val="000000"/>
                <w:sz w:val="22"/>
                <w:szCs w:val="22"/>
              </w:rPr>
            </w:pPr>
            <w:r w:rsidRPr="00AB0928">
              <w:rPr>
                <w:rFonts w:cs="Arial"/>
                <w:sz w:val="22"/>
                <w:szCs w:val="22"/>
              </w:rPr>
              <w:t>Tres días hábiles</w:t>
            </w:r>
          </w:p>
        </w:tc>
        <w:tc>
          <w:tcPr>
            <w:tcW w:w="1374" w:type="dxa"/>
          </w:tcPr>
          <w:p w14:paraId="1050EE25" w14:textId="4BEEC3C1" w:rsidR="002213FB" w:rsidRPr="00EF433C" w:rsidRDefault="00EF433C" w:rsidP="00EF433C">
            <w:pPr>
              <w:jc w:val="center"/>
              <w:rPr>
                <w:rFonts w:cs="Arial"/>
                <w:sz w:val="20"/>
              </w:rPr>
            </w:pPr>
            <w:r w:rsidRPr="00EF433C">
              <w:rPr>
                <w:rFonts w:cs="Arial"/>
                <w:sz w:val="20"/>
              </w:rPr>
              <w:t>23 de mayo de 2023</w:t>
            </w:r>
          </w:p>
        </w:tc>
      </w:tr>
    </w:tbl>
    <w:p w14:paraId="2EC0B4A3" w14:textId="77777777" w:rsidR="00B1291D" w:rsidRPr="00F90BAE" w:rsidRDefault="00B1291D" w:rsidP="00B1291D">
      <w:pPr>
        <w:pStyle w:val="Prrafodelista"/>
        <w:ind w:left="0"/>
        <w:rPr>
          <w:rFonts w:cs="Arial"/>
          <w:sz w:val="20"/>
        </w:rPr>
      </w:pPr>
      <w:r w:rsidRPr="00F90BAE">
        <w:rPr>
          <w:rFonts w:cs="Arial"/>
          <w:sz w:val="20"/>
        </w:rPr>
        <w:t>Elaboración: CREG.</w:t>
      </w:r>
    </w:p>
    <w:p w14:paraId="54284336" w14:textId="77777777" w:rsidR="003B2330" w:rsidRDefault="003B2330" w:rsidP="008F397F"/>
    <w:p w14:paraId="6BF0E900" w14:textId="745BE167" w:rsidR="001B1ED2" w:rsidRDefault="00050C8F" w:rsidP="005053B6">
      <w:r>
        <w:t xml:space="preserve">Vale la pena mencionar que </w:t>
      </w:r>
      <w:r w:rsidR="00ED1E58">
        <w:t xml:space="preserve">mediante </w:t>
      </w:r>
      <w:r w:rsidR="001B1ED2" w:rsidRPr="001B1ED2">
        <w:t>la Resolución CREG 105 003A de 2022</w:t>
      </w:r>
      <w:r w:rsidR="00D7337A">
        <w:rPr>
          <w:rStyle w:val="Refdenotaalpie"/>
        </w:rPr>
        <w:footnoteReference w:id="2"/>
      </w:r>
      <w:r w:rsidR="002B1D8A">
        <w:t xml:space="preserve"> se </w:t>
      </w:r>
      <w:r w:rsidR="005A382A">
        <w:t xml:space="preserve">modificó </w:t>
      </w:r>
      <w:r w:rsidR="005A382A" w:rsidRPr="001B1ED2">
        <w:t>la</w:t>
      </w:r>
      <w:r w:rsidR="00FA1687" w:rsidRPr="00FE35E1">
        <w:rPr>
          <w:rFonts w:cs="Arial"/>
          <w:color w:val="000000" w:themeColor="text1"/>
          <w:szCs w:val="24"/>
        </w:rPr>
        <w:t xml:space="preserve"> Resolución CREG 004 de 2021</w:t>
      </w:r>
      <w:r w:rsidR="00FA1687">
        <w:rPr>
          <w:rFonts w:cs="Arial"/>
          <w:color w:val="000000" w:themeColor="text1"/>
          <w:szCs w:val="24"/>
        </w:rPr>
        <w:t xml:space="preserve">, para </w:t>
      </w:r>
      <w:r w:rsidR="00D555E1">
        <w:t>utilizar</w:t>
      </w:r>
      <w:r w:rsidR="00D555E1" w:rsidRPr="001B1ED2">
        <w:t xml:space="preserve"> como fuente alterna el servicio de información Bloomberg</w:t>
      </w:r>
      <w:r w:rsidR="00D555E1">
        <w:t xml:space="preserve"> </w:t>
      </w:r>
      <w:r w:rsidR="00C73C70">
        <w:rPr>
          <w:rFonts w:cs="Arial"/>
          <w:color w:val="000000" w:themeColor="text1"/>
          <w:szCs w:val="24"/>
        </w:rPr>
        <w:t>en los casos en lo</w:t>
      </w:r>
      <w:r w:rsidR="005A382A">
        <w:rPr>
          <w:rFonts w:cs="Arial"/>
          <w:color w:val="000000" w:themeColor="text1"/>
          <w:szCs w:val="24"/>
        </w:rPr>
        <w:t>s</w:t>
      </w:r>
      <w:r w:rsidR="00C73C70">
        <w:rPr>
          <w:rFonts w:cs="Arial"/>
          <w:color w:val="000000" w:themeColor="text1"/>
          <w:szCs w:val="24"/>
        </w:rPr>
        <w:t xml:space="preserve"> que </w:t>
      </w:r>
      <w:r w:rsidR="00E13F0C">
        <w:rPr>
          <w:rFonts w:cs="Arial"/>
          <w:color w:val="000000" w:themeColor="text1"/>
          <w:szCs w:val="24"/>
        </w:rPr>
        <w:t>l</w:t>
      </w:r>
      <w:r w:rsidR="001B1ED2" w:rsidRPr="001B1ED2">
        <w:t xml:space="preserve">a actividad </w:t>
      </w:r>
      <w:r w:rsidR="007732CA">
        <w:t>que</w:t>
      </w:r>
      <w:r w:rsidR="00430E60">
        <w:t xml:space="preserve"> es</w:t>
      </w:r>
      <w:r w:rsidR="001B1ED2" w:rsidRPr="001B1ED2">
        <w:t xml:space="preserve"> objeto del cálculo de la tasa de descuento no </w:t>
      </w:r>
      <w:r w:rsidR="000A212E">
        <w:t xml:space="preserve">cuente con información en </w:t>
      </w:r>
      <w:proofErr w:type="spellStart"/>
      <w:r w:rsidR="001B1ED2" w:rsidRPr="001B1ED2">
        <w:t>Duff</w:t>
      </w:r>
      <w:proofErr w:type="spellEnd"/>
      <w:r w:rsidR="001B1ED2" w:rsidRPr="001B1ED2">
        <w:t xml:space="preserve"> &amp; Phelps (ahora KROLL)</w:t>
      </w:r>
      <w:r w:rsidR="000A212E">
        <w:t>.</w:t>
      </w:r>
    </w:p>
    <w:p w14:paraId="4C871544" w14:textId="77777777" w:rsidR="001B1ED2" w:rsidRDefault="001B1ED2" w:rsidP="005053B6"/>
    <w:p w14:paraId="7CA32454" w14:textId="67B78F17" w:rsidR="006C54CC" w:rsidRDefault="00D7337A" w:rsidP="005053B6">
      <w:r>
        <w:t>L</w:t>
      </w:r>
      <w:r w:rsidR="005053B6">
        <w:t>a Comisión</w:t>
      </w:r>
      <w:r>
        <w:t xml:space="preserve"> </w:t>
      </w:r>
      <w:r w:rsidR="005053B6">
        <w:t xml:space="preserve">identificó que la Resolución CREG 105 003A de </w:t>
      </w:r>
      <w:r w:rsidR="005053B6" w:rsidRPr="00D7337A">
        <w:rPr>
          <w:i/>
          <w:iCs/>
        </w:rPr>
        <w:t>2022</w:t>
      </w:r>
      <w:r w:rsidR="005053B6">
        <w:t xml:space="preserve"> fue publicada en la página web de la entidad el 18 de enero de 2023, fecha posterior al vencimiento del plazo de consulta</w:t>
      </w:r>
      <w:r w:rsidR="0087191A">
        <w:t xml:space="preserve"> que se realizó con la Resolución CREG 701 022 d</w:t>
      </w:r>
      <w:r w:rsidR="00A00A5D">
        <w:t>e 2022</w:t>
      </w:r>
      <w:r w:rsidR="006C54CC">
        <w:t xml:space="preserve">, razón por la cual fue necesario expedir una nueva resolución de consulta </w:t>
      </w:r>
      <w:r w:rsidR="00596207">
        <w:t>c</w:t>
      </w:r>
      <w:r w:rsidR="00596207" w:rsidRPr="00596207">
        <w:t xml:space="preserve">on el fin de que los agentes e </w:t>
      </w:r>
      <w:r w:rsidR="00596207" w:rsidRPr="00596207">
        <w:lastRenderedPageBreak/>
        <w:t>interesados pudi</w:t>
      </w:r>
      <w:r w:rsidR="00596207">
        <w:t>esen</w:t>
      </w:r>
      <w:r w:rsidR="00596207" w:rsidRPr="00596207">
        <w:t xml:space="preserve"> remitir observaciones </w:t>
      </w:r>
      <w:r w:rsidR="00596207">
        <w:t xml:space="preserve">a la Resolución CREG 701 022 de 2022 </w:t>
      </w:r>
      <w:r w:rsidR="00596207" w:rsidRPr="00596207">
        <w:t>considerando el contenido de la Resolución CREG 105 003A de 2022</w:t>
      </w:r>
      <w:r w:rsidR="00596207">
        <w:t>.</w:t>
      </w:r>
    </w:p>
    <w:p w14:paraId="67FEB6A0" w14:textId="77777777" w:rsidR="006C54CC" w:rsidRDefault="006C54CC" w:rsidP="005053B6"/>
    <w:p w14:paraId="13777DC9" w14:textId="3AD990ED" w:rsidR="008F397F" w:rsidRPr="00F90BAE" w:rsidRDefault="008F397F" w:rsidP="008F397F">
      <w:pPr>
        <w:pStyle w:val="Prrafodelista"/>
        <w:ind w:left="0"/>
        <w:rPr>
          <w:rFonts w:cs="Arial"/>
        </w:rPr>
      </w:pPr>
      <w:r w:rsidRPr="00F90BAE">
        <w:rPr>
          <w:rFonts w:cs="Arial"/>
        </w:rPr>
        <w:t>Producto de la</w:t>
      </w:r>
      <w:r w:rsidR="008D17B1">
        <w:rPr>
          <w:rFonts w:cs="Arial"/>
        </w:rPr>
        <w:t>s</w:t>
      </w:r>
      <w:r w:rsidRPr="00F90BAE">
        <w:rPr>
          <w:rFonts w:cs="Arial"/>
        </w:rPr>
        <w:t xml:space="preserve"> consulta</w:t>
      </w:r>
      <w:r w:rsidR="008D17B1">
        <w:rPr>
          <w:rFonts w:cs="Arial"/>
        </w:rPr>
        <w:t>s realizadas</w:t>
      </w:r>
      <w:r w:rsidRPr="00F90BAE">
        <w:rPr>
          <w:rFonts w:cs="Arial"/>
        </w:rPr>
        <w:t>, se recibieron las comunicaciones</w:t>
      </w:r>
      <w:r w:rsidR="00805ACD">
        <w:rPr>
          <w:rFonts w:cs="Arial"/>
        </w:rPr>
        <w:t xml:space="preserve"> </w:t>
      </w:r>
      <w:r w:rsidR="006B4F66">
        <w:rPr>
          <w:rFonts w:cs="Arial"/>
        </w:rPr>
        <w:t xml:space="preserve">incluidas en </w:t>
      </w:r>
      <w:r w:rsidR="002B7CDD">
        <w:rPr>
          <w:rFonts w:cs="Arial"/>
        </w:rPr>
        <w:t xml:space="preserve">la </w:t>
      </w:r>
      <w:r w:rsidR="002B7CDD">
        <w:rPr>
          <w:rFonts w:cs="Arial"/>
        </w:rPr>
        <w:fldChar w:fldCharType="begin"/>
      </w:r>
      <w:r w:rsidR="002B7CDD">
        <w:rPr>
          <w:rFonts w:cs="Arial"/>
        </w:rPr>
        <w:instrText xml:space="preserve"> REF  _Ref135817956 \* Lower \h </w:instrText>
      </w:r>
      <w:r w:rsidR="002B7CDD">
        <w:rPr>
          <w:rFonts w:cs="Arial"/>
        </w:rPr>
      </w:r>
      <w:r w:rsidR="002B7CDD">
        <w:rPr>
          <w:rFonts w:cs="Arial"/>
        </w:rPr>
        <w:fldChar w:fldCharType="separate"/>
      </w:r>
      <w:r w:rsidR="007D4E8D" w:rsidRPr="008C79BB">
        <w:rPr>
          <w:szCs w:val="24"/>
        </w:rPr>
        <w:t xml:space="preserve">tabla </w:t>
      </w:r>
      <w:r w:rsidR="007D4E8D">
        <w:rPr>
          <w:noProof/>
          <w:szCs w:val="24"/>
        </w:rPr>
        <w:t>2</w:t>
      </w:r>
      <w:r w:rsidR="002B7CDD">
        <w:rPr>
          <w:rFonts w:cs="Arial"/>
        </w:rPr>
        <w:fldChar w:fldCharType="end"/>
      </w:r>
      <w:r w:rsidRPr="00F90BAE">
        <w:rPr>
          <w:rFonts w:cs="Arial"/>
        </w:rPr>
        <w:t>:</w:t>
      </w:r>
    </w:p>
    <w:p w14:paraId="6A21489B" w14:textId="77777777" w:rsidR="008F397F" w:rsidRPr="00F90BAE" w:rsidRDefault="008F397F" w:rsidP="008F397F">
      <w:pPr>
        <w:pStyle w:val="Prrafodelista"/>
        <w:ind w:left="0"/>
        <w:rPr>
          <w:rFonts w:cs="Arial"/>
        </w:rPr>
      </w:pPr>
    </w:p>
    <w:p w14:paraId="19EB522E" w14:textId="442D9E57" w:rsidR="008F397F" w:rsidRPr="008C79BB" w:rsidRDefault="008C79BB" w:rsidP="008C79BB">
      <w:pPr>
        <w:pStyle w:val="Descripcin"/>
        <w:rPr>
          <w:rFonts w:cs="Arial"/>
          <w:b w:val="0"/>
          <w:bCs/>
          <w:szCs w:val="24"/>
        </w:rPr>
      </w:pPr>
      <w:bookmarkStart w:id="5" w:name="_Ref135817956"/>
      <w:bookmarkStart w:id="6" w:name="_Toc142896783"/>
      <w:r w:rsidRPr="008C79BB">
        <w:rPr>
          <w:szCs w:val="24"/>
        </w:rPr>
        <w:t xml:space="preserve">Tabla </w:t>
      </w:r>
      <w:r w:rsidRPr="008C79BB">
        <w:rPr>
          <w:szCs w:val="24"/>
        </w:rPr>
        <w:fldChar w:fldCharType="begin"/>
      </w:r>
      <w:r w:rsidRPr="008C79BB">
        <w:rPr>
          <w:szCs w:val="24"/>
        </w:rPr>
        <w:instrText xml:space="preserve"> SEQ Tabla \* ARABIC </w:instrText>
      </w:r>
      <w:r w:rsidRPr="008C79BB">
        <w:rPr>
          <w:szCs w:val="24"/>
        </w:rPr>
        <w:fldChar w:fldCharType="separate"/>
      </w:r>
      <w:r w:rsidR="00900B70">
        <w:rPr>
          <w:noProof/>
          <w:szCs w:val="24"/>
        </w:rPr>
        <w:t>2</w:t>
      </w:r>
      <w:r w:rsidRPr="008C79BB">
        <w:rPr>
          <w:szCs w:val="24"/>
        </w:rPr>
        <w:fldChar w:fldCharType="end"/>
      </w:r>
      <w:bookmarkEnd w:id="5"/>
      <w:r w:rsidRPr="008C79BB">
        <w:rPr>
          <w:szCs w:val="24"/>
        </w:rPr>
        <w:t xml:space="preserve">. </w:t>
      </w:r>
      <w:r w:rsidR="008F397F" w:rsidRPr="008C79BB">
        <w:rPr>
          <w:rFonts w:cs="Arial"/>
          <w:bCs/>
          <w:szCs w:val="24"/>
        </w:rPr>
        <w:t>Agentes que presentaron comentarios.</w:t>
      </w:r>
      <w:bookmarkEnd w:id="6"/>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809"/>
        <w:gridCol w:w="4858"/>
        <w:gridCol w:w="1749"/>
      </w:tblGrid>
      <w:tr w:rsidR="000D48D5" w:rsidRPr="00F90BAE" w14:paraId="37D9CC92" w14:textId="77777777" w:rsidTr="002F0764">
        <w:trPr>
          <w:trHeight w:val="336"/>
          <w:tblHeader/>
        </w:trPr>
        <w:tc>
          <w:tcPr>
            <w:tcW w:w="2020" w:type="dxa"/>
            <w:tcBorders>
              <w:top w:val="single" w:sz="4" w:space="0" w:color="auto"/>
              <w:left w:val="single" w:sz="4" w:space="0" w:color="auto"/>
              <w:bottom w:val="single" w:sz="4" w:space="0" w:color="auto"/>
              <w:right w:val="single" w:sz="4" w:space="0" w:color="FFFFFF" w:themeColor="background1"/>
            </w:tcBorders>
            <w:shd w:val="clear" w:color="auto" w:fill="44546A" w:themeFill="text2"/>
          </w:tcPr>
          <w:p w14:paraId="671E547C" w14:textId="19D8F10B" w:rsidR="000D48D5" w:rsidRPr="00F90BAE" w:rsidRDefault="006B4F66" w:rsidP="002D5085">
            <w:pPr>
              <w:ind w:left="-118"/>
              <w:jc w:val="center"/>
              <w:rPr>
                <w:rFonts w:cs="Arial"/>
                <w:b/>
                <w:color w:val="FFFFFF"/>
                <w:szCs w:val="22"/>
              </w:rPr>
            </w:pPr>
            <w:r>
              <w:rPr>
                <w:rFonts w:cs="Arial"/>
                <w:b/>
                <w:color w:val="FFFFFF"/>
                <w:szCs w:val="22"/>
              </w:rPr>
              <w:t>Resolución</w:t>
            </w:r>
          </w:p>
        </w:tc>
        <w:tc>
          <w:tcPr>
            <w:tcW w:w="809" w:type="dxa"/>
            <w:tcBorders>
              <w:top w:val="single" w:sz="4" w:space="0" w:color="auto"/>
              <w:left w:val="single" w:sz="4" w:space="0" w:color="auto"/>
              <w:bottom w:val="single" w:sz="4" w:space="0" w:color="auto"/>
              <w:right w:val="single" w:sz="4" w:space="0" w:color="FFFFFF" w:themeColor="background1"/>
            </w:tcBorders>
            <w:shd w:val="clear" w:color="auto" w:fill="44546A" w:themeFill="text2"/>
            <w:vAlign w:val="center"/>
          </w:tcPr>
          <w:p w14:paraId="1E267091" w14:textId="5339AFE9" w:rsidR="000D48D5" w:rsidRPr="00F90BAE" w:rsidRDefault="000D48D5" w:rsidP="002D5085">
            <w:pPr>
              <w:ind w:left="-118"/>
              <w:jc w:val="center"/>
              <w:rPr>
                <w:rFonts w:cs="Arial"/>
                <w:color w:val="FFFFFF"/>
                <w:szCs w:val="22"/>
              </w:rPr>
            </w:pPr>
            <w:r w:rsidRPr="00F90BAE">
              <w:rPr>
                <w:rFonts w:cs="Arial"/>
                <w:b/>
                <w:color w:val="FFFFFF"/>
                <w:szCs w:val="22"/>
              </w:rPr>
              <w:t>No.</w:t>
            </w:r>
          </w:p>
        </w:tc>
        <w:tc>
          <w:tcPr>
            <w:tcW w:w="485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44546A" w:themeFill="text2"/>
            <w:vAlign w:val="center"/>
          </w:tcPr>
          <w:p w14:paraId="43B93408" w14:textId="77777777" w:rsidR="000D48D5" w:rsidRPr="00F90BAE" w:rsidRDefault="000D48D5" w:rsidP="002D5085">
            <w:pPr>
              <w:jc w:val="center"/>
              <w:rPr>
                <w:rFonts w:cs="Arial"/>
                <w:color w:val="FFFFFF"/>
                <w:szCs w:val="22"/>
              </w:rPr>
            </w:pPr>
            <w:r w:rsidRPr="00F90BAE">
              <w:rPr>
                <w:rFonts w:cs="Arial"/>
                <w:b/>
                <w:color w:val="FFFFFF"/>
                <w:szCs w:val="22"/>
              </w:rPr>
              <w:t>Nombre</w:t>
            </w:r>
          </w:p>
        </w:tc>
        <w:tc>
          <w:tcPr>
            <w:tcW w:w="174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44546A" w:themeFill="text2"/>
            <w:vAlign w:val="center"/>
          </w:tcPr>
          <w:p w14:paraId="330DEA14" w14:textId="77777777" w:rsidR="000D48D5" w:rsidRPr="00F90BAE" w:rsidRDefault="000D48D5" w:rsidP="002D5085">
            <w:pPr>
              <w:jc w:val="center"/>
              <w:rPr>
                <w:rFonts w:cs="Arial"/>
                <w:color w:val="FFFFFF"/>
                <w:szCs w:val="22"/>
              </w:rPr>
            </w:pPr>
            <w:r w:rsidRPr="00F90BAE">
              <w:rPr>
                <w:rFonts w:cs="Arial"/>
                <w:b/>
                <w:color w:val="FFFFFF"/>
                <w:szCs w:val="22"/>
              </w:rPr>
              <w:t>Radicado</w:t>
            </w:r>
          </w:p>
        </w:tc>
      </w:tr>
      <w:tr w:rsidR="00953491" w:rsidRPr="00F90BAE" w14:paraId="5354D74E" w14:textId="77777777" w:rsidTr="002F0764">
        <w:trPr>
          <w:trHeight w:val="336"/>
        </w:trPr>
        <w:tc>
          <w:tcPr>
            <w:tcW w:w="2020" w:type="dxa"/>
          </w:tcPr>
          <w:p w14:paraId="49AAF82C" w14:textId="30EECA34" w:rsidR="00953491" w:rsidRDefault="00FC1712" w:rsidP="00953491">
            <w:pPr>
              <w:ind w:left="-118"/>
              <w:jc w:val="center"/>
              <w:rPr>
                <w:rFonts w:cs="Arial"/>
              </w:rPr>
            </w:pPr>
            <w:r w:rsidRPr="003A5A70">
              <w:rPr>
                <w:rFonts w:cs="Arial"/>
                <w:sz w:val="22"/>
                <w:szCs w:val="22"/>
              </w:rPr>
              <w:t>701 012 de 2022</w:t>
            </w:r>
          </w:p>
        </w:tc>
        <w:tc>
          <w:tcPr>
            <w:tcW w:w="809" w:type="dxa"/>
            <w:shd w:val="clear" w:color="auto" w:fill="auto"/>
            <w:vAlign w:val="center"/>
          </w:tcPr>
          <w:p w14:paraId="3989C592" w14:textId="26400073" w:rsidR="00953491" w:rsidRPr="00F90BAE" w:rsidRDefault="00953491" w:rsidP="00953491">
            <w:pPr>
              <w:ind w:left="-118"/>
              <w:jc w:val="center"/>
              <w:rPr>
                <w:rFonts w:cs="Arial"/>
              </w:rPr>
            </w:pPr>
            <w:r>
              <w:rPr>
                <w:rFonts w:cs="Arial"/>
                <w:szCs w:val="22"/>
              </w:rPr>
              <w:t>1</w:t>
            </w:r>
          </w:p>
        </w:tc>
        <w:tc>
          <w:tcPr>
            <w:tcW w:w="4858" w:type="dxa"/>
            <w:shd w:val="clear" w:color="auto" w:fill="auto"/>
            <w:vAlign w:val="center"/>
          </w:tcPr>
          <w:p w14:paraId="756D4548" w14:textId="313FC4CD" w:rsidR="00953491" w:rsidRPr="00F90BAE" w:rsidRDefault="00953491" w:rsidP="00953491">
            <w:pPr>
              <w:rPr>
                <w:rFonts w:cs="Arial"/>
                <w:color w:val="000000"/>
                <w:szCs w:val="22"/>
              </w:rPr>
            </w:pPr>
            <w:r w:rsidRPr="003D330A">
              <w:rPr>
                <w:rFonts w:cs="Arial"/>
                <w:color w:val="000000"/>
                <w:szCs w:val="22"/>
              </w:rPr>
              <w:t>Enel S.A. E.S.P.</w:t>
            </w:r>
          </w:p>
        </w:tc>
        <w:tc>
          <w:tcPr>
            <w:tcW w:w="1749" w:type="dxa"/>
            <w:shd w:val="clear" w:color="auto" w:fill="auto"/>
            <w:vAlign w:val="center"/>
          </w:tcPr>
          <w:p w14:paraId="7C07D3CA" w14:textId="0299AD28" w:rsidR="00953491" w:rsidRPr="00227BD5" w:rsidRDefault="00953491" w:rsidP="00953491">
            <w:pPr>
              <w:jc w:val="center"/>
              <w:rPr>
                <w:rFonts w:cs="Arial"/>
                <w:color w:val="000000"/>
                <w:szCs w:val="24"/>
              </w:rPr>
            </w:pPr>
            <w:r w:rsidRPr="00227BD5">
              <w:rPr>
                <w:rFonts w:cs="Arial"/>
                <w:color w:val="000000"/>
                <w:szCs w:val="24"/>
              </w:rPr>
              <w:t>E2022008444</w:t>
            </w:r>
          </w:p>
        </w:tc>
      </w:tr>
      <w:tr w:rsidR="00953491" w:rsidRPr="00F90BAE" w14:paraId="6A7CF24E" w14:textId="77777777" w:rsidTr="002F0764">
        <w:trPr>
          <w:trHeight w:val="336"/>
        </w:trPr>
        <w:tc>
          <w:tcPr>
            <w:tcW w:w="2020" w:type="dxa"/>
          </w:tcPr>
          <w:p w14:paraId="04D4D1C7" w14:textId="5A9EA0DF" w:rsidR="00953491" w:rsidRDefault="00953491" w:rsidP="00953491">
            <w:pPr>
              <w:ind w:left="-118"/>
              <w:jc w:val="center"/>
              <w:rPr>
                <w:rFonts w:cs="Arial"/>
              </w:rPr>
            </w:pPr>
            <w:r w:rsidRPr="003A5A70">
              <w:rPr>
                <w:rFonts w:cs="Arial"/>
                <w:sz w:val="22"/>
                <w:szCs w:val="22"/>
              </w:rPr>
              <w:t>701 012 de 2022</w:t>
            </w:r>
          </w:p>
        </w:tc>
        <w:tc>
          <w:tcPr>
            <w:tcW w:w="809" w:type="dxa"/>
            <w:shd w:val="clear" w:color="auto" w:fill="auto"/>
            <w:vAlign w:val="center"/>
          </w:tcPr>
          <w:p w14:paraId="78D4ACF7" w14:textId="424F8111" w:rsidR="00953491" w:rsidRPr="00F90BAE" w:rsidRDefault="00953491" w:rsidP="00953491">
            <w:pPr>
              <w:ind w:left="-118"/>
              <w:jc w:val="center"/>
              <w:rPr>
                <w:rFonts w:cs="Arial"/>
              </w:rPr>
            </w:pPr>
            <w:r>
              <w:rPr>
                <w:rFonts w:cs="Arial"/>
                <w:szCs w:val="22"/>
              </w:rPr>
              <w:t>2</w:t>
            </w:r>
          </w:p>
        </w:tc>
        <w:tc>
          <w:tcPr>
            <w:tcW w:w="4858" w:type="dxa"/>
            <w:shd w:val="clear" w:color="auto" w:fill="auto"/>
            <w:vAlign w:val="center"/>
          </w:tcPr>
          <w:p w14:paraId="11FC7393" w14:textId="37E07FBE" w:rsidR="00953491" w:rsidRPr="00F90BAE" w:rsidRDefault="00953491" w:rsidP="00953491">
            <w:pPr>
              <w:rPr>
                <w:rFonts w:cs="Arial"/>
                <w:color w:val="000000"/>
                <w:szCs w:val="22"/>
              </w:rPr>
            </w:pPr>
            <w:r w:rsidRPr="00982AC8">
              <w:rPr>
                <w:rFonts w:cs="Arial"/>
                <w:color w:val="000000"/>
                <w:szCs w:val="22"/>
              </w:rPr>
              <w:t xml:space="preserve">Empresas </w:t>
            </w:r>
            <w:r>
              <w:rPr>
                <w:rFonts w:cs="Arial"/>
                <w:color w:val="000000"/>
                <w:szCs w:val="22"/>
              </w:rPr>
              <w:t>Grupo EPM: AFINIA, CENS, CHEC, EDEQ, ESSA y EPM.</w:t>
            </w:r>
          </w:p>
        </w:tc>
        <w:tc>
          <w:tcPr>
            <w:tcW w:w="1749" w:type="dxa"/>
            <w:shd w:val="clear" w:color="auto" w:fill="auto"/>
            <w:vAlign w:val="center"/>
          </w:tcPr>
          <w:p w14:paraId="1CEA7AFD" w14:textId="5C949067" w:rsidR="00953491" w:rsidRPr="00227BD5" w:rsidRDefault="00953491" w:rsidP="00953491">
            <w:pPr>
              <w:jc w:val="center"/>
              <w:rPr>
                <w:rFonts w:cs="Arial"/>
                <w:color w:val="000000"/>
                <w:szCs w:val="24"/>
              </w:rPr>
            </w:pPr>
            <w:r w:rsidRPr="00227BD5">
              <w:rPr>
                <w:rFonts w:cs="Arial"/>
                <w:color w:val="000000"/>
                <w:szCs w:val="24"/>
              </w:rPr>
              <w:t>E2022008484</w:t>
            </w:r>
          </w:p>
        </w:tc>
      </w:tr>
      <w:tr w:rsidR="00953491" w:rsidRPr="00F90BAE" w14:paraId="3D0562EA" w14:textId="77777777" w:rsidTr="002F0764">
        <w:trPr>
          <w:trHeight w:val="336"/>
        </w:trPr>
        <w:tc>
          <w:tcPr>
            <w:tcW w:w="2020" w:type="dxa"/>
          </w:tcPr>
          <w:p w14:paraId="62C6FB5D" w14:textId="128E6EE5" w:rsidR="00953491" w:rsidRDefault="00953491" w:rsidP="00953491">
            <w:pPr>
              <w:ind w:left="-118"/>
              <w:jc w:val="center"/>
              <w:rPr>
                <w:rFonts w:cs="Arial"/>
                <w:szCs w:val="22"/>
              </w:rPr>
            </w:pPr>
            <w:r w:rsidRPr="003A5A70">
              <w:rPr>
                <w:rFonts w:cs="Arial"/>
                <w:sz w:val="22"/>
                <w:szCs w:val="22"/>
              </w:rPr>
              <w:t>701 012 de 2022</w:t>
            </w:r>
          </w:p>
        </w:tc>
        <w:tc>
          <w:tcPr>
            <w:tcW w:w="809" w:type="dxa"/>
            <w:shd w:val="clear" w:color="auto" w:fill="auto"/>
            <w:vAlign w:val="center"/>
          </w:tcPr>
          <w:p w14:paraId="56689598" w14:textId="012E635C" w:rsidR="00953491" w:rsidRPr="00F90BAE" w:rsidRDefault="00953491" w:rsidP="00953491">
            <w:pPr>
              <w:ind w:left="-118"/>
              <w:jc w:val="center"/>
              <w:rPr>
                <w:rFonts w:cs="Arial"/>
                <w:szCs w:val="22"/>
              </w:rPr>
            </w:pPr>
            <w:r>
              <w:rPr>
                <w:rFonts w:cs="Arial"/>
                <w:szCs w:val="22"/>
              </w:rPr>
              <w:t>3</w:t>
            </w:r>
          </w:p>
        </w:tc>
        <w:tc>
          <w:tcPr>
            <w:tcW w:w="4858" w:type="dxa"/>
            <w:shd w:val="clear" w:color="auto" w:fill="auto"/>
            <w:vAlign w:val="center"/>
          </w:tcPr>
          <w:p w14:paraId="053FBA58" w14:textId="69B3A781" w:rsidR="00953491" w:rsidRPr="00F90BAE" w:rsidRDefault="00953491" w:rsidP="00953491">
            <w:pPr>
              <w:rPr>
                <w:rFonts w:cs="Arial"/>
                <w:color w:val="000000"/>
                <w:szCs w:val="22"/>
              </w:rPr>
            </w:pPr>
            <w:proofErr w:type="spellStart"/>
            <w:r w:rsidRPr="003D330A">
              <w:rPr>
                <w:rFonts w:cs="Arial"/>
                <w:color w:val="000000"/>
                <w:szCs w:val="22"/>
              </w:rPr>
              <w:t>Cedenar</w:t>
            </w:r>
            <w:proofErr w:type="spellEnd"/>
            <w:r w:rsidRPr="003D330A">
              <w:rPr>
                <w:rFonts w:cs="Arial"/>
                <w:color w:val="000000"/>
                <w:szCs w:val="22"/>
              </w:rPr>
              <w:t xml:space="preserve"> S.A. E.S.P.</w:t>
            </w:r>
          </w:p>
        </w:tc>
        <w:tc>
          <w:tcPr>
            <w:tcW w:w="1749" w:type="dxa"/>
            <w:shd w:val="clear" w:color="auto" w:fill="auto"/>
            <w:vAlign w:val="center"/>
          </w:tcPr>
          <w:p w14:paraId="78DC7870" w14:textId="04910615" w:rsidR="00953491" w:rsidRPr="00227BD5" w:rsidRDefault="00953491" w:rsidP="00953491">
            <w:pPr>
              <w:jc w:val="center"/>
              <w:rPr>
                <w:rFonts w:cs="Arial"/>
                <w:color w:val="000000"/>
                <w:szCs w:val="24"/>
              </w:rPr>
            </w:pPr>
            <w:r w:rsidRPr="00227BD5">
              <w:rPr>
                <w:rFonts w:cs="Arial"/>
                <w:color w:val="000000"/>
                <w:szCs w:val="24"/>
              </w:rPr>
              <w:t>E2022008497</w:t>
            </w:r>
          </w:p>
        </w:tc>
      </w:tr>
      <w:tr w:rsidR="00BD1B17" w:rsidRPr="00F90BAE" w14:paraId="3D80D54C" w14:textId="77777777" w:rsidTr="002F0764">
        <w:trPr>
          <w:trHeight w:val="336"/>
        </w:trPr>
        <w:tc>
          <w:tcPr>
            <w:tcW w:w="2020" w:type="dxa"/>
            <w:vAlign w:val="center"/>
          </w:tcPr>
          <w:p w14:paraId="1A8E1EE0" w14:textId="63E0FDFA" w:rsidR="00BD1B17" w:rsidRDefault="00BD1B17" w:rsidP="00BD1B17">
            <w:pPr>
              <w:ind w:left="-118"/>
              <w:jc w:val="center"/>
              <w:rPr>
                <w:rFonts w:cs="Arial"/>
                <w:szCs w:val="22"/>
              </w:rPr>
            </w:pPr>
            <w:bookmarkStart w:id="7" w:name="_Hlk136610282"/>
            <w:r w:rsidRPr="00AB0928">
              <w:rPr>
                <w:rFonts w:cs="Arial"/>
                <w:sz w:val="22"/>
                <w:szCs w:val="22"/>
              </w:rPr>
              <w:t>701 022 de 2022</w:t>
            </w:r>
          </w:p>
        </w:tc>
        <w:tc>
          <w:tcPr>
            <w:tcW w:w="809" w:type="dxa"/>
            <w:shd w:val="clear" w:color="auto" w:fill="auto"/>
            <w:vAlign w:val="center"/>
          </w:tcPr>
          <w:p w14:paraId="12B07929" w14:textId="4DABE875" w:rsidR="00BD1B17" w:rsidRPr="00F90BAE" w:rsidRDefault="00BD1B17" w:rsidP="00BD1B17">
            <w:pPr>
              <w:ind w:left="-118"/>
              <w:jc w:val="center"/>
              <w:rPr>
                <w:rFonts w:cs="Arial"/>
                <w:szCs w:val="22"/>
              </w:rPr>
            </w:pPr>
            <w:r>
              <w:rPr>
                <w:rFonts w:cs="Arial"/>
                <w:szCs w:val="22"/>
              </w:rPr>
              <w:t>1</w:t>
            </w:r>
          </w:p>
        </w:tc>
        <w:tc>
          <w:tcPr>
            <w:tcW w:w="4858" w:type="dxa"/>
            <w:shd w:val="clear" w:color="auto" w:fill="auto"/>
            <w:vAlign w:val="center"/>
          </w:tcPr>
          <w:p w14:paraId="1724DEAE" w14:textId="4C3BF25F" w:rsidR="00BD1B17" w:rsidRPr="00F90BAE" w:rsidRDefault="00B95738" w:rsidP="00B95738">
            <w:pPr>
              <w:rPr>
                <w:rFonts w:cs="Arial"/>
                <w:color w:val="000000"/>
                <w:szCs w:val="22"/>
              </w:rPr>
            </w:pPr>
            <w:r w:rsidRPr="00B95738">
              <w:rPr>
                <w:rFonts w:cs="Arial"/>
                <w:color w:val="000000"/>
                <w:sz w:val="22"/>
                <w:szCs w:val="22"/>
                <w:lang w:val="es-CO" w:eastAsia="es-CO"/>
              </w:rPr>
              <w:t>Asociación Nacional de Empresas de Servicios Públicos y Comunicaciones</w:t>
            </w:r>
            <w:r>
              <w:rPr>
                <w:rFonts w:cs="Arial"/>
                <w:color w:val="000000"/>
                <w:sz w:val="22"/>
                <w:szCs w:val="22"/>
                <w:lang w:val="es-CO" w:eastAsia="es-CO"/>
              </w:rPr>
              <w:t>, ANDESCO.</w:t>
            </w:r>
          </w:p>
        </w:tc>
        <w:tc>
          <w:tcPr>
            <w:tcW w:w="1749" w:type="dxa"/>
            <w:shd w:val="clear" w:color="auto" w:fill="auto"/>
            <w:vAlign w:val="center"/>
          </w:tcPr>
          <w:p w14:paraId="43C37C35" w14:textId="26388CE1" w:rsidR="00BD1B17" w:rsidRPr="00227BD5" w:rsidRDefault="00590B5F" w:rsidP="00BD1B17">
            <w:pPr>
              <w:jc w:val="center"/>
              <w:rPr>
                <w:rFonts w:cs="Arial"/>
                <w:szCs w:val="24"/>
              </w:rPr>
            </w:pPr>
            <w:r w:rsidRPr="00227BD5">
              <w:rPr>
                <w:rFonts w:cs="Arial"/>
                <w:color w:val="000000"/>
                <w:szCs w:val="24"/>
              </w:rPr>
              <w:t>E2023000684</w:t>
            </w:r>
          </w:p>
        </w:tc>
      </w:tr>
      <w:tr w:rsidR="00BD1B17" w:rsidRPr="00F90BAE" w14:paraId="3CFA6070" w14:textId="77777777" w:rsidTr="002F0764">
        <w:trPr>
          <w:trHeight w:val="336"/>
        </w:trPr>
        <w:tc>
          <w:tcPr>
            <w:tcW w:w="2020" w:type="dxa"/>
            <w:vAlign w:val="center"/>
          </w:tcPr>
          <w:p w14:paraId="3A9DBF96" w14:textId="3DDF5884" w:rsidR="00BD1B17" w:rsidRDefault="00BD1B17" w:rsidP="00BD1B17">
            <w:pPr>
              <w:ind w:left="-118"/>
              <w:jc w:val="center"/>
              <w:rPr>
                <w:rFonts w:cs="Arial"/>
                <w:szCs w:val="22"/>
              </w:rPr>
            </w:pPr>
            <w:r w:rsidRPr="00AB0928">
              <w:rPr>
                <w:rFonts w:cs="Arial"/>
                <w:sz w:val="22"/>
                <w:szCs w:val="22"/>
              </w:rPr>
              <w:t>701 022 de 2022</w:t>
            </w:r>
          </w:p>
        </w:tc>
        <w:tc>
          <w:tcPr>
            <w:tcW w:w="809" w:type="dxa"/>
            <w:shd w:val="clear" w:color="auto" w:fill="auto"/>
            <w:vAlign w:val="center"/>
          </w:tcPr>
          <w:p w14:paraId="1283887F" w14:textId="79467D3A" w:rsidR="00BD1B17" w:rsidRPr="00F90BAE" w:rsidRDefault="00BD1B17" w:rsidP="00BD1B17">
            <w:pPr>
              <w:ind w:left="-118"/>
              <w:jc w:val="center"/>
              <w:rPr>
                <w:rFonts w:cs="Arial"/>
                <w:szCs w:val="22"/>
              </w:rPr>
            </w:pPr>
            <w:r>
              <w:rPr>
                <w:rFonts w:cs="Arial"/>
                <w:szCs w:val="22"/>
              </w:rPr>
              <w:t>2</w:t>
            </w:r>
          </w:p>
        </w:tc>
        <w:tc>
          <w:tcPr>
            <w:tcW w:w="4858" w:type="dxa"/>
            <w:shd w:val="clear" w:color="auto" w:fill="auto"/>
            <w:vAlign w:val="center"/>
          </w:tcPr>
          <w:p w14:paraId="5B183957" w14:textId="6CD24D62" w:rsidR="00BD1B17" w:rsidRPr="00F90BAE" w:rsidRDefault="000C04AA" w:rsidP="00BD1B17">
            <w:pPr>
              <w:rPr>
                <w:rFonts w:cs="Arial"/>
                <w:color w:val="000000"/>
                <w:szCs w:val="22"/>
              </w:rPr>
            </w:pPr>
            <w:r>
              <w:rPr>
                <w:rFonts w:cs="Arial"/>
                <w:color w:val="000000"/>
                <w:szCs w:val="22"/>
              </w:rPr>
              <w:t>Superintendencia de Servicios Públicos Domiciliarios, SSPD</w:t>
            </w:r>
            <w:r w:rsidR="00B95738">
              <w:rPr>
                <w:rFonts w:cs="Arial"/>
                <w:color w:val="000000"/>
                <w:szCs w:val="22"/>
              </w:rPr>
              <w:t>.</w:t>
            </w:r>
          </w:p>
        </w:tc>
        <w:tc>
          <w:tcPr>
            <w:tcW w:w="1749" w:type="dxa"/>
            <w:shd w:val="clear" w:color="auto" w:fill="auto"/>
            <w:vAlign w:val="center"/>
          </w:tcPr>
          <w:p w14:paraId="4B5CAA34" w14:textId="27B39464" w:rsidR="00BD1B17" w:rsidRPr="00227BD5" w:rsidRDefault="00227BD5" w:rsidP="00BD1B17">
            <w:pPr>
              <w:jc w:val="center"/>
              <w:rPr>
                <w:rFonts w:cs="Arial"/>
                <w:szCs w:val="24"/>
              </w:rPr>
            </w:pPr>
            <w:r>
              <w:rPr>
                <w:rFonts w:cs="Arial"/>
                <w:szCs w:val="24"/>
              </w:rPr>
              <w:t>E</w:t>
            </w:r>
            <w:r w:rsidR="000C04AA" w:rsidRPr="00227BD5">
              <w:rPr>
                <w:rFonts w:cs="Arial"/>
                <w:szCs w:val="24"/>
              </w:rPr>
              <w:t>2023000688</w:t>
            </w:r>
          </w:p>
        </w:tc>
      </w:tr>
      <w:tr w:rsidR="001024CB" w:rsidRPr="00F90BAE" w14:paraId="38339F3E" w14:textId="77777777" w:rsidTr="002F0764">
        <w:trPr>
          <w:trHeight w:val="336"/>
        </w:trPr>
        <w:tc>
          <w:tcPr>
            <w:tcW w:w="2020" w:type="dxa"/>
            <w:vAlign w:val="center"/>
          </w:tcPr>
          <w:p w14:paraId="02BE1D8E" w14:textId="6C852655" w:rsidR="001024CB" w:rsidRDefault="001024CB" w:rsidP="001024CB">
            <w:pPr>
              <w:ind w:left="-118"/>
              <w:jc w:val="center"/>
              <w:rPr>
                <w:rFonts w:cs="Arial"/>
                <w:szCs w:val="22"/>
              </w:rPr>
            </w:pPr>
            <w:r w:rsidRPr="00AB0928">
              <w:rPr>
                <w:rFonts w:cs="Arial"/>
                <w:sz w:val="22"/>
                <w:szCs w:val="22"/>
              </w:rPr>
              <w:t>701 022 de 2022</w:t>
            </w:r>
          </w:p>
        </w:tc>
        <w:tc>
          <w:tcPr>
            <w:tcW w:w="809" w:type="dxa"/>
            <w:shd w:val="clear" w:color="auto" w:fill="auto"/>
            <w:vAlign w:val="center"/>
          </w:tcPr>
          <w:p w14:paraId="6C527077" w14:textId="305B5BB1" w:rsidR="001024CB" w:rsidRPr="00F90BAE" w:rsidRDefault="001024CB" w:rsidP="001024CB">
            <w:pPr>
              <w:ind w:left="-118"/>
              <w:jc w:val="center"/>
              <w:rPr>
                <w:rFonts w:cs="Arial"/>
                <w:szCs w:val="22"/>
              </w:rPr>
            </w:pPr>
            <w:r>
              <w:rPr>
                <w:rFonts w:cs="Arial"/>
                <w:szCs w:val="22"/>
              </w:rPr>
              <w:t>3</w:t>
            </w:r>
          </w:p>
        </w:tc>
        <w:tc>
          <w:tcPr>
            <w:tcW w:w="4858" w:type="dxa"/>
            <w:shd w:val="clear" w:color="auto" w:fill="auto"/>
            <w:vAlign w:val="center"/>
          </w:tcPr>
          <w:p w14:paraId="31B185E2" w14:textId="45F4BBA3" w:rsidR="001024CB" w:rsidRPr="00F90BAE" w:rsidRDefault="001024CB" w:rsidP="001024CB">
            <w:pPr>
              <w:rPr>
                <w:rFonts w:cs="Arial"/>
                <w:color w:val="000000"/>
                <w:szCs w:val="22"/>
              </w:rPr>
            </w:pPr>
            <w:r>
              <w:rPr>
                <w:rFonts w:cs="Arial"/>
                <w:color w:val="000000"/>
                <w:szCs w:val="22"/>
              </w:rPr>
              <w:t>Superintendencia de Servicios Públicos Domiciliarios, SSPD.</w:t>
            </w:r>
          </w:p>
        </w:tc>
        <w:tc>
          <w:tcPr>
            <w:tcW w:w="1749" w:type="dxa"/>
            <w:shd w:val="clear" w:color="auto" w:fill="auto"/>
            <w:vAlign w:val="center"/>
          </w:tcPr>
          <w:p w14:paraId="026A044D" w14:textId="2F5096F2" w:rsidR="001024CB" w:rsidRPr="00227BD5" w:rsidRDefault="00227BD5" w:rsidP="001024CB">
            <w:pPr>
              <w:jc w:val="center"/>
              <w:rPr>
                <w:rFonts w:cs="Arial"/>
                <w:szCs w:val="24"/>
              </w:rPr>
            </w:pPr>
            <w:r>
              <w:rPr>
                <w:rFonts w:cs="Arial"/>
                <w:szCs w:val="24"/>
              </w:rPr>
              <w:t>E</w:t>
            </w:r>
            <w:r w:rsidR="001024CB" w:rsidRPr="00227BD5">
              <w:rPr>
                <w:rFonts w:cs="Arial"/>
                <w:szCs w:val="24"/>
              </w:rPr>
              <w:t>2023000691</w:t>
            </w:r>
          </w:p>
        </w:tc>
      </w:tr>
      <w:tr w:rsidR="001024CB" w:rsidRPr="00F90BAE" w14:paraId="72920059" w14:textId="77777777" w:rsidTr="002F0764">
        <w:trPr>
          <w:trHeight w:val="336"/>
        </w:trPr>
        <w:tc>
          <w:tcPr>
            <w:tcW w:w="2020" w:type="dxa"/>
            <w:vAlign w:val="center"/>
          </w:tcPr>
          <w:p w14:paraId="6C99D799" w14:textId="1E5E956B" w:rsidR="001024CB" w:rsidRDefault="001024CB" w:rsidP="001024CB">
            <w:pPr>
              <w:ind w:left="-118"/>
              <w:jc w:val="center"/>
              <w:rPr>
                <w:rFonts w:cs="Arial"/>
                <w:szCs w:val="22"/>
              </w:rPr>
            </w:pPr>
            <w:r w:rsidRPr="00AB0928">
              <w:rPr>
                <w:rFonts w:cs="Arial"/>
                <w:sz w:val="22"/>
                <w:szCs w:val="22"/>
              </w:rPr>
              <w:t>701 022 de 2022</w:t>
            </w:r>
          </w:p>
        </w:tc>
        <w:tc>
          <w:tcPr>
            <w:tcW w:w="809" w:type="dxa"/>
            <w:shd w:val="clear" w:color="auto" w:fill="auto"/>
            <w:vAlign w:val="center"/>
          </w:tcPr>
          <w:p w14:paraId="2F70D9E1" w14:textId="1DFFBB78" w:rsidR="001024CB" w:rsidRPr="00F90BAE" w:rsidRDefault="001024CB" w:rsidP="001024CB">
            <w:pPr>
              <w:ind w:left="-118"/>
              <w:jc w:val="center"/>
              <w:rPr>
                <w:rFonts w:cs="Arial"/>
                <w:szCs w:val="22"/>
              </w:rPr>
            </w:pPr>
            <w:r>
              <w:rPr>
                <w:rFonts w:cs="Arial"/>
                <w:szCs w:val="22"/>
              </w:rPr>
              <w:t>4</w:t>
            </w:r>
          </w:p>
        </w:tc>
        <w:tc>
          <w:tcPr>
            <w:tcW w:w="4858" w:type="dxa"/>
            <w:shd w:val="clear" w:color="auto" w:fill="auto"/>
            <w:vAlign w:val="center"/>
          </w:tcPr>
          <w:p w14:paraId="17635ABE" w14:textId="0AD75D19" w:rsidR="001024CB" w:rsidRPr="00F90BAE" w:rsidRDefault="001024CB" w:rsidP="001024CB">
            <w:pPr>
              <w:rPr>
                <w:rFonts w:cs="Arial"/>
                <w:color w:val="000000"/>
                <w:szCs w:val="22"/>
              </w:rPr>
            </w:pPr>
            <w:r w:rsidRPr="003D330A">
              <w:rPr>
                <w:rFonts w:cs="Arial"/>
                <w:color w:val="000000"/>
                <w:szCs w:val="22"/>
              </w:rPr>
              <w:t>Enel S.A. E.S.P.</w:t>
            </w:r>
          </w:p>
        </w:tc>
        <w:tc>
          <w:tcPr>
            <w:tcW w:w="1749" w:type="dxa"/>
            <w:shd w:val="clear" w:color="auto" w:fill="auto"/>
            <w:vAlign w:val="center"/>
          </w:tcPr>
          <w:p w14:paraId="599CE1DF" w14:textId="41BB9ADB" w:rsidR="001024CB" w:rsidRPr="00227BD5" w:rsidRDefault="00227BD5" w:rsidP="001024CB">
            <w:pPr>
              <w:jc w:val="center"/>
              <w:rPr>
                <w:rFonts w:cs="Arial"/>
                <w:szCs w:val="24"/>
              </w:rPr>
            </w:pPr>
            <w:r>
              <w:rPr>
                <w:rFonts w:cs="Arial"/>
                <w:szCs w:val="24"/>
              </w:rPr>
              <w:t>E</w:t>
            </w:r>
            <w:r w:rsidR="001024CB" w:rsidRPr="00227BD5">
              <w:rPr>
                <w:rFonts w:cs="Arial"/>
                <w:szCs w:val="24"/>
              </w:rPr>
              <w:t>2023000692</w:t>
            </w:r>
          </w:p>
        </w:tc>
      </w:tr>
      <w:tr w:rsidR="001024CB" w:rsidRPr="00F90BAE" w14:paraId="58828813" w14:textId="77777777" w:rsidTr="002F0764">
        <w:trPr>
          <w:trHeight w:val="336"/>
        </w:trPr>
        <w:tc>
          <w:tcPr>
            <w:tcW w:w="2020" w:type="dxa"/>
            <w:vAlign w:val="center"/>
          </w:tcPr>
          <w:p w14:paraId="3EF5921E" w14:textId="0F6E943E" w:rsidR="001024CB" w:rsidRDefault="001024CB" w:rsidP="001024CB">
            <w:pPr>
              <w:ind w:left="-118"/>
              <w:jc w:val="center"/>
              <w:rPr>
                <w:rFonts w:cs="Arial"/>
                <w:szCs w:val="22"/>
              </w:rPr>
            </w:pPr>
            <w:r w:rsidRPr="00AB0928">
              <w:rPr>
                <w:rFonts w:cs="Arial"/>
                <w:sz w:val="22"/>
                <w:szCs w:val="22"/>
              </w:rPr>
              <w:t>701 022 de 2022</w:t>
            </w:r>
          </w:p>
        </w:tc>
        <w:tc>
          <w:tcPr>
            <w:tcW w:w="809" w:type="dxa"/>
            <w:shd w:val="clear" w:color="auto" w:fill="auto"/>
            <w:vAlign w:val="center"/>
          </w:tcPr>
          <w:p w14:paraId="66245C74" w14:textId="67159B86" w:rsidR="001024CB" w:rsidRPr="00F90BAE" w:rsidRDefault="001024CB" w:rsidP="001024CB">
            <w:pPr>
              <w:ind w:left="-118"/>
              <w:jc w:val="center"/>
              <w:rPr>
                <w:rFonts w:cs="Arial"/>
                <w:szCs w:val="22"/>
              </w:rPr>
            </w:pPr>
            <w:r>
              <w:rPr>
                <w:rFonts w:cs="Arial"/>
                <w:szCs w:val="22"/>
              </w:rPr>
              <w:t>5</w:t>
            </w:r>
          </w:p>
        </w:tc>
        <w:tc>
          <w:tcPr>
            <w:tcW w:w="4858" w:type="dxa"/>
            <w:shd w:val="clear" w:color="auto" w:fill="auto"/>
            <w:vAlign w:val="center"/>
          </w:tcPr>
          <w:p w14:paraId="1BFBAD61" w14:textId="06C24E2D" w:rsidR="001024CB" w:rsidRPr="00F90BAE" w:rsidRDefault="00DC6E3A" w:rsidP="001024CB">
            <w:pPr>
              <w:rPr>
                <w:rFonts w:cs="Arial"/>
                <w:color w:val="000000"/>
                <w:szCs w:val="22"/>
              </w:rPr>
            </w:pPr>
            <w:r>
              <w:rPr>
                <w:rFonts w:cs="Arial"/>
                <w:color w:val="000000"/>
                <w:szCs w:val="22"/>
              </w:rPr>
              <w:t>AES Colombia</w:t>
            </w:r>
            <w:r w:rsidR="00E906E7">
              <w:rPr>
                <w:rFonts w:cs="Arial"/>
                <w:color w:val="000000"/>
                <w:szCs w:val="22"/>
              </w:rPr>
              <w:t>.</w:t>
            </w:r>
          </w:p>
        </w:tc>
        <w:tc>
          <w:tcPr>
            <w:tcW w:w="1749" w:type="dxa"/>
            <w:shd w:val="clear" w:color="auto" w:fill="auto"/>
            <w:vAlign w:val="center"/>
          </w:tcPr>
          <w:p w14:paraId="2137108C" w14:textId="55308E56" w:rsidR="001024CB" w:rsidRPr="00227BD5" w:rsidRDefault="00227BD5" w:rsidP="001024CB">
            <w:pPr>
              <w:jc w:val="center"/>
              <w:rPr>
                <w:rFonts w:cs="Arial"/>
                <w:szCs w:val="24"/>
              </w:rPr>
            </w:pPr>
            <w:r>
              <w:rPr>
                <w:rFonts w:cs="Arial"/>
                <w:szCs w:val="24"/>
              </w:rPr>
              <w:t>E</w:t>
            </w:r>
            <w:r w:rsidR="00D0148D" w:rsidRPr="00227BD5">
              <w:rPr>
                <w:rFonts w:cs="Arial"/>
                <w:szCs w:val="24"/>
              </w:rPr>
              <w:t>2023000696</w:t>
            </w:r>
          </w:p>
        </w:tc>
      </w:tr>
      <w:tr w:rsidR="001024CB" w:rsidRPr="00F90BAE" w14:paraId="471F6AE1" w14:textId="77777777" w:rsidTr="002F0764">
        <w:trPr>
          <w:trHeight w:val="336"/>
        </w:trPr>
        <w:tc>
          <w:tcPr>
            <w:tcW w:w="2020" w:type="dxa"/>
            <w:vAlign w:val="center"/>
          </w:tcPr>
          <w:p w14:paraId="05CF3BB1" w14:textId="60F44144" w:rsidR="001024CB" w:rsidRDefault="001024CB" w:rsidP="001024CB">
            <w:pPr>
              <w:ind w:left="-118"/>
              <w:jc w:val="center"/>
              <w:rPr>
                <w:rFonts w:cs="Arial"/>
                <w:szCs w:val="22"/>
              </w:rPr>
            </w:pPr>
            <w:r w:rsidRPr="00AB0928">
              <w:rPr>
                <w:rFonts w:cs="Arial"/>
                <w:sz w:val="22"/>
                <w:szCs w:val="22"/>
              </w:rPr>
              <w:t>701 022 de 2022</w:t>
            </w:r>
          </w:p>
        </w:tc>
        <w:tc>
          <w:tcPr>
            <w:tcW w:w="809" w:type="dxa"/>
            <w:shd w:val="clear" w:color="auto" w:fill="auto"/>
            <w:vAlign w:val="center"/>
          </w:tcPr>
          <w:p w14:paraId="22AB2A1B" w14:textId="63075B05" w:rsidR="001024CB" w:rsidRPr="00F90BAE" w:rsidRDefault="001024CB" w:rsidP="001024CB">
            <w:pPr>
              <w:ind w:left="-118"/>
              <w:jc w:val="center"/>
              <w:rPr>
                <w:rFonts w:cs="Arial"/>
                <w:szCs w:val="22"/>
              </w:rPr>
            </w:pPr>
            <w:r>
              <w:rPr>
                <w:rFonts w:cs="Arial"/>
                <w:szCs w:val="22"/>
              </w:rPr>
              <w:t>6</w:t>
            </w:r>
          </w:p>
        </w:tc>
        <w:tc>
          <w:tcPr>
            <w:tcW w:w="4858" w:type="dxa"/>
            <w:shd w:val="clear" w:color="auto" w:fill="auto"/>
            <w:vAlign w:val="center"/>
          </w:tcPr>
          <w:p w14:paraId="1B7B0230" w14:textId="673DBCA8" w:rsidR="001024CB" w:rsidRPr="00F90BAE" w:rsidRDefault="001D62CB" w:rsidP="001024CB">
            <w:pPr>
              <w:rPr>
                <w:rFonts w:cs="Arial"/>
                <w:color w:val="000000"/>
                <w:szCs w:val="22"/>
              </w:rPr>
            </w:pPr>
            <w:proofErr w:type="spellStart"/>
            <w:r>
              <w:rPr>
                <w:rFonts w:cs="Arial"/>
                <w:color w:val="000000"/>
                <w:szCs w:val="22"/>
              </w:rPr>
              <w:t>Soluna</w:t>
            </w:r>
            <w:proofErr w:type="spellEnd"/>
            <w:r>
              <w:rPr>
                <w:rFonts w:cs="Arial"/>
                <w:color w:val="000000"/>
                <w:szCs w:val="22"/>
              </w:rPr>
              <w:t xml:space="preserve"> Energía</w:t>
            </w:r>
            <w:r w:rsidR="00E906E7">
              <w:rPr>
                <w:rFonts w:cs="Arial"/>
                <w:color w:val="000000"/>
                <w:szCs w:val="22"/>
              </w:rPr>
              <w:t>.</w:t>
            </w:r>
          </w:p>
        </w:tc>
        <w:tc>
          <w:tcPr>
            <w:tcW w:w="1749" w:type="dxa"/>
            <w:shd w:val="clear" w:color="auto" w:fill="auto"/>
            <w:vAlign w:val="center"/>
          </w:tcPr>
          <w:p w14:paraId="590F9DA3" w14:textId="42D15DB9" w:rsidR="001024CB" w:rsidRPr="00227BD5" w:rsidRDefault="00227BD5" w:rsidP="001024CB">
            <w:pPr>
              <w:jc w:val="center"/>
              <w:rPr>
                <w:rFonts w:cs="Arial"/>
                <w:szCs w:val="24"/>
              </w:rPr>
            </w:pPr>
            <w:r>
              <w:rPr>
                <w:rFonts w:cs="Arial"/>
                <w:szCs w:val="24"/>
              </w:rPr>
              <w:t>E</w:t>
            </w:r>
            <w:r w:rsidR="00E472C6" w:rsidRPr="00227BD5">
              <w:rPr>
                <w:rFonts w:cs="Arial"/>
                <w:szCs w:val="24"/>
              </w:rPr>
              <w:t>2023000698</w:t>
            </w:r>
          </w:p>
        </w:tc>
      </w:tr>
      <w:tr w:rsidR="001024CB" w:rsidRPr="00F90BAE" w14:paraId="67C77A3A" w14:textId="77777777" w:rsidTr="002F0764">
        <w:trPr>
          <w:trHeight w:val="336"/>
        </w:trPr>
        <w:tc>
          <w:tcPr>
            <w:tcW w:w="2020" w:type="dxa"/>
            <w:vAlign w:val="center"/>
          </w:tcPr>
          <w:p w14:paraId="7B9E9FE4" w14:textId="1578CB23" w:rsidR="001024CB" w:rsidRPr="00426510" w:rsidRDefault="001024CB" w:rsidP="001024CB">
            <w:pPr>
              <w:ind w:left="-118"/>
              <w:jc w:val="center"/>
              <w:rPr>
                <w:rFonts w:cs="Arial"/>
                <w:szCs w:val="24"/>
              </w:rPr>
            </w:pPr>
            <w:r w:rsidRPr="00426510">
              <w:rPr>
                <w:rFonts w:cs="Arial"/>
                <w:szCs w:val="24"/>
              </w:rPr>
              <w:t>701 022 de 2022</w:t>
            </w:r>
          </w:p>
        </w:tc>
        <w:tc>
          <w:tcPr>
            <w:tcW w:w="809" w:type="dxa"/>
            <w:shd w:val="clear" w:color="auto" w:fill="auto"/>
            <w:vAlign w:val="center"/>
          </w:tcPr>
          <w:p w14:paraId="1B540C76" w14:textId="09FB2D1A" w:rsidR="001024CB" w:rsidRPr="00F90BAE" w:rsidRDefault="001024CB" w:rsidP="001024CB">
            <w:pPr>
              <w:ind w:left="-118"/>
              <w:jc w:val="center"/>
              <w:rPr>
                <w:rFonts w:cs="Arial"/>
                <w:szCs w:val="22"/>
              </w:rPr>
            </w:pPr>
            <w:r>
              <w:rPr>
                <w:rFonts w:cs="Arial"/>
                <w:szCs w:val="22"/>
              </w:rPr>
              <w:t>7</w:t>
            </w:r>
          </w:p>
        </w:tc>
        <w:tc>
          <w:tcPr>
            <w:tcW w:w="4858" w:type="dxa"/>
            <w:shd w:val="clear" w:color="auto" w:fill="auto"/>
            <w:vAlign w:val="center"/>
          </w:tcPr>
          <w:p w14:paraId="026ED2BA" w14:textId="4C500B1A" w:rsidR="001024CB" w:rsidRPr="005737BD" w:rsidRDefault="005737BD" w:rsidP="001024CB">
            <w:pPr>
              <w:rPr>
                <w:rFonts w:cs="Arial"/>
                <w:color w:val="000000"/>
                <w:szCs w:val="22"/>
                <w:lang w:val="es-CO"/>
              </w:rPr>
            </w:pPr>
            <w:r w:rsidRPr="005737BD">
              <w:rPr>
                <w:rFonts w:cs="Arial"/>
                <w:color w:val="000000"/>
                <w:szCs w:val="22"/>
                <w:lang w:val="es-CO"/>
              </w:rPr>
              <w:t>Asociación de Energías Renovables Colombia, SER Colombia</w:t>
            </w:r>
            <w:r>
              <w:rPr>
                <w:rFonts w:cs="Arial"/>
                <w:color w:val="000000"/>
                <w:szCs w:val="22"/>
                <w:lang w:val="es-CO"/>
              </w:rPr>
              <w:t>.</w:t>
            </w:r>
          </w:p>
        </w:tc>
        <w:tc>
          <w:tcPr>
            <w:tcW w:w="1749" w:type="dxa"/>
            <w:shd w:val="clear" w:color="auto" w:fill="auto"/>
            <w:vAlign w:val="center"/>
          </w:tcPr>
          <w:p w14:paraId="7096E476" w14:textId="75054BEF" w:rsidR="001024CB" w:rsidRPr="00227BD5" w:rsidRDefault="00227BD5" w:rsidP="001024CB">
            <w:pPr>
              <w:jc w:val="center"/>
              <w:rPr>
                <w:rFonts w:cs="Arial"/>
                <w:szCs w:val="24"/>
              </w:rPr>
            </w:pPr>
            <w:r>
              <w:rPr>
                <w:rFonts w:cs="Arial"/>
                <w:szCs w:val="24"/>
              </w:rPr>
              <w:t>E</w:t>
            </w:r>
            <w:r w:rsidR="00BE4EC4" w:rsidRPr="00227BD5">
              <w:rPr>
                <w:rFonts w:cs="Arial"/>
                <w:szCs w:val="24"/>
              </w:rPr>
              <w:t>2023000706</w:t>
            </w:r>
          </w:p>
        </w:tc>
      </w:tr>
      <w:tr w:rsidR="00EC4AE5" w:rsidRPr="00F90BAE" w14:paraId="0489F20E" w14:textId="77777777" w:rsidTr="002F0764">
        <w:trPr>
          <w:trHeight w:val="336"/>
        </w:trPr>
        <w:tc>
          <w:tcPr>
            <w:tcW w:w="2020" w:type="dxa"/>
          </w:tcPr>
          <w:p w14:paraId="3433042D" w14:textId="2B508950" w:rsidR="00EC4AE5" w:rsidRPr="00426510" w:rsidRDefault="00EC4AE5" w:rsidP="001024CB">
            <w:pPr>
              <w:ind w:left="-118"/>
              <w:jc w:val="center"/>
              <w:rPr>
                <w:rFonts w:cs="Arial"/>
                <w:szCs w:val="24"/>
              </w:rPr>
            </w:pPr>
            <w:r w:rsidRPr="00426510">
              <w:rPr>
                <w:rFonts w:cs="Arial"/>
                <w:szCs w:val="24"/>
              </w:rPr>
              <w:t>701 009 de 2023</w:t>
            </w:r>
          </w:p>
        </w:tc>
        <w:tc>
          <w:tcPr>
            <w:tcW w:w="809" w:type="dxa"/>
            <w:shd w:val="clear" w:color="auto" w:fill="auto"/>
            <w:vAlign w:val="center"/>
          </w:tcPr>
          <w:p w14:paraId="2433F21D" w14:textId="3B17AD59" w:rsidR="00EC4AE5" w:rsidRDefault="00EC4AE5" w:rsidP="001024CB">
            <w:pPr>
              <w:ind w:left="-118"/>
              <w:jc w:val="center"/>
              <w:rPr>
                <w:rFonts w:cs="Arial"/>
                <w:szCs w:val="22"/>
              </w:rPr>
            </w:pPr>
            <w:r>
              <w:rPr>
                <w:rFonts w:cs="Arial"/>
                <w:szCs w:val="22"/>
              </w:rPr>
              <w:t>1</w:t>
            </w:r>
          </w:p>
        </w:tc>
        <w:tc>
          <w:tcPr>
            <w:tcW w:w="4858" w:type="dxa"/>
            <w:shd w:val="clear" w:color="auto" w:fill="auto"/>
            <w:vAlign w:val="center"/>
          </w:tcPr>
          <w:p w14:paraId="77DC0C1D" w14:textId="36ACBA84" w:rsidR="00EC4AE5" w:rsidRDefault="00EC4AE5" w:rsidP="001024CB">
            <w:pPr>
              <w:rPr>
                <w:rFonts w:cs="Arial"/>
                <w:color w:val="000000"/>
                <w:szCs w:val="22"/>
              </w:rPr>
            </w:pPr>
            <w:r w:rsidRPr="003D330A">
              <w:rPr>
                <w:rFonts w:cs="Arial"/>
                <w:color w:val="000000"/>
                <w:szCs w:val="22"/>
              </w:rPr>
              <w:t>Enel S.A. E.S.P.</w:t>
            </w:r>
          </w:p>
        </w:tc>
        <w:tc>
          <w:tcPr>
            <w:tcW w:w="1749" w:type="dxa"/>
            <w:shd w:val="clear" w:color="auto" w:fill="auto"/>
            <w:vAlign w:val="center"/>
          </w:tcPr>
          <w:p w14:paraId="4FC99C9C" w14:textId="76205C8B" w:rsidR="00EC4AE5" w:rsidRDefault="00EC4AE5" w:rsidP="001024CB">
            <w:pPr>
              <w:jc w:val="center"/>
              <w:rPr>
                <w:rFonts w:cs="Arial"/>
                <w:szCs w:val="24"/>
              </w:rPr>
            </w:pPr>
            <w:r>
              <w:rPr>
                <w:rFonts w:cs="Arial"/>
                <w:szCs w:val="24"/>
              </w:rPr>
              <w:t>E2023</w:t>
            </w:r>
            <w:r w:rsidR="005C2F1D">
              <w:rPr>
                <w:rFonts w:cs="Arial"/>
                <w:szCs w:val="24"/>
              </w:rPr>
              <w:t>009809</w:t>
            </w:r>
          </w:p>
        </w:tc>
      </w:tr>
      <w:tr w:rsidR="0016634C" w:rsidRPr="00F90BAE" w14:paraId="15552278" w14:textId="77777777" w:rsidTr="002F0764">
        <w:trPr>
          <w:trHeight w:val="336"/>
        </w:trPr>
        <w:tc>
          <w:tcPr>
            <w:tcW w:w="2020" w:type="dxa"/>
          </w:tcPr>
          <w:p w14:paraId="012E95DB" w14:textId="2B3F7D0C" w:rsidR="0016634C" w:rsidRPr="00426510" w:rsidRDefault="0016634C" w:rsidP="001024CB">
            <w:pPr>
              <w:ind w:left="-118"/>
              <w:jc w:val="center"/>
              <w:rPr>
                <w:rFonts w:cs="Arial"/>
                <w:szCs w:val="24"/>
              </w:rPr>
            </w:pPr>
            <w:r w:rsidRPr="00426510">
              <w:rPr>
                <w:rFonts w:cs="Arial"/>
                <w:szCs w:val="24"/>
              </w:rPr>
              <w:t>701 009 de 2023</w:t>
            </w:r>
          </w:p>
        </w:tc>
        <w:tc>
          <w:tcPr>
            <w:tcW w:w="809" w:type="dxa"/>
            <w:shd w:val="clear" w:color="auto" w:fill="auto"/>
            <w:vAlign w:val="center"/>
          </w:tcPr>
          <w:p w14:paraId="733795FF" w14:textId="46D65362" w:rsidR="0016634C" w:rsidRDefault="00EC4AE5" w:rsidP="001024CB">
            <w:pPr>
              <w:ind w:left="-118"/>
              <w:jc w:val="center"/>
              <w:rPr>
                <w:rFonts w:cs="Arial"/>
                <w:szCs w:val="22"/>
              </w:rPr>
            </w:pPr>
            <w:r>
              <w:rPr>
                <w:rFonts w:cs="Arial"/>
                <w:szCs w:val="22"/>
              </w:rPr>
              <w:t>2</w:t>
            </w:r>
          </w:p>
        </w:tc>
        <w:tc>
          <w:tcPr>
            <w:tcW w:w="4858" w:type="dxa"/>
            <w:shd w:val="clear" w:color="auto" w:fill="auto"/>
            <w:vAlign w:val="center"/>
          </w:tcPr>
          <w:p w14:paraId="3682549F" w14:textId="7609E2BE" w:rsidR="0016634C" w:rsidRDefault="0016634C" w:rsidP="001024CB">
            <w:pPr>
              <w:rPr>
                <w:rFonts w:cs="Arial"/>
                <w:color w:val="000000"/>
                <w:szCs w:val="22"/>
              </w:rPr>
            </w:pPr>
            <w:r>
              <w:rPr>
                <w:rFonts w:cs="Arial"/>
                <w:color w:val="000000"/>
                <w:szCs w:val="22"/>
              </w:rPr>
              <w:t>Celsia</w:t>
            </w:r>
            <w:r w:rsidR="00EF2D00">
              <w:rPr>
                <w:rFonts w:cs="Arial"/>
                <w:color w:val="000000"/>
                <w:szCs w:val="22"/>
              </w:rPr>
              <w:t xml:space="preserve"> </w:t>
            </w:r>
            <w:r w:rsidR="00EF2D00" w:rsidRPr="003D330A">
              <w:rPr>
                <w:rFonts w:cs="Arial"/>
                <w:color w:val="000000"/>
                <w:szCs w:val="22"/>
              </w:rPr>
              <w:t>S.A. E.S.P.</w:t>
            </w:r>
          </w:p>
        </w:tc>
        <w:tc>
          <w:tcPr>
            <w:tcW w:w="1749" w:type="dxa"/>
            <w:shd w:val="clear" w:color="auto" w:fill="auto"/>
            <w:vAlign w:val="center"/>
          </w:tcPr>
          <w:p w14:paraId="40F515E1" w14:textId="0AF71816" w:rsidR="0016634C" w:rsidRPr="00227BD5" w:rsidRDefault="0016634C" w:rsidP="001024CB">
            <w:pPr>
              <w:jc w:val="center"/>
              <w:rPr>
                <w:rFonts w:cs="Arial"/>
                <w:szCs w:val="24"/>
              </w:rPr>
            </w:pPr>
            <w:r>
              <w:rPr>
                <w:rFonts w:cs="Arial"/>
                <w:szCs w:val="24"/>
              </w:rPr>
              <w:t>E</w:t>
            </w:r>
            <w:r w:rsidR="00066A77">
              <w:rPr>
                <w:rFonts w:cs="Arial"/>
                <w:szCs w:val="24"/>
              </w:rPr>
              <w:t>2023009860</w:t>
            </w:r>
          </w:p>
        </w:tc>
      </w:tr>
      <w:tr w:rsidR="001024CB" w:rsidRPr="00F90BAE" w14:paraId="2193772E" w14:textId="77777777" w:rsidTr="002F0764">
        <w:trPr>
          <w:trHeight w:val="336"/>
        </w:trPr>
        <w:tc>
          <w:tcPr>
            <w:tcW w:w="2020" w:type="dxa"/>
          </w:tcPr>
          <w:p w14:paraId="79FE3277" w14:textId="4EE6422D" w:rsidR="001024CB" w:rsidRPr="00426510" w:rsidRDefault="00426510" w:rsidP="001024CB">
            <w:pPr>
              <w:ind w:left="-118"/>
              <w:jc w:val="center"/>
              <w:rPr>
                <w:rFonts w:cs="Arial"/>
                <w:szCs w:val="24"/>
              </w:rPr>
            </w:pPr>
            <w:bookmarkStart w:id="8" w:name="_Hlk52446047"/>
            <w:bookmarkEnd w:id="7"/>
            <w:r w:rsidRPr="00426510">
              <w:rPr>
                <w:rFonts w:cs="Arial"/>
                <w:szCs w:val="24"/>
              </w:rPr>
              <w:t>701 009 de 2023</w:t>
            </w:r>
          </w:p>
        </w:tc>
        <w:tc>
          <w:tcPr>
            <w:tcW w:w="809" w:type="dxa"/>
            <w:shd w:val="clear" w:color="auto" w:fill="auto"/>
            <w:vAlign w:val="center"/>
          </w:tcPr>
          <w:p w14:paraId="6AA90179" w14:textId="53DCCFDF" w:rsidR="001024CB" w:rsidRPr="00F90BAE" w:rsidRDefault="00EC4AE5" w:rsidP="001024CB">
            <w:pPr>
              <w:ind w:left="-118"/>
              <w:jc w:val="center"/>
              <w:rPr>
                <w:rFonts w:cs="Arial"/>
                <w:szCs w:val="22"/>
              </w:rPr>
            </w:pPr>
            <w:r>
              <w:rPr>
                <w:rFonts w:cs="Arial"/>
                <w:szCs w:val="22"/>
              </w:rPr>
              <w:t>3</w:t>
            </w:r>
          </w:p>
        </w:tc>
        <w:tc>
          <w:tcPr>
            <w:tcW w:w="4858" w:type="dxa"/>
            <w:shd w:val="clear" w:color="auto" w:fill="auto"/>
            <w:vAlign w:val="center"/>
          </w:tcPr>
          <w:p w14:paraId="70AA6934" w14:textId="4CC5B0D5" w:rsidR="001024CB" w:rsidRPr="00F90BAE" w:rsidRDefault="00E906E7" w:rsidP="001024CB">
            <w:pPr>
              <w:rPr>
                <w:rFonts w:cs="Arial"/>
                <w:color w:val="000000"/>
                <w:szCs w:val="22"/>
              </w:rPr>
            </w:pPr>
            <w:r>
              <w:rPr>
                <w:rFonts w:cs="Arial"/>
                <w:color w:val="000000"/>
                <w:szCs w:val="22"/>
              </w:rPr>
              <w:t>Empresas Públicas de Medellín</w:t>
            </w:r>
            <w:r w:rsidR="00BB163B">
              <w:rPr>
                <w:rFonts w:cs="Arial"/>
                <w:color w:val="000000"/>
                <w:szCs w:val="22"/>
              </w:rPr>
              <w:t>,</w:t>
            </w:r>
            <w:r>
              <w:rPr>
                <w:rFonts w:cs="Arial"/>
                <w:color w:val="000000"/>
                <w:szCs w:val="22"/>
              </w:rPr>
              <w:t xml:space="preserve"> EPM.</w:t>
            </w:r>
          </w:p>
        </w:tc>
        <w:tc>
          <w:tcPr>
            <w:tcW w:w="1749" w:type="dxa"/>
            <w:shd w:val="clear" w:color="auto" w:fill="auto"/>
            <w:vAlign w:val="center"/>
          </w:tcPr>
          <w:p w14:paraId="5492DF75" w14:textId="7676257C" w:rsidR="001024CB" w:rsidRPr="00227BD5" w:rsidRDefault="00E906E7" w:rsidP="001024CB">
            <w:pPr>
              <w:jc w:val="center"/>
              <w:rPr>
                <w:rFonts w:cs="Arial"/>
                <w:szCs w:val="24"/>
              </w:rPr>
            </w:pPr>
            <w:r w:rsidRPr="00227BD5">
              <w:rPr>
                <w:rFonts w:cs="Arial"/>
                <w:szCs w:val="24"/>
              </w:rPr>
              <w:t>E2023009896</w:t>
            </w:r>
          </w:p>
        </w:tc>
      </w:tr>
      <w:tr w:rsidR="00BC5ED8" w:rsidRPr="00F90BAE" w14:paraId="0CB72B69" w14:textId="77777777" w:rsidTr="002F0764">
        <w:trPr>
          <w:trHeight w:val="336"/>
        </w:trPr>
        <w:tc>
          <w:tcPr>
            <w:tcW w:w="2020" w:type="dxa"/>
          </w:tcPr>
          <w:p w14:paraId="1B52FA7C" w14:textId="73A4603A" w:rsidR="00BC5ED8" w:rsidRPr="00426510" w:rsidRDefault="00BC5ED8" w:rsidP="00BC5ED8">
            <w:pPr>
              <w:ind w:left="-118"/>
              <w:jc w:val="center"/>
              <w:rPr>
                <w:rFonts w:cs="Arial"/>
                <w:szCs w:val="24"/>
              </w:rPr>
            </w:pPr>
            <w:r w:rsidRPr="00426510">
              <w:rPr>
                <w:rFonts w:cs="Arial"/>
                <w:szCs w:val="24"/>
              </w:rPr>
              <w:t>701 009 de 2023</w:t>
            </w:r>
          </w:p>
        </w:tc>
        <w:tc>
          <w:tcPr>
            <w:tcW w:w="809" w:type="dxa"/>
            <w:shd w:val="clear" w:color="auto" w:fill="auto"/>
            <w:vAlign w:val="center"/>
          </w:tcPr>
          <w:p w14:paraId="59602A7B" w14:textId="6A0911B1" w:rsidR="00BC5ED8" w:rsidRDefault="00BC5ED8" w:rsidP="00BC5ED8">
            <w:pPr>
              <w:ind w:left="-118"/>
              <w:jc w:val="center"/>
              <w:rPr>
                <w:rFonts w:cs="Arial"/>
                <w:szCs w:val="22"/>
              </w:rPr>
            </w:pPr>
            <w:r>
              <w:rPr>
                <w:rFonts w:cs="Arial"/>
                <w:szCs w:val="22"/>
              </w:rPr>
              <w:t>4</w:t>
            </w:r>
          </w:p>
        </w:tc>
        <w:tc>
          <w:tcPr>
            <w:tcW w:w="4858" w:type="dxa"/>
            <w:shd w:val="clear" w:color="auto" w:fill="auto"/>
            <w:vAlign w:val="center"/>
          </w:tcPr>
          <w:p w14:paraId="594A9CCE" w14:textId="6539C8E9" w:rsidR="00BC5ED8" w:rsidRDefault="00BC5ED8" w:rsidP="00BC5ED8">
            <w:pPr>
              <w:rPr>
                <w:rFonts w:cs="Arial"/>
                <w:color w:val="000000"/>
                <w:szCs w:val="22"/>
              </w:rPr>
            </w:pPr>
            <w:r>
              <w:rPr>
                <w:rFonts w:cs="Arial"/>
                <w:color w:val="000000"/>
                <w:szCs w:val="22"/>
              </w:rPr>
              <w:t>Empresas Públicas de Medellín, EPM.</w:t>
            </w:r>
          </w:p>
        </w:tc>
        <w:tc>
          <w:tcPr>
            <w:tcW w:w="1749" w:type="dxa"/>
            <w:shd w:val="clear" w:color="auto" w:fill="auto"/>
            <w:vAlign w:val="center"/>
          </w:tcPr>
          <w:p w14:paraId="1E6E68CC" w14:textId="057A9C3C" w:rsidR="00BC5ED8" w:rsidRPr="00227BD5" w:rsidRDefault="00BC5ED8" w:rsidP="00BC5ED8">
            <w:pPr>
              <w:jc w:val="center"/>
              <w:rPr>
                <w:rFonts w:cs="Arial"/>
                <w:szCs w:val="24"/>
              </w:rPr>
            </w:pPr>
            <w:r>
              <w:rPr>
                <w:rFonts w:cs="Arial"/>
                <w:szCs w:val="24"/>
              </w:rPr>
              <w:t>E2023012943</w:t>
            </w:r>
          </w:p>
        </w:tc>
      </w:tr>
    </w:tbl>
    <w:bookmarkEnd w:id="8"/>
    <w:p w14:paraId="63A786D5" w14:textId="77777777" w:rsidR="008F397F" w:rsidRPr="00F90BAE" w:rsidRDefault="008F397F" w:rsidP="008F397F">
      <w:pPr>
        <w:pStyle w:val="Prrafodelista"/>
        <w:ind w:left="0"/>
        <w:rPr>
          <w:rFonts w:cs="Arial"/>
          <w:sz w:val="20"/>
        </w:rPr>
      </w:pPr>
      <w:r w:rsidRPr="00F90BAE">
        <w:rPr>
          <w:rFonts w:cs="Arial"/>
          <w:sz w:val="20"/>
        </w:rPr>
        <w:t>Elaboración: CREG.</w:t>
      </w:r>
    </w:p>
    <w:p w14:paraId="19525A42" w14:textId="77777777" w:rsidR="008F397F" w:rsidRDefault="008F397F" w:rsidP="008F397F"/>
    <w:p w14:paraId="31FF9EB0" w14:textId="15E2D378" w:rsidR="0012314E" w:rsidRDefault="006E03E1" w:rsidP="00093B53">
      <w:pPr>
        <w:rPr>
          <w:rFonts w:cs="Arial"/>
        </w:rPr>
      </w:pPr>
      <w:r>
        <w:rPr>
          <w:rFonts w:cs="Arial"/>
        </w:rPr>
        <w:t xml:space="preserve">Si bien, en el </w:t>
      </w:r>
      <w:r w:rsidR="00093B53" w:rsidRPr="00093B53">
        <w:rPr>
          <w:rFonts w:cs="Arial"/>
        </w:rPr>
        <w:t>documento CREG 701 016 de 2022 se encuentra el análisis efectuado a cada uno de los comentarios que se recibieron a la propuesta regulatoria presentada en Resolución CREG 701 012 de 2022</w:t>
      </w:r>
      <w:r w:rsidR="00093B53">
        <w:rPr>
          <w:rFonts w:cs="Arial"/>
        </w:rPr>
        <w:t xml:space="preserve">, </w:t>
      </w:r>
      <w:r w:rsidR="00814B19">
        <w:rPr>
          <w:rFonts w:cs="Arial"/>
        </w:rPr>
        <w:t>en</w:t>
      </w:r>
      <w:r w:rsidR="00CA075C">
        <w:rPr>
          <w:rFonts w:cs="Arial"/>
        </w:rPr>
        <w:t xml:space="preserve"> el a</w:t>
      </w:r>
      <w:r w:rsidR="00CA075C" w:rsidRPr="00F90BAE">
        <w:rPr>
          <w:rFonts w:cs="Arial"/>
        </w:rPr>
        <w:t>nexo</w:t>
      </w:r>
      <w:r w:rsidR="00CA075C">
        <w:rPr>
          <w:rFonts w:cs="Arial"/>
        </w:rPr>
        <w:t xml:space="preserve"> 1 </w:t>
      </w:r>
      <w:r w:rsidR="00CA075C" w:rsidRPr="00F90BAE">
        <w:rPr>
          <w:rFonts w:cs="Arial"/>
        </w:rPr>
        <w:t>de</w:t>
      </w:r>
      <w:r w:rsidR="00CA075C">
        <w:rPr>
          <w:rFonts w:cs="Arial"/>
        </w:rPr>
        <w:t xml:space="preserve">l presente </w:t>
      </w:r>
      <w:r w:rsidR="00CA075C" w:rsidRPr="00F90BAE">
        <w:rPr>
          <w:rFonts w:cs="Arial"/>
        </w:rPr>
        <w:t>documento</w:t>
      </w:r>
      <w:r w:rsidR="00CA075C">
        <w:rPr>
          <w:rFonts w:cs="Arial"/>
        </w:rPr>
        <w:t xml:space="preserve"> </w:t>
      </w:r>
      <w:r w:rsidR="00814B19">
        <w:rPr>
          <w:rFonts w:cs="Arial"/>
        </w:rPr>
        <w:t xml:space="preserve">se presenta </w:t>
      </w:r>
      <w:r w:rsidR="009E0F71">
        <w:rPr>
          <w:rFonts w:cs="Arial"/>
        </w:rPr>
        <w:t xml:space="preserve">dicho análisis y </w:t>
      </w:r>
      <w:r w:rsidR="00CA075C">
        <w:rPr>
          <w:rFonts w:cs="Arial"/>
        </w:rPr>
        <w:t xml:space="preserve">se incluyen las </w:t>
      </w:r>
      <w:r w:rsidR="0012314E" w:rsidRPr="00F90BAE">
        <w:rPr>
          <w:rFonts w:cs="Arial"/>
        </w:rPr>
        <w:t xml:space="preserve">respuestas a los comentarios recibidos </w:t>
      </w:r>
      <w:r w:rsidR="002B4FDC">
        <w:rPr>
          <w:rFonts w:cs="Arial"/>
        </w:rPr>
        <w:t>a las resoluciones CREG 701</w:t>
      </w:r>
      <w:r w:rsidR="00CA075C">
        <w:rPr>
          <w:rFonts w:cs="Arial"/>
        </w:rPr>
        <w:t xml:space="preserve"> </w:t>
      </w:r>
      <w:r w:rsidR="002B4FDC">
        <w:rPr>
          <w:rFonts w:cs="Arial"/>
        </w:rPr>
        <w:t>022 de 2022 y 701 009 de 2023</w:t>
      </w:r>
      <w:r w:rsidR="003A5ED4">
        <w:rPr>
          <w:rFonts w:cs="Arial"/>
        </w:rPr>
        <w:t>.</w:t>
      </w:r>
    </w:p>
    <w:p w14:paraId="6CF380F0" w14:textId="77777777" w:rsidR="00070A90" w:rsidRPr="00F90BAE" w:rsidRDefault="00070A90" w:rsidP="0012314E">
      <w:pPr>
        <w:pStyle w:val="Prrafodelista"/>
        <w:ind w:left="0"/>
        <w:rPr>
          <w:rFonts w:cs="Arial"/>
        </w:rPr>
      </w:pPr>
    </w:p>
    <w:p w14:paraId="6593347C" w14:textId="77777777" w:rsidR="00287212" w:rsidRDefault="00287212" w:rsidP="00287212"/>
    <w:p w14:paraId="5BE2693F" w14:textId="25DCEC1A" w:rsidR="0062527B" w:rsidRDefault="0062527B" w:rsidP="00287212">
      <w:r>
        <w:br w:type="page"/>
      </w:r>
    </w:p>
    <w:p w14:paraId="6461A5EC" w14:textId="77777777" w:rsidR="00287212" w:rsidRDefault="00287212" w:rsidP="00287212"/>
    <w:p w14:paraId="74870DBC" w14:textId="13A88ADA" w:rsidR="007A7A2C" w:rsidRPr="00F90BAE" w:rsidRDefault="007A7A2C" w:rsidP="007A7A2C">
      <w:pPr>
        <w:pStyle w:val="Ttulo1"/>
        <w:tabs>
          <w:tab w:val="clear" w:pos="2556"/>
        </w:tabs>
        <w:spacing w:after="0"/>
        <w:ind w:left="0" w:firstLine="0"/>
        <w:jc w:val="center"/>
        <w:rPr>
          <w:rFonts w:cs="Arial"/>
        </w:rPr>
      </w:pPr>
      <w:bookmarkStart w:id="9" w:name="_Toc147137552"/>
      <w:bookmarkStart w:id="10" w:name="_Toc96082315"/>
      <w:r w:rsidRPr="00F90BAE">
        <w:rPr>
          <w:rFonts w:cs="Arial"/>
        </w:rPr>
        <w:t>ANEXO 1. ANÁLISIS COMENTARIOS</w:t>
      </w:r>
      <w:bookmarkEnd w:id="9"/>
      <w:r w:rsidRPr="00F90BAE">
        <w:rPr>
          <w:rFonts w:cs="Arial"/>
        </w:rPr>
        <w:t xml:space="preserve"> </w:t>
      </w:r>
      <w:bookmarkEnd w:id="10"/>
    </w:p>
    <w:p w14:paraId="1C0485A0" w14:textId="77777777" w:rsidR="007A7A2C" w:rsidRDefault="007A7A2C" w:rsidP="00287212"/>
    <w:p w14:paraId="40EF8367" w14:textId="5A53B65C" w:rsidR="00AF42AC" w:rsidRDefault="00743284" w:rsidP="002F0764">
      <w:pPr>
        <w:pStyle w:val="Ttulo1"/>
        <w:numPr>
          <w:ilvl w:val="0"/>
          <w:numId w:val="7"/>
        </w:numPr>
      </w:pPr>
      <w:bookmarkStart w:id="11" w:name="_Toc147137553"/>
      <w:r>
        <w:t>COMENTARIOS REALZADOS A LA RESOLUCIÓN CREG 70</w:t>
      </w:r>
      <w:r w:rsidR="00D7100E">
        <w:t>1</w:t>
      </w:r>
      <w:r>
        <w:t xml:space="preserve"> 012 DE 2022</w:t>
      </w:r>
      <w:bookmarkEnd w:id="11"/>
    </w:p>
    <w:p w14:paraId="2C5DF7BF" w14:textId="40D4FBE9" w:rsidR="00106318" w:rsidRPr="00106318" w:rsidRDefault="00743284" w:rsidP="002F0764">
      <w:pPr>
        <w:pStyle w:val="Ttulo2"/>
        <w:numPr>
          <w:ilvl w:val="1"/>
          <w:numId w:val="7"/>
        </w:numPr>
      </w:pPr>
      <w:bookmarkStart w:id="12" w:name="_Toc111542421"/>
      <w:bookmarkStart w:id="13" w:name="_Toc147137554"/>
      <w:r>
        <w:t>Enel</w:t>
      </w:r>
      <w:r w:rsidRPr="00F90BAE">
        <w:t xml:space="preserve"> S.A. E</w:t>
      </w:r>
      <w:r>
        <w:t>.</w:t>
      </w:r>
      <w:r w:rsidRPr="00F90BAE">
        <w:t>S</w:t>
      </w:r>
      <w:r>
        <w:t>.</w:t>
      </w:r>
      <w:r w:rsidRPr="00F90BAE">
        <w:t>P.</w:t>
      </w:r>
      <w:bookmarkEnd w:id="12"/>
      <w:bookmarkEnd w:id="13"/>
    </w:p>
    <w:p w14:paraId="3FA28F17" w14:textId="77777777" w:rsidR="00106318" w:rsidRPr="007134BE" w:rsidRDefault="00106318" w:rsidP="007134BE">
      <w:pPr>
        <w:pStyle w:val="Prrafodelista"/>
        <w:numPr>
          <w:ilvl w:val="0"/>
          <w:numId w:val="13"/>
        </w:numPr>
        <w:rPr>
          <w:lang w:val="es-CO"/>
        </w:rPr>
      </w:pPr>
    </w:p>
    <w:p w14:paraId="3795EC64" w14:textId="77777777" w:rsidR="007134BE" w:rsidRPr="007134BE" w:rsidRDefault="007134BE" w:rsidP="007134BE">
      <w:pPr>
        <w:rPr>
          <w:lang w:val="es-CO"/>
        </w:rPr>
      </w:pPr>
    </w:p>
    <w:p w14:paraId="033E7837" w14:textId="77777777" w:rsidR="00106318" w:rsidRDefault="00106318" w:rsidP="00106318">
      <w:pPr>
        <w:ind w:left="284"/>
        <w:rPr>
          <w:rFonts w:cs="Arial"/>
          <w:i/>
          <w:iCs/>
          <w:sz w:val="20"/>
        </w:rPr>
      </w:pPr>
      <w:r w:rsidRPr="00FA7E8E">
        <w:rPr>
          <w:rFonts w:cs="Arial"/>
          <w:i/>
          <w:iCs/>
          <w:sz w:val="20"/>
        </w:rPr>
        <w:t>“</w:t>
      </w:r>
      <w:r>
        <w:rPr>
          <w:rFonts w:cs="Arial"/>
          <w:i/>
          <w:iCs/>
          <w:sz w:val="20"/>
        </w:rPr>
        <w:t xml:space="preserve">(…) </w:t>
      </w:r>
      <w:r w:rsidRPr="00D16396">
        <w:rPr>
          <w:rFonts w:cs="Arial"/>
          <w:i/>
          <w:iCs/>
          <w:sz w:val="20"/>
        </w:rPr>
        <w:t xml:space="preserve">Con respecto a la tasa de descuento, la Comisión propone el </w:t>
      </w:r>
      <w:proofErr w:type="gramStart"/>
      <w:r w:rsidRPr="00D16396">
        <w:rPr>
          <w:rFonts w:cs="Arial"/>
          <w:i/>
          <w:iCs/>
          <w:sz w:val="20"/>
        </w:rPr>
        <w:t>mismo beta</w:t>
      </w:r>
      <w:proofErr w:type="gramEnd"/>
      <w:r w:rsidRPr="00D16396">
        <w:rPr>
          <w:rFonts w:cs="Arial"/>
          <w:i/>
          <w:iCs/>
          <w:sz w:val="20"/>
        </w:rPr>
        <w:t xml:space="preserve"> definido para la</w:t>
      </w:r>
      <w:r>
        <w:rPr>
          <w:rFonts w:cs="Arial"/>
          <w:i/>
          <w:iCs/>
          <w:sz w:val="20"/>
        </w:rPr>
        <w:t xml:space="preserve"> </w:t>
      </w:r>
      <w:r w:rsidRPr="00D16396">
        <w:rPr>
          <w:rFonts w:cs="Arial"/>
          <w:i/>
          <w:iCs/>
          <w:sz w:val="20"/>
        </w:rPr>
        <w:t>actividad de distribución de energía desconociendo los riesgos de atención a usuarios aislados</w:t>
      </w:r>
      <w:r>
        <w:rPr>
          <w:rFonts w:cs="Arial"/>
          <w:i/>
          <w:iCs/>
          <w:sz w:val="20"/>
        </w:rPr>
        <w:t xml:space="preserve"> </w:t>
      </w:r>
      <w:r w:rsidRPr="00D16396">
        <w:rPr>
          <w:rFonts w:cs="Arial"/>
          <w:i/>
          <w:iCs/>
          <w:sz w:val="20"/>
        </w:rPr>
        <w:t>con este tipo de esquemas, por lo que es necesario conocer cómo se compensa pues no los vemos</w:t>
      </w:r>
      <w:r>
        <w:rPr>
          <w:rFonts w:cs="Arial"/>
          <w:i/>
          <w:iCs/>
          <w:sz w:val="20"/>
        </w:rPr>
        <w:t xml:space="preserve"> </w:t>
      </w:r>
      <w:r w:rsidRPr="00D16396">
        <w:rPr>
          <w:rFonts w:cs="Arial"/>
          <w:i/>
          <w:iCs/>
          <w:sz w:val="20"/>
        </w:rPr>
        <w:t>considerados en la metodología propuesta.</w:t>
      </w:r>
    </w:p>
    <w:p w14:paraId="0E968ABC" w14:textId="77777777" w:rsidR="00106318" w:rsidRPr="00D16396" w:rsidRDefault="00106318" w:rsidP="00106318">
      <w:pPr>
        <w:ind w:left="284"/>
        <w:rPr>
          <w:rFonts w:cs="Arial"/>
          <w:i/>
          <w:iCs/>
          <w:sz w:val="20"/>
        </w:rPr>
      </w:pPr>
    </w:p>
    <w:p w14:paraId="4054FCFB" w14:textId="77777777" w:rsidR="00106318" w:rsidRPr="00FA7E8E" w:rsidRDefault="00106318" w:rsidP="00106318">
      <w:pPr>
        <w:ind w:left="284"/>
        <w:rPr>
          <w:rFonts w:cs="Arial"/>
          <w:i/>
          <w:iCs/>
          <w:sz w:val="20"/>
        </w:rPr>
      </w:pPr>
      <w:r w:rsidRPr="00D16396">
        <w:rPr>
          <w:rFonts w:cs="Arial"/>
          <w:i/>
          <w:iCs/>
          <w:sz w:val="20"/>
        </w:rPr>
        <w:t>Por ejemplo, el riesgo de la tasa de cambio no se incorpora, y en este tipo de modelo de</w:t>
      </w:r>
      <w:r>
        <w:rPr>
          <w:rFonts w:cs="Arial"/>
          <w:i/>
          <w:iCs/>
          <w:sz w:val="20"/>
        </w:rPr>
        <w:t xml:space="preserve"> </w:t>
      </w:r>
      <w:r w:rsidRPr="00D16396">
        <w:rPr>
          <w:rFonts w:cs="Arial"/>
          <w:i/>
          <w:iCs/>
          <w:sz w:val="20"/>
        </w:rPr>
        <w:t>prestación de servicio la mayor parte de unidades constructivas son importadas, además de los</w:t>
      </w:r>
      <w:r>
        <w:rPr>
          <w:rFonts w:cs="Arial"/>
          <w:i/>
          <w:iCs/>
          <w:sz w:val="20"/>
        </w:rPr>
        <w:t xml:space="preserve"> </w:t>
      </w:r>
      <w:r w:rsidRPr="00D16396">
        <w:rPr>
          <w:rFonts w:cs="Arial"/>
          <w:i/>
          <w:iCs/>
          <w:sz w:val="20"/>
        </w:rPr>
        <w:t>aumentos de precios y logística de transporte que se han generado como consecuencia de los</w:t>
      </w:r>
      <w:r>
        <w:rPr>
          <w:rFonts w:cs="Arial"/>
          <w:i/>
          <w:iCs/>
          <w:sz w:val="20"/>
        </w:rPr>
        <w:t xml:space="preserve"> </w:t>
      </w:r>
      <w:r w:rsidRPr="00D16396">
        <w:rPr>
          <w:rFonts w:cs="Arial"/>
          <w:i/>
          <w:iCs/>
          <w:sz w:val="20"/>
        </w:rPr>
        <w:t>cambios en el comercio internacional, y el IPP oferta interna no logra recoger las variaciones e</w:t>
      </w:r>
      <w:r>
        <w:rPr>
          <w:rFonts w:cs="Arial"/>
          <w:i/>
          <w:iCs/>
          <w:sz w:val="20"/>
        </w:rPr>
        <w:t xml:space="preserve"> </w:t>
      </w:r>
      <w:r w:rsidRPr="00D16396">
        <w:rPr>
          <w:rFonts w:cs="Arial"/>
          <w:i/>
          <w:iCs/>
          <w:sz w:val="20"/>
        </w:rPr>
        <w:t>incremento de precio que se evidencia en los costos de estos elementos. En ese sentido, vemos</w:t>
      </w:r>
      <w:r>
        <w:rPr>
          <w:rFonts w:cs="Arial"/>
          <w:i/>
          <w:iCs/>
          <w:sz w:val="20"/>
        </w:rPr>
        <w:t xml:space="preserve"> </w:t>
      </w:r>
      <w:r w:rsidRPr="00D16396">
        <w:rPr>
          <w:rFonts w:cs="Arial"/>
          <w:i/>
          <w:iCs/>
          <w:sz w:val="20"/>
        </w:rPr>
        <w:t>necesario que exista una propuesta que permita la mitigación de este riesgo o aclarar el</w:t>
      </w:r>
      <w:r>
        <w:rPr>
          <w:rFonts w:cs="Arial"/>
          <w:i/>
          <w:iCs/>
          <w:sz w:val="20"/>
        </w:rPr>
        <w:t xml:space="preserve"> </w:t>
      </w:r>
      <w:r w:rsidRPr="00D16396">
        <w:rPr>
          <w:rFonts w:cs="Arial"/>
          <w:i/>
          <w:iCs/>
          <w:sz w:val="20"/>
        </w:rPr>
        <w:t>tratamiento que se dará a los bienes importados dentro de la metodología de remuneración.</w:t>
      </w:r>
      <w:r>
        <w:rPr>
          <w:rFonts w:cs="Arial"/>
          <w:i/>
          <w:iCs/>
          <w:sz w:val="20"/>
        </w:rPr>
        <w:t xml:space="preserve"> (…)”</w:t>
      </w:r>
    </w:p>
    <w:p w14:paraId="2AC7E3ED" w14:textId="77777777" w:rsidR="00106318" w:rsidRDefault="00106318" w:rsidP="00106318">
      <w:pPr>
        <w:ind w:right="50"/>
        <w:rPr>
          <w:rFonts w:cs="Arial"/>
        </w:rPr>
      </w:pPr>
    </w:p>
    <w:p w14:paraId="4DE68B53" w14:textId="77777777" w:rsidR="00106318" w:rsidRPr="006B5603" w:rsidRDefault="00106318" w:rsidP="007134BE">
      <w:pPr>
        <w:pStyle w:val="Prrafodelista"/>
        <w:numPr>
          <w:ilvl w:val="0"/>
          <w:numId w:val="16"/>
        </w:numPr>
      </w:pPr>
    </w:p>
    <w:p w14:paraId="5B093D91" w14:textId="77777777" w:rsidR="007134BE" w:rsidRDefault="007134BE" w:rsidP="00106318"/>
    <w:p w14:paraId="517FC1FB" w14:textId="6333F34A" w:rsidR="00106318" w:rsidRDefault="00106318" w:rsidP="00106318">
      <w:r w:rsidRPr="0039003A">
        <w:t xml:space="preserve">El comentario no guarda relación con el objeto de la consulta. </w:t>
      </w:r>
      <w:r>
        <w:t>Con respecto al tema de tasa de cambio, e</w:t>
      </w:r>
      <w:r w:rsidRPr="0039003A">
        <w:t>n el marco tarifario</w:t>
      </w:r>
      <w:r>
        <w:t>, Resolución CREG 101 026 de 2022, para la actualización de los cargos máximos</w:t>
      </w:r>
      <w:r w:rsidRPr="0039003A">
        <w:t xml:space="preserve"> se tiene </w:t>
      </w:r>
      <w:r>
        <w:t xml:space="preserve">definido </w:t>
      </w:r>
      <w:r w:rsidRPr="0039003A">
        <w:t xml:space="preserve">como indexador </w:t>
      </w:r>
      <w:r>
        <w:t xml:space="preserve">el </w:t>
      </w:r>
      <w:r w:rsidRPr="0039003A">
        <w:t>IPP</w:t>
      </w:r>
      <w:r>
        <w:t xml:space="preserve"> Oferta Interna</w:t>
      </w:r>
      <w:r w:rsidRPr="0039003A">
        <w:t xml:space="preserve">, </w:t>
      </w:r>
      <w:r>
        <w:t xml:space="preserve">mediante </w:t>
      </w:r>
      <w:r w:rsidRPr="0039003A">
        <w:t xml:space="preserve">el cual </w:t>
      </w:r>
      <w:r>
        <w:t xml:space="preserve">se </w:t>
      </w:r>
      <w:r w:rsidRPr="0039003A">
        <w:t>recoge la variación en el costo de los insumos importados.</w:t>
      </w:r>
    </w:p>
    <w:p w14:paraId="2D418D95" w14:textId="77777777" w:rsidR="00106318" w:rsidRDefault="00106318" w:rsidP="00106318">
      <w:pPr>
        <w:ind w:right="50"/>
        <w:rPr>
          <w:rFonts w:cs="Arial"/>
        </w:rPr>
      </w:pPr>
    </w:p>
    <w:p w14:paraId="1411A3A6" w14:textId="77777777" w:rsidR="007134BE" w:rsidRPr="007134BE" w:rsidRDefault="007134BE" w:rsidP="007134BE">
      <w:pPr>
        <w:pStyle w:val="Prrafodelista"/>
        <w:numPr>
          <w:ilvl w:val="0"/>
          <w:numId w:val="13"/>
        </w:numPr>
        <w:ind w:right="50"/>
        <w:rPr>
          <w:rFonts w:cs="Arial"/>
        </w:rPr>
      </w:pPr>
    </w:p>
    <w:p w14:paraId="46E146F9" w14:textId="77777777" w:rsidR="00106318" w:rsidRPr="00F90BAE" w:rsidRDefault="00106318" w:rsidP="007134BE">
      <w:pPr>
        <w:pStyle w:val="Prrafodelista"/>
        <w:rPr>
          <w:lang w:val="es-CO"/>
        </w:rPr>
      </w:pPr>
    </w:p>
    <w:p w14:paraId="2168DE48" w14:textId="77777777" w:rsidR="00106318" w:rsidRDefault="00106318" w:rsidP="00106318">
      <w:pPr>
        <w:ind w:left="284"/>
        <w:rPr>
          <w:rFonts w:cs="Arial"/>
          <w:i/>
          <w:iCs/>
          <w:sz w:val="20"/>
        </w:rPr>
      </w:pPr>
      <w:r w:rsidRPr="000B4701">
        <w:rPr>
          <w:rFonts w:cs="Arial"/>
          <w:i/>
          <w:iCs/>
          <w:sz w:val="20"/>
        </w:rPr>
        <w:t>“</w:t>
      </w:r>
      <w:r>
        <w:rPr>
          <w:rFonts w:cs="Arial"/>
          <w:i/>
          <w:iCs/>
          <w:sz w:val="20"/>
        </w:rPr>
        <w:t xml:space="preserve">(…) </w:t>
      </w:r>
      <w:r w:rsidRPr="00C62349">
        <w:rPr>
          <w:rFonts w:cs="Arial"/>
          <w:i/>
          <w:iCs/>
          <w:sz w:val="20"/>
        </w:rPr>
        <w:t>Adicionalmente, en la metodología de remuneración no se considera el riesgo de la falta de</w:t>
      </w:r>
      <w:r>
        <w:rPr>
          <w:rFonts w:cs="Arial"/>
          <w:i/>
          <w:iCs/>
          <w:sz w:val="20"/>
        </w:rPr>
        <w:t xml:space="preserve"> </w:t>
      </w:r>
      <w:r w:rsidRPr="00C62349">
        <w:rPr>
          <w:rFonts w:cs="Arial"/>
          <w:i/>
          <w:iCs/>
          <w:sz w:val="20"/>
        </w:rPr>
        <w:t>estandarización de estos equipos, la constante innovación tecnológica y el dinamismo del</w:t>
      </w:r>
      <w:r>
        <w:rPr>
          <w:rFonts w:cs="Arial"/>
          <w:i/>
          <w:iCs/>
          <w:sz w:val="20"/>
        </w:rPr>
        <w:t xml:space="preserve"> </w:t>
      </w:r>
      <w:r w:rsidRPr="00C62349">
        <w:rPr>
          <w:rFonts w:cs="Arial"/>
          <w:i/>
          <w:iCs/>
          <w:sz w:val="20"/>
        </w:rPr>
        <w:t>mercado, pueden sugerir alternativas como remuneración en $/Wp, potencia nominal mínima,</w:t>
      </w:r>
      <w:r>
        <w:rPr>
          <w:rFonts w:cs="Arial"/>
          <w:i/>
          <w:iCs/>
          <w:sz w:val="20"/>
        </w:rPr>
        <w:t xml:space="preserve"> </w:t>
      </w:r>
      <w:r w:rsidRPr="00927FCC">
        <w:rPr>
          <w:rFonts w:cs="Arial"/>
          <w:i/>
          <w:iCs/>
          <w:sz w:val="20"/>
        </w:rPr>
        <w:t>expresada en vatios pico, del arreglo de módulos solares fotovoltaicos, con el fin de lograr una</w:t>
      </w:r>
      <w:r>
        <w:rPr>
          <w:rFonts w:cs="Arial"/>
          <w:i/>
          <w:iCs/>
          <w:sz w:val="20"/>
        </w:rPr>
        <w:t xml:space="preserve"> </w:t>
      </w:r>
      <w:r w:rsidRPr="00927FCC">
        <w:rPr>
          <w:rFonts w:cs="Arial"/>
          <w:i/>
          <w:iCs/>
          <w:sz w:val="20"/>
        </w:rPr>
        <w:t>mejor adaptación al contexto de mercado.</w:t>
      </w:r>
      <w:r>
        <w:rPr>
          <w:rFonts w:cs="Arial"/>
          <w:i/>
          <w:iCs/>
          <w:sz w:val="20"/>
        </w:rPr>
        <w:t xml:space="preserve"> (…)”.</w:t>
      </w:r>
    </w:p>
    <w:p w14:paraId="41543F22" w14:textId="77777777" w:rsidR="007134BE" w:rsidRPr="000B4701" w:rsidRDefault="007134BE" w:rsidP="00106318">
      <w:pPr>
        <w:ind w:left="284"/>
        <w:rPr>
          <w:rFonts w:cs="Arial"/>
          <w:i/>
          <w:iCs/>
          <w:sz w:val="20"/>
        </w:rPr>
      </w:pPr>
    </w:p>
    <w:p w14:paraId="4F2437DD" w14:textId="77777777" w:rsidR="00106318" w:rsidRPr="007134BE" w:rsidRDefault="00106318" w:rsidP="007134BE">
      <w:pPr>
        <w:pStyle w:val="Prrafodelista"/>
        <w:numPr>
          <w:ilvl w:val="0"/>
          <w:numId w:val="16"/>
        </w:numPr>
        <w:rPr>
          <w:rFonts w:cs="Arial"/>
        </w:rPr>
      </w:pPr>
    </w:p>
    <w:p w14:paraId="364C7002" w14:textId="77777777" w:rsidR="00106318" w:rsidRPr="006B5603" w:rsidRDefault="00106318" w:rsidP="007134BE">
      <w:pPr>
        <w:pStyle w:val="Prrafodelista"/>
      </w:pPr>
    </w:p>
    <w:p w14:paraId="0EBB1484" w14:textId="5351ADF4" w:rsidR="00106318" w:rsidRDefault="00106318" w:rsidP="00106318">
      <w:r w:rsidRPr="004761DB">
        <w:t xml:space="preserve">El comentario no guarda relación con el objeto de la consulta. </w:t>
      </w:r>
      <w:r>
        <w:t>Con respecto a los elementos mencionados, e</w:t>
      </w:r>
      <w:r w:rsidRPr="0039003A">
        <w:t>n el marco tarifario</w:t>
      </w:r>
      <w:r>
        <w:t xml:space="preserve">, Resolución CREG 101 026 de 2022, para la remuneración se </w:t>
      </w:r>
      <w:r w:rsidRPr="004761DB">
        <w:t xml:space="preserve">definió un </w:t>
      </w:r>
      <w:r>
        <w:t xml:space="preserve">esquema de </w:t>
      </w:r>
      <w:r w:rsidRPr="004761DB">
        <w:t xml:space="preserve">ingreso regulado ($/día) y precio máximo ($/kWh) para esquemas de facturación en </w:t>
      </w:r>
      <w:proofErr w:type="spellStart"/>
      <w:r w:rsidRPr="004761DB">
        <w:t>postpago</w:t>
      </w:r>
      <w:proofErr w:type="spellEnd"/>
      <w:r w:rsidRPr="004761DB">
        <w:t xml:space="preserve"> y en prepago, respectivamente.</w:t>
      </w:r>
    </w:p>
    <w:p w14:paraId="3A0EB996" w14:textId="77777777" w:rsidR="00106318" w:rsidRDefault="00106318" w:rsidP="00106318">
      <w:pPr>
        <w:rPr>
          <w:rFonts w:cs="Arial"/>
        </w:rPr>
      </w:pPr>
    </w:p>
    <w:p w14:paraId="198C6635" w14:textId="77777777" w:rsidR="007134BE" w:rsidRPr="007134BE" w:rsidRDefault="007134BE" w:rsidP="007134BE">
      <w:pPr>
        <w:pStyle w:val="Prrafodelista"/>
        <w:numPr>
          <w:ilvl w:val="0"/>
          <w:numId w:val="13"/>
        </w:numPr>
        <w:rPr>
          <w:rFonts w:cs="Arial"/>
        </w:rPr>
      </w:pPr>
    </w:p>
    <w:p w14:paraId="61F27AB8" w14:textId="77777777" w:rsidR="00106318" w:rsidRPr="00F90BAE" w:rsidRDefault="00106318" w:rsidP="007134BE">
      <w:pPr>
        <w:pStyle w:val="Prrafodelista"/>
        <w:rPr>
          <w:lang w:val="es-CO"/>
        </w:rPr>
      </w:pPr>
    </w:p>
    <w:p w14:paraId="6C6E78EE" w14:textId="77777777" w:rsidR="00106318" w:rsidRDefault="00106318" w:rsidP="00106318">
      <w:pPr>
        <w:ind w:left="284"/>
        <w:rPr>
          <w:rFonts w:cs="Arial"/>
          <w:i/>
          <w:iCs/>
          <w:sz w:val="20"/>
        </w:rPr>
      </w:pPr>
      <w:r>
        <w:rPr>
          <w:rFonts w:cs="Arial"/>
          <w:i/>
          <w:iCs/>
          <w:sz w:val="20"/>
        </w:rPr>
        <w:t xml:space="preserve">“(…) </w:t>
      </w:r>
      <w:r w:rsidRPr="008963FE">
        <w:rPr>
          <w:rFonts w:cs="Arial"/>
          <w:i/>
          <w:iCs/>
          <w:sz w:val="20"/>
        </w:rPr>
        <w:t>Teniendo en cuenta lo anterior, sugerimos que se estudie la posibilidad de tomar el GICS 551030</w:t>
      </w:r>
      <w:r>
        <w:rPr>
          <w:rFonts w:cs="Arial"/>
          <w:i/>
          <w:iCs/>
          <w:sz w:val="20"/>
        </w:rPr>
        <w:t xml:space="preserve"> </w:t>
      </w:r>
      <w:r w:rsidRPr="008963FE">
        <w:rPr>
          <w:rFonts w:cs="Arial"/>
          <w:i/>
          <w:iCs/>
          <w:sz w:val="20"/>
        </w:rPr>
        <w:t>con un beta de 0.44 el cual refleja un valor mayor frente a la actividad de distribución, teniendo</w:t>
      </w:r>
      <w:r>
        <w:rPr>
          <w:rFonts w:cs="Arial"/>
          <w:i/>
          <w:iCs/>
          <w:sz w:val="20"/>
        </w:rPr>
        <w:t xml:space="preserve"> </w:t>
      </w:r>
      <w:r w:rsidRPr="008963FE">
        <w:rPr>
          <w:rFonts w:cs="Arial"/>
          <w:i/>
          <w:iCs/>
          <w:sz w:val="20"/>
        </w:rPr>
        <w:t>en cuenta los riesgos adicionales de la prestación del servicio que se realiza en estas zonas el cual</w:t>
      </w:r>
      <w:r>
        <w:rPr>
          <w:rFonts w:cs="Arial"/>
          <w:i/>
          <w:iCs/>
          <w:sz w:val="20"/>
        </w:rPr>
        <w:t xml:space="preserve"> </w:t>
      </w:r>
      <w:r w:rsidRPr="008963FE">
        <w:rPr>
          <w:rFonts w:cs="Arial"/>
          <w:i/>
          <w:iCs/>
          <w:sz w:val="20"/>
        </w:rPr>
        <w:t>esta está dirigido a generación, distribución y comercialización de energía renovable a través de</w:t>
      </w:r>
      <w:r>
        <w:rPr>
          <w:rFonts w:cs="Arial"/>
          <w:i/>
          <w:iCs/>
          <w:sz w:val="20"/>
        </w:rPr>
        <w:t xml:space="preserve"> </w:t>
      </w:r>
      <w:r w:rsidRPr="008963FE">
        <w:rPr>
          <w:rFonts w:cs="Arial"/>
          <w:i/>
          <w:iCs/>
          <w:sz w:val="20"/>
        </w:rPr>
        <w:t xml:space="preserve">soluciones </w:t>
      </w:r>
      <w:r w:rsidRPr="008963FE">
        <w:rPr>
          <w:rFonts w:cs="Arial"/>
          <w:i/>
          <w:iCs/>
          <w:sz w:val="20"/>
        </w:rPr>
        <w:lastRenderedPageBreak/>
        <w:t>individuales de generación fotovoltaica, en áreas rurales dispersas, excluyendo</w:t>
      </w:r>
      <w:r>
        <w:rPr>
          <w:rFonts w:cs="Arial"/>
          <w:i/>
          <w:iCs/>
          <w:sz w:val="20"/>
        </w:rPr>
        <w:t xml:space="preserve"> </w:t>
      </w:r>
      <w:r w:rsidRPr="008963FE">
        <w:rPr>
          <w:rFonts w:cs="Arial"/>
          <w:i/>
          <w:iCs/>
          <w:sz w:val="20"/>
        </w:rPr>
        <w:t>sectores urbanos (cabeceras municipales, centros poblados).</w:t>
      </w:r>
    </w:p>
    <w:p w14:paraId="65223AB8" w14:textId="77777777" w:rsidR="00106318" w:rsidRPr="008963FE" w:rsidRDefault="00106318" w:rsidP="00106318">
      <w:pPr>
        <w:ind w:left="284"/>
        <w:rPr>
          <w:rFonts w:cs="Arial"/>
          <w:i/>
          <w:iCs/>
          <w:sz w:val="20"/>
        </w:rPr>
      </w:pPr>
    </w:p>
    <w:p w14:paraId="6D339336" w14:textId="77777777" w:rsidR="00106318" w:rsidRPr="00F47ADA" w:rsidRDefault="00106318" w:rsidP="00106318">
      <w:pPr>
        <w:ind w:left="284"/>
        <w:rPr>
          <w:rFonts w:cs="Arial"/>
          <w:i/>
          <w:iCs/>
          <w:sz w:val="20"/>
        </w:rPr>
      </w:pPr>
      <w:r w:rsidRPr="008963FE">
        <w:rPr>
          <w:rFonts w:cs="Arial"/>
          <w:i/>
          <w:iCs/>
          <w:sz w:val="20"/>
        </w:rPr>
        <w:t xml:space="preserve">Por lo anterior, consideramos que el </w:t>
      </w:r>
      <w:proofErr w:type="gramStart"/>
      <w:r w:rsidRPr="008963FE">
        <w:rPr>
          <w:rFonts w:cs="Arial"/>
          <w:i/>
          <w:iCs/>
          <w:sz w:val="20"/>
        </w:rPr>
        <w:t>beta propuesto</w:t>
      </w:r>
      <w:proofErr w:type="gramEnd"/>
      <w:r w:rsidRPr="008963FE">
        <w:rPr>
          <w:rFonts w:cs="Arial"/>
          <w:i/>
          <w:iCs/>
          <w:sz w:val="20"/>
        </w:rPr>
        <w:t xml:space="preserve"> por la resolución en consulta no remunera</w:t>
      </w:r>
      <w:r>
        <w:rPr>
          <w:rFonts w:cs="Arial"/>
          <w:i/>
          <w:iCs/>
          <w:sz w:val="20"/>
        </w:rPr>
        <w:t xml:space="preserve"> </w:t>
      </w:r>
      <w:r w:rsidRPr="008963FE">
        <w:rPr>
          <w:rFonts w:cs="Arial"/>
          <w:i/>
          <w:iCs/>
          <w:sz w:val="20"/>
        </w:rPr>
        <w:t>los riesgos planteados tanto en esta comunicación como los que planteamos en los comentarios</w:t>
      </w:r>
      <w:r>
        <w:rPr>
          <w:rFonts w:cs="Arial"/>
          <w:i/>
          <w:iCs/>
          <w:sz w:val="20"/>
        </w:rPr>
        <w:t xml:space="preserve"> </w:t>
      </w:r>
      <w:r w:rsidRPr="008963FE">
        <w:rPr>
          <w:rFonts w:cs="Arial"/>
          <w:i/>
          <w:iCs/>
          <w:sz w:val="20"/>
        </w:rPr>
        <w:t>a la resolución de metodología en consulta CREG 7001-001 de 2022, por lo cual sugerimos que</w:t>
      </w:r>
      <w:r>
        <w:rPr>
          <w:rFonts w:cs="Arial"/>
          <w:i/>
          <w:iCs/>
          <w:sz w:val="20"/>
        </w:rPr>
        <w:t xml:space="preserve"> </w:t>
      </w:r>
      <w:r w:rsidRPr="008963FE">
        <w:rPr>
          <w:rFonts w:cs="Arial"/>
          <w:i/>
          <w:iCs/>
          <w:sz w:val="20"/>
        </w:rPr>
        <w:t>se contemplen dentro de la metodología de remuneración o se considere un beta mayor dentro</w:t>
      </w:r>
      <w:r>
        <w:rPr>
          <w:rFonts w:cs="Arial"/>
          <w:i/>
          <w:iCs/>
          <w:sz w:val="20"/>
        </w:rPr>
        <w:t xml:space="preserve"> </w:t>
      </w:r>
      <w:r w:rsidRPr="008963FE">
        <w:rPr>
          <w:rFonts w:cs="Arial"/>
          <w:i/>
          <w:iCs/>
          <w:sz w:val="20"/>
        </w:rPr>
        <w:t>de esta propuesta.</w:t>
      </w:r>
      <w:r>
        <w:rPr>
          <w:rFonts w:cs="Arial"/>
          <w:i/>
          <w:iCs/>
          <w:sz w:val="20"/>
        </w:rPr>
        <w:t xml:space="preserve"> (…)”</w:t>
      </w:r>
    </w:p>
    <w:p w14:paraId="6EA36DCF" w14:textId="77777777" w:rsidR="00106318" w:rsidRDefault="00106318" w:rsidP="00106318">
      <w:pPr>
        <w:rPr>
          <w:rFonts w:cs="Arial"/>
        </w:rPr>
      </w:pPr>
    </w:p>
    <w:p w14:paraId="12F87233" w14:textId="77777777" w:rsidR="007134BE" w:rsidRPr="007134BE" w:rsidRDefault="007134BE" w:rsidP="007134BE">
      <w:pPr>
        <w:pStyle w:val="Prrafodelista"/>
        <w:numPr>
          <w:ilvl w:val="0"/>
          <w:numId w:val="16"/>
        </w:numPr>
        <w:rPr>
          <w:rFonts w:cs="Arial"/>
        </w:rPr>
      </w:pPr>
    </w:p>
    <w:p w14:paraId="04837D1D" w14:textId="77777777" w:rsidR="00106318" w:rsidRPr="00106318" w:rsidRDefault="00106318" w:rsidP="007134BE">
      <w:pPr>
        <w:pStyle w:val="Prrafodelista"/>
      </w:pPr>
    </w:p>
    <w:p w14:paraId="2CE0878C" w14:textId="43638259" w:rsidR="00106318" w:rsidRPr="00106318" w:rsidRDefault="00106318" w:rsidP="00106318">
      <w:pPr>
        <w:ind w:left="360"/>
        <w:rPr>
          <w:rFonts w:cs="Arial"/>
        </w:rPr>
      </w:pPr>
      <w:r w:rsidRPr="00106318">
        <w:rPr>
          <w:rFonts w:cs="Arial"/>
        </w:rPr>
        <w:t xml:space="preserve">El código de actividad propuesto corresponde a </w:t>
      </w:r>
      <w:proofErr w:type="spellStart"/>
      <w:r w:rsidRPr="00106318">
        <w:rPr>
          <w:rFonts w:cs="Arial"/>
        </w:rPr>
        <w:t>multi-servicios</w:t>
      </w:r>
      <w:proofErr w:type="spellEnd"/>
      <w:r w:rsidRPr="00106318">
        <w:rPr>
          <w:rFonts w:cs="Arial"/>
        </w:rPr>
        <w:t>. Se considera que con la aplicación de lo dispuesto en el parágrafo 4 del artículo 2 de la Resolución CREG 004 de 2021, se pueden seleccionar sectores que pueden representar mejor la actividad regulada.</w:t>
      </w:r>
    </w:p>
    <w:p w14:paraId="3CBCC746" w14:textId="77777777" w:rsidR="00106318" w:rsidRDefault="00106318" w:rsidP="00106318">
      <w:pPr>
        <w:rPr>
          <w:rFonts w:cs="Arial"/>
          <w:highlight w:val="yellow"/>
        </w:rPr>
      </w:pPr>
    </w:p>
    <w:p w14:paraId="313591DC" w14:textId="42296A29" w:rsidR="00106318" w:rsidRPr="00743284" w:rsidRDefault="00106318" w:rsidP="002F0764">
      <w:pPr>
        <w:pStyle w:val="Ttulo2"/>
        <w:numPr>
          <w:ilvl w:val="1"/>
          <w:numId w:val="7"/>
        </w:numPr>
      </w:pPr>
      <w:bookmarkStart w:id="14" w:name="_Toc111542422"/>
      <w:bookmarkStart w:id="15" w:name="_Toc147137555"/>
      <w:r w:rsidRPr="00743284">
        <w:t>Empresas Grupo EPM</w:t>
      </w:r>
      <w:bookmarkEnd w:id="14"/>
      <w:bookmarkEnd w:id="15"/>
    </w:p>
    <w:p w14:paraId="6F297F0F" w14:textId="77777777" w:rsidR="00106318" w:rsidRPr="00F90BAE" w:rsidRDefault="00106318" w:rsidP="007134BE">
      <w:pPr>
        <w:pStyle w:val="Prrafodelista"/>
        <w:numPr>
          <w:ilvl w:val="0"/>
          <w:numId w:val="13"/>
        </w:numPr>
        <w:rPr>
          <w:lang w:val="es-CO"/>
        </w:rPr>
      </w:pPr>
    </w:p>
    <w:p w14:paraId="3167BE57" w14:textId="77777777" w:rsidR="007134BE" w:rsidRDefault="007134BE" w:rsidP="00106318">
      <w:pPr>
        <w:ind w:left="284"/>
        <w:rPr>
          <w:rFonts w:cs="Arial"/>
          <w:i/>
          <w:iCs/>
          <w:sz w:val="20"/>
        </w:rPr>
      </w:pPr>
    </w:p>
    <w:p w14:paraId="5B95B2B1" w14:textId="431901D2" w:rsidR="00106318" w:rsidRPr="00DB3B2F" w:rsidRDefault="00106318" w:rsidP="00106318">
      <w:pPr>
        <w:ind w:left="284"/>
        <w:rPr>
          <w:rFonts w:cs="Arial"/>
          <w:i/>
          <w:iCs/>
          <w:sz w:val="20"/>
        </w:rPr>
      </w:pPr>
      <w:r w:rsidRPr="00DB3B2F">
        <w:rPr>
          <w:rFonts w:cs="Arial"/>
          <w:i/>
          <w:iCs/>
          <w:sz w:val="20"/>
        </w:rPr>
        <w:t xml:space="preserve">“(…) </w:t>
      </w:r>
      <w:r>
        <w:rPr>
          <w:rFonts w:cs="Arial"/>
          <w:i/>
          <w:iCs/>
          <w:sz w:val="20"/>
        </w:rPr>
        <w:t xml:space="preserve">El código de referencia definido por la Comisión para el cálculo de la tasa de descuento es GICS551010, el cual representa la clasificación de las industrias de distribución energía por redes, y tiene en cuenta los riesgos que se presentan en este tipo de industria, pero lo que se pretende es remunerar la presentación es remunerar la prestación del servicio de energía eléctrica mediante soluciones individuales solares fotovoltaicas – SISFV, que tiene las siguientes condiciones de operación: se instala individualmente a cada cliente los equipos necesarios para la generación y consumo de energía, los usuarios están dispersos, baja capacidad de pago, se encuentran en zonas con afectaciones de seguridad, los prestadores del servicio pueden ser asociaciones o cooperativas que no tienen participación activa en el mercado, no hay economías de escala en los procesos comerciales, el usuario no consume en ciertos periodos porque no se encuentra en la vivienda, además, existe el riesgo de no recuperar la inversión, por lo anterior, consideramos que el sector a utilizar debe ser el GICS 551050 que incluye empresas que operan la generación y distribución de electricidad de fuentes alternativas entre ellas energía solar. </w:t>
      </w:r>
      <w:r w:rsidRPr="00DB3B2F">
        <w:rPr>
          <w:rFonts w:cs="Arial"/>
          <w:i/>
          <w:iCs/>
          <w:sz w:val="20"/>
        </w:rPr>
        <w:t>(…)”</w:t>
      </w:r>
    </w:p>
    <w:p w14:paraId="18F50DF7" w14:textId="77777777" w:rsidR="00106318" w:rsidRDefault="00106318" w:rsidP="00106318">
      <w:pPr>
        <w:rPr>
          <w:rFonts w:cs="Arial"/>
        </w:rPr>
      </w:pPr>
    </w:p>
    <w:p w14:paraId="25CDD45F" w14:textId="77777777" w:rsidR="00743284" w:rsidRPr="00743284" w:rsidRDefault="00743284" w:rsidP="007134BE">
      <w:pPr>
        <w:pStyle w:val="Prrafodelista"/>
        <w:numPr>
          <w:ilvl w:val="0"/>
          <w:numId w:val="16"/>
        </w:numPr>
      </w:pPr>
    </w:p>
    <w:p w14:paraId="784A38B4" w14:textId="77777777" w:rsidR="007134BE" w:rsidRDefault="007134BE" w:rsidP="00106318">
      <w:pPr>
        <w:rPr>
          <w:rFonts w:cs="Arial"/>
        </w:rPr>
      </w:pPr>
    </w:p>
    <w:p w14:paraId="76C288A4" w14:textId="28419DAA" w:rsidR="00106318" w:rsidRPr="005B3A2D" w:rsidRDefault="00106318" w:rsidP="00106318">
      <w:pPr>
        <w:rPr>
          <w:rFonts w:cs="Arial"/>
        </w:rPr>
      </w:pPr>
      <w:r>
        <w:rPr>
          <w:rFonts w:cs="Arial"/>
        </w:rPr>
        <w:t xml:space="preserve">El código de actividad propuesto corresponde a </w:t>
      </w:r>
      <w:r w:rsidRPr="007E4CDE">
        <w:rPr>
          <w:rFonts w:cs="Arial"/>
        </w:rPr>
        <w:t>productores independientes de energía y electricidad renovable</w:t>
      </w:r>
      <w:r>
        <w:rPr>
          <w:rFonts w:cs="Arial"/>
        </w:rPr>
        <w:t>. Se considera que con la aplicación de lo dispuesto en el parágrafo 4 de</w:t>
      </w:r>
      <w:r w:rsidRPr="005B3A2D">
        <w:rPr>
          <w:rFonts w:cs="Arial"/>
        </w:rPr>
        <w:t>l artículo 2 de la Resolución CREG 004 de 2021</w:t>
      </w:r>
      <w:r>
        <w:rPr>
          <w:rFonts w:cs="Arial"/>
        </w:rPr>
        <w:t>, se pueden seleccionar una clasificación con mayor nivel de desagregación que pudiera representar mejor la actividad regulada.</w:t>
      </w:r>
    </w:p>
    <w:p w14:paraId="2000F9E9" w14:textId="77777777" w:rsidR="00106318" w:rsidRDefault="00106318" w:rsidP="00106318">
      <w:pPr>
        <w:rPr>
          <w:rFonts w:cs="Arial"/>
        </w:rPr>
      </w:pPr>
    </w:p>
    <w:p w14:paraId="60801CB6" w14:textId="77777777" w:rsidR="00106318" w:rsidRPr="00F90BAE" w:rsidRDefault="00106318" w:rsidP="007134BE">
      <w:pPr>
        <w:pStyle w:val="Prrafodelista"/>
        <w:numPr>
          <w:ilvl w:val="0"/>
          <w:numId w:val="13"/>
        </w:numPr>
        <w:rPr>
          <w:lang w:val="es-CO"/>
        </w:rPr>
      </w:pPr>
    </w:p>
    <w:p w14:paraId="68EB9802" w14:textId="77777777" w:rsidR="007134BE" w:rsidRDefault="007134BE" w:rsidP="00106318">
      <w:pPr>
        <w:ind w:left="284"/>
        <w:rPr>
          <w:rFonts w:cs="Arial"/>
          <w:i/>
          <w:iCs/>
          <w:sz w:val="20"/>
        </w:rPr>
      </w:pPr>
    </w:p>
    <w:p w14:paraId="2AD76538" w14:textId="18D61B8C" w:rsidR="00106318" w:rsidRPr="00DB3B2F" w:rsidRDefault="00106318" w:rsidP="00106318">
      <w:pPr>
        <w:ind w:left="284"/>
        <w:rPr>
          <w:rFonts w:cs="Arial"/>
          <w:i/>
          <w:iCs/>
          <w:sz w:val="20"/>
        </w:rPr>
      </w:pPr>
      <w:r w:rsidRPr="00DB3B2F">
        <w:rPr>
          <w:rFonts w:cs="Arial"/>
          <w:i/>
          <w:iCs/>
          <w:sz w:val="20"/>
        </w:rPr>
        <w:t xml:space="preserve">“(…) </w:t>
      </w:r>
      <w:r>
        <w:rPr>
          <w:rFonts w:cs="Arial"/>
          <w:i/>
          <w:iCs/>
          <w:sz w:val="20"/>
        </w:rPr>
        <w:t xml:space="preserve">El procedimiento el procedimiento definido para el cálculo de la tasa de descuento en las resoluciones 004 y 073 de 2021, es aplicable a los servicios de prestación masiva porque utilizan criterios e información que mide el riesgo de las empresas formales frente al mercado, pero no involucra los riesgos adicionales que se generan en la prestación individual planteados anteriormente, por lo que para este tipo de servicios se deberían incluir primas adicionales que valoren los mayores riesgos, como una prima de negocio en la tasa de descuento y/o el reconocimiento del riesgo a la inversión en fórmula tarifaria general para establecer la remuneración, las cuales cubren las contingencias de este negocio. </w:t>
      </w:r>
      <w:r w:rsidRPr="00DB3B2F">
        <w:rPr>
          <w:rFonts w:cs="Arial"/>
          <w:i/>
          <w:iCs/>
          <w:sz w:val="20"/>
        </w:rPr>
        <w:t>(…)”</w:t>
      </w:r>
    </w:p>
    <w:p w14:paraId="532BE0BA" w14:textId="77777777" w:rsidR="00106318" w:rsidRPr="00F90BAE" w:rsidRDefault="00106318" w:rsidP="007134BE">
      <w:pPr>
        <w:pStyle w:val="Prrafodelista"/>
        <w:numPr>
          <w:ilvl w:val="0"/>
          <w:numId w:val="16"/>
        </w:numPr>
      </w:pPr>
    </w:p>
    <w:p w14:paraId="09209500" w14:textId="77777777" w:rsidR="007134BE" w:rsidRDefault="007134BE" w:rsidP="00106318">
      <w:pPr>
        <w:rPr>
          <w:rFonts w:cs="Arial"/>
        </w:rPr>
      </w:pPr>
    </w:p>
    <w:p w14:paraId="55592A0B" w14:textId="3E1D67B6" w:rsidR="00106318" w:rsidRDefault="00106318" w:rsidP="00106318">
      <w:pPr>
        <w:rPr>
          <w:rFonts w:cs="Arial"/>
        </w:rPr>
      </w:pPr>
      <w:r w:rsidRPr="007103FB">
        <w:rPr>
          <w:rFonts w:cs="Arial"/>
        </w:rPr>
        <w:t>La metodología es aplicable para todas las actividades reguladas por la CREG.</w:t>
      </w:r>
    </w:p>
    <w:p w14:paraId="58AEC61B" w14:textId="77777777" w:rsidR="00106318" w:rsidRDefault="00106318" w:rsidP="00106318"/>
    <w:p w14:paraId="43F2D90B" w14:textId="211C1C4A" w:rsidR="00106318" w:rsidRPr="004D5092" w:rsidRDefault="00106318" w:rsidP="002F0764">
      <w:pPr>
        <w:pStyle w:val="Ttulo2"/>
        <w:numPr>
          <w:ilvl w:val="1"/>
          <w:numId w:val="7"/>
        </w:numPr>
      </w:pPr>
      <w:bookmarkStart w:id="16" w:name="_Toc111542423"/>
      <w:bookmarkStart w:id="17" w:name="_Toc147137556"/>
      <w:r w:rsidRPr="004D5092">
        <w:t>CEDENAR S.A. E.S.P.</w:t>
      </w:r>
      <w:bookmarkEnd w:id="16"/>
      <w:bookmarkEnd w:id="17"/>
    </w:p>
    <w:p w14:paraId="20661057" w14:textId="77777777" w:rsidR="00106318" w:rsidRPr="004D5092" w:rsidRDefault="00106318" w:rsidP="007134BE">
      <w:pPr>
        <w:pStyle w:val="Prrafodelista"/>
        <w:numPr>
          <w:ilvl w:val="0"/>
          <w:numId w:val="13"/>
        </w:numPr>
        <w:rPr>
          <w:lang w:val="es-CO"/>
        </w:rPr>
      </w:pPr>
    </w:p>
    <w:p w14:paraId="19AA9238" w14:textId="77777777" w:rsidR="007134BE" w:rsidRDefault="007134BE" w:rsidP="00106318">
      <w:pPr>
        <w:ind w:left="284"/>
        <w:rPr>
          <w:rFonts w:cs="Arial"/>
          <w:i/>
          <w:iCs/>
          <w:sz w:val="20"/>
        </w:rPr>
      </w:pPr>
    </w:p>
    <w:p w14:paraId="01B775CB" w14:textId="33ECACB6" w:rsidR="00106318" w:rsidRPr="004D5092" w:rsidRDefault="00106318" w:rsidP="00106318">
      <w:pPr>
        <w:ind w:left="284"/>
        <w:rPr>
          <w:rFonts w:cs="Arial"/>
          <w:i/>
          <w:iCs/>
          <w:sz w:val="20"/>
        </w:rPr>
      </w:pPr>
      <w:r w:rsidRPr="004D5092">
        <w:rPr>
          <w:rFonts w:cs="Arial"/>
          <w:i/>
          <w:iCs/>
          <w:sz w:val="20"/>
        </w:rPr>
        <w:t xml:space="preserve">“(…) </w:t>
      </w:r>
      <w:r w:rsidRPr="003A5F7B">
        <w:rPr>
          <w:rFonts w:cs="Arial"/>
          <w:i/>
          <w:iCs/>
          <w:sz w:val="20"/>
        </w:rPr>
        <w:t>Teniendo en cuenta que la tasa de descuento resulta importante en el desarrollo de las inversiones asociadas a la infraestructura y es el incentivo económico para la remuneración de dichas inversiones, consideramos que supeditar su adopción o actualización sólo a la variación impositiva de renta de personas jurídicas, puede no solo ser insuficiente para capturar las necesidades y elementos importantes de su adopción, sino que además resulta riesgoso para motivar las inversiones existentes y futuras en el segmento correspondiente a la prestación del servicio de energía eléctrica mediante Soluciones Individuales Solares Fotovoltaicas.</w:t>
      </w:r>
      <w:r>
        <w:rPr>
          <w:rFonts w:cs="Arial"/>
          <w:i/>
          <w:iCs/>
          <w:sz w:val="20"/>
        </w:rPr>
        <w:t xml:space="preserve"> </w:t>
      </w:r>
      <w:r w:rsidRPr="004D5092">
        <w:rPr>
          <w:rFonts w:cs="Arial"/>
          <w:i/>
          <w:iCs/>
          <w:sz w:val="20"/>
        </w:rPr>
        <w:t>(…)”.</w:t>
      </w:r>
    </w:p>
    <w:p w14:paraId="762E9EF2" w14:textId="77777777" w:rsidR="00106318" w:rsidRPr="004D5092" w:rsidRDefault="00106318" w:rsidP="00106318">
      <w:pPr>
        <w:rPr>
          <w:rFonts w:cs="Arial"/>
        </w:rPr>
      </w:pPr>
    </w:p>
    <w:p w14:paraId="75949E94" w14:textId="77777777" w:rsidR="00106318" w:rsidRPr="004D5092" w:rsidRDefault="00106318" w:rsidP="007134BE">
      <w:pPr>
        <w:pStyle w:val="Prrafodelista"/>
        <w:numPr>
          <w:ilvl w:val="0"/>
          <w:numId w:val="16"/>
        </w:numPr>
      </w:pPr>
    </w:p>
    <w:p w14:paraId="61947D7D" w14:textId="77777777" w:rsidR="00106318" w:rsidRDefault="00106318" w:rsidP="00106318"/>
    <w:p w14:paraId="189F09A4" w14:textId="77777777" w:rsidR="00106318" w:rsidRDefault="00106318" w:rsidP="00106318">
      <w:r w:rsidRPr="00BB4644">
        <w:t>El comentario no guarda relación con el objeto de la consulta.</w:t>
      </w:r>
    </w:p>
    <w:p w14:paraId="28419B44" w14:textId="77777777" w:rsidR="00106318" w:rsidRPr="004D5092" w:rsidRDefault="00106318" w:rsidP="00106318"/>
    <w:p w14:paraId="77EE4C80" w14:textId="77777777" w:rsidR="00106318" w:rsidRPr="004D5092" w:rsidRDefault="00106318" w:rsidP="007134BE">
      <w:pPr>
        <w:pStyle w:val="Prrafodelista"/>
        <w:numPr>
          <w:ilvl w:val="0"/>
          <w:numId w:val="13"/>
        </w:numPr>
        <w:rPr>
          <w:lang w:val="es-CO"/>
        </w:rPr>
      </w:pPr>
    </w:p>
    <w:p w14:paraId="79642460" w14:textId="77777777" w:rsidR="007134BE" w:rsidRDefault="007134BE" w:rsidP="00106318">
      <w:pPr>
        <w:ind w:left="284"/>
        <w:rPr>
          <w:rFonts w:cs="Arial"/>
          <w:i/>
          <w:iCs/>
          <w:sz w:val="20"/>
        </w:rPr>
      </w:pPr>
    </w:p>
    <w:p w14:paraId="09ED810A" w14:textId="2B265A54" w:rsidR="00106318" w:rsidRPr="004D5092" w:rsidRDefault="00106318" w:rsidP="00106318">
      <w:pPr>
        <w:ind w:left="284"/>
        <w:rPr>
          <w:rFonts w:cs="Arial"/>
          <w:i/>
          <w:iCs/>
          <w:sz w:val="20"/>
        </w:rPr>
      </w:pPr>
      <w:r w:rsidRPr="004D5092">
        <w:rPr>
          <w:rFonts w:cs="Arial"/>
          <w:i/>
          <w:iCs/>
          <w:sz w:val="20"/>
        </w:rPr>
        <w:t>“(…)</w:t>
      </w:r>
      <w:r>
        <w:rPr>
          <w:rFonts w:cs="Arial"/>
          <w:i/>
          <w:iCs/>
          <w:sz w:val="20"/>
        </w:rPr>
        <w:t xml:space="preserve"> </w:t>
      </w:r>
      <w:r w:rsidRPr="00440163">
        <w:rPr>
          <w:rFonts w:cs="Arial"/>
          <w:i/>
          <w:iCs/>
          <w:sz w:val="20"/>
        </w:rPr>
        <w:t>Por otra parte, la adopción del código GICS 55101010, está definido en forma general para Empresas dedicadas a la generación o distribución de electricidad, incluyendo tanto las centrales nucleares como las no nucleares, pero de la misma clasificación industrial global existe el subcódigo 55105020, que tipifica de mejor forma la actividad de la prestación del servicio de energía eléctrica mediante Soluciones Individuales Solares Fotovoltaicas y a su vez tiene la ventaja que excluye los equipos usados. Por dichas consideraciones sugerimos se evalúe la referencia a dicho código GICS.</w:t>
      </w:r>
      <w:r>
        <w:rPr>
          <w:rFonts w:cs="Arial"/>
          <w:i/>
          <w:iCs/>
          <w:sz w:val="20"/>
        </w:rPr>
        <w:t xml:space="preserve"> </w:t>
      </w:r>
      <w:r w:rsidRPr="004D5092">
        <w:rPr>
          <w:rFonts w:cs="Arial"/>
          <w:i/>
          <w:iCs/>
          <w:sz w:val="20"/>
        </w:rPr>
        <w:t>(…)”.</w:t>
      </w:r>
    </w:p>
    <w:p w14:paraId="777C1008" w14:textId="77777777" w:rsidR="00106318" w:rsidRPr="004D5092" w:rsidRDefault="00106318" w:rsidP="00106318">
      <w:pPr>
        <w:rPr>
          <w:rFonts w:cs="Arial"/>
        </w:rPr>
      </w:pPr>
    </w:p>
    <w:p w14:paraId="6D7FF3F8" w14:textId="77777777" w:rsidR="00106318" w:rsidRPr="004D5092" w:rsidRDefault="00106318" w:rsidP="007134BE">
      <w:pPr>
        <w:pStyle w:val="Prrafodelista"/>
        <w:numPr>
          <w:ilvl w:val="0"/>
          <w:numId w:val="16"/>
        </w:numPr>
      </w:pPr>
    </w:p>
    <w:p w14:paraId="0F78DF97" w14:textId="77777777" w:rsidR="007134BE" w:rsidRDefault="007134BE" w:rsidP="00106318"/>
    <w:p w14:paraId="2BF9FBE4" w14:textId="1D9F9DE3" w:rsidR="00106318" w:rsidRDefault="00106318" w:rsidP="00106318">
      <w:r w:rsidRPr="00FD7D18">
        <w:t xml:space="preserve">El código de actividad propuesto corresponde a </w:t>
      </w:r>
      <w:r>
        <w:t>e</w:t>
      </w:r>
      <w:r w:rsidRPr="002F2BAE">
        <w:t>lectricidad renovable</w:t>
      </w:r>
      <w:r w:rsidRPr="00FD7D18">
        <w:t xml:space="preserve">. </w:t>
      </w:r>
      <w:r>
        <w:t xml:space="preserve">Aunque no se cuenta con información en Kroll, </w:t>
      </w:r>
      <w:r w:rsidRPr="00FD7D18">
        <w:t>con la aplicación de lo dispuesto en el parágrafo 4 del artículo 2 de la Resolución CREG 004 de 2021, se puede</w:t>
      </w:r>
      <w:r>
        <w:t xml:space="preserve">n determinar la estructura de capital y </w:t>
      </w:r>
      <w:proofErr w:type="gramStart"/>
      <w:r>
        <w:t>el beta</w:t>
      </w:r>
      <w:proofErr w:type="gramEnd"/>
      <w:r>
        <w:t xml:space="preserve"> desapalancado para esta clasificación.</w:t>
      </w:r>
    </w:p>
    <w:p w14:paraId="2D05B6D6" w14:textId="77777777" w:rsidR="008B4ED3" w:rsidRDefault="008B4ED3" w:rsidP="00F609D0">
      <w:pPr>
        <w:rPr>
          <w:rFonts w:cs="Arial"/>
          <w:highlight w:val="yellow"/>
        </w:rPr>
      </w:pPr>
    </w:p>
    <w:p w14:paraId="3D812B6B" w14:textId="3A8C67CA" w:rsidR="00743284" w:rsidRDefault="00743284" w:rsidP="002F0764">
      <w:pPr>
        <w:pStyle w:val="Ttulo1"/>
        <w:numPr>
          <w:ilvl w:val="0"/>
          <w:numId w:val="7"/>
        </w:numPr>
      </w:pPr>
      <w:bookmarkStart w:id="18" w:name="_Toc147137557"/>
      <w:r>
        <w:t>COMENTARIOS REALZADOS A LA RESOLUCIÓN CREG 70</w:t>
      </w:r>
      <w:r w:rsidR="00D7100E">
        <w:t>1</w:t>
      </w:r>
      <w:r>
        <w:t xml:space="preserve"> 0</w:t>
      </w:r>
      <w:r w:rsidR="00D7100E">
        <w:t>2</w:t>
      </w:r>
      <w:r>
        <w:t>2 DE 2022</w:t>
      </w:r>
      <w:bookmarkEnd w:id="18"/>
    </w:p>
    <w:p w14:paraId="60A15936" w14:textId="281B3076" w:rsidR="00031774" w:rsidRPr="00031774" w:rsidRDefault="00031774" w:rsidP="002F0764">
      <w:pPr>
        <w:pStyle w:val="Ttulo2"/>
        <w:numPr>
          <w:ilvl w:val="1"/>
          <w:numId w:val="7"/>
        </w:numPr>
        <w:rPr>
          <w:lang w:val="es-CO"/>
        </w:rPr>
      </w:pPr>
      <w:bookmarkStart w:id="19" w:name="_Toc147137558"/>
      <w:r w:rsidRPr="00031774">
        <w:rPr>
          <w:lang w:val="es-CO"/>
        </w:rPr>
        <w:t>Asociación Nacional de Empresas de Servicios Públicos y Comunicaciones, ANDESCO</w:t>
      </w:r>
      <w:bookmarkEnd w:id="19"/>
    </w:p>
    <w:p w14:paraId="28C31DF8" w14:textId="77777777" w:rsidR="00031774" w:rsidRPr="00031774" w:rsidRDefault="00031774" w:rsidP="007134BE">
      <w:pPr>
        <w:pStyle w:val="Prrafodelista"/>
        <w:numPr>
          <w:ilvl w:val="0"/>
          <w:numId w:val="13"/>
        </w:numPr>
        <w:autoSpaceDE w:val="0"/>
        <w:autoSpaceDN w:val="0"/>
        <w:adjustRightInd w:val="0"/>
        <w:contextualSpacing w:val="0"/>
        <w:jc w:val="left"/>
        <w:rPr>
          <w:rFonts w:cs="Arial"/>
          <w:color w:val="000000"/>
          <w:szCs w:val="24"/>
          <w:lang w:val="es-CO" w:eastAsia="es-CO"/>
        </w:rPr>
      </w:pPr>
    </w:p>
    <w:p w14:paraId="4AEB8A7B" w14:textId="77777777" w:rsidR="00031774" w:rsidRDefault="00031774" w:rsidP="00031774">
      <w:pPr>
        <w:ind w:left="284"/>
        <w:rPr>
          <w:rFonts w:cs="Arial"/>
          <w:i/>
          <w:iCs/>
          <w:color w:val="000000"/>
          <w:szCs w:val="24"/>
          <w:lang w:val="es-CO" w:eastAsia="es-CO"/>
        </w:rPr>
      </w:pPr>
    </w:p>
    <w:p w14:paraId="5670DD40" w14:textId="2D30F9CA" w:rsidR="008B4ED3" w:rsidRPr="00031774" w:rsidRDefault="00031774" w:rsidP="00031774">
      <w:pPr>
        <w:ind w:left="284"/>
        <w:rPr>
          <w:rFonts w:cs="Arial"/>
          <w:i/>
          <w:iCs/>
          <w:color w:val="000000"/>
          <w:sz w:val="20"/>
          <w:lang w:val="es-CO" w:eastAsia="es-CO"/>
        </w:rPr>
      </w:pPr>
      <w:r w:rsidRPr="00031774">
        <w:rPr>
          <w:rFonts w:cs="Arial"/>
          <w:i/>
          <w:iCs/>
          <w:color w:val="000000"/>
          <w:sz w:val="20"/>
          <w:lang w:val="es-CO" w:eastAsia="es-CO"/>
        </w:rPr>
        <w:t xml:space="preserve">“(…) En primer lugar, consideramos importante que sean publicadas las memorias de cálculo en donde se especifiquen las fuentes de información que fueron utilizadas para la determinación de los parámetros que se plantean en la Resolución. Lo anterior, con el fin de realizar que las empresas puedan realizar los respectivos análisis, ya que existe incertidumbre acerca de la base de cálculo para las variables (Rf, Beta, </w:t>
      </w:r>
      <w:proofErr w:type="spellStart"/>
      <w:r w:rsidRPr="00031774">
        <w:rPr>
          <w:rFonts w:cs="Arial"/>
          <w:i/>
          <w:iCs/>
          <w:color w:val="000000"/>
          <w:sz w:val="20"/>
          <w:lang w:val="es-CO" w:eastAsia="es-CO"/>
        </w:rPr>
        <w:t>Wd</w:t>
      </w:r>
      <w:proofErr w:type="spellEnd"/>
      <w:r w:rsidRPr="00031774">
        <w:rPr>
          <w:rFonts w:cs="Arial"/>
          <w:i/>
          <w:iCs/>
          <w:color w:val="000000"/>
          <w:sz w:val="20"/>
          <w:lang w:val="es-CO" w:eastAsia="es-CO"/>
        </w:rPr>
        <w:t xml:space="preserve">, </w:t>
      </w:r>
      <w:proofErr w:type="spellStart"/>
      <w:r w:rsidRPr="00031774">
        <w:rPr>
          <w:rFonts w:cs="Arial"/>
          <w:i/>
          <w:iCs/>
          <w:color w:val="000000"/>
          <w:sz w:val="20"/>
          <w:lang w:val="es-CO" w:eastAsia="es-CO"/>
        </w:rPr>
        <w:t>We</w:t>
      </w:r>
      <w:proofErr w:type="spellEnd"/>
      <w:r w:rsidRPr="00031774">
        <w:rPr>
          <w:rFonts w:cs="Arial"/>
          <w:i/>
          <w:iCs/>
          <w:color w:val="000000"/>
          <w:sz w:val="20"/>
          <w:lang w:val="es-CO" w:eastAsia="es-CO"/>
        </w:rPr>
        <w:t xml:space="preserve"> y devaluación).”</w:t>
      </w:r>
    </w:p>
    <w:p w14:paraId="1DEC8AA1" w14:textId="77777777" w:rsidR="00031774" w:rsidRPr="00031774" w:rsidRDefault="00031774" w:rsidP="00031774">
      <w:pPr>
        <w:ind w:left="284"/>
        <w:rPr>
          <w:rFonts w:cs="Arial"/>
          <w:i/>
          <w:iCs/>
        </w:rPr>
      </w:pPr>
    </w:p>
    <w:p w14:paraId="091C6CC3" w14:textId="77777777" w:rsidR="00031774" w:rsidRPr="00031774" w:rsidRDefault="00031774" w:rsidP="007134BE">
      <w:pPr>
        <w:pStyle w:val="Prrafodelista"/>
        <w:numPr>
          <w:ilvl w:val="0"/>
          <w:numId w:val="16"/>
        </w:numPr>
        <w:rPr>
          <w:rFonts w:cs="Arial"/>
          <w:i/>
          <w:iCs/>
        </w:rPr>
      </w:pPr>
    </w:p>
    <w:p w14:paraId="6BB2E2B6" w14:textId="77777777" w:rsidR="00031774" w:rsidRPr="00031774" w:rsidRDefault="00031774" w:rsidP="00031774">
      <w:pPr>
        <w:ind w:left="284"/>
        <w:rPr>
          <w:rFonts w:cs="Arial"/>
          <w:i/>
          <w:iCs/>
        </w:rPr>
      </w:pPr>
    </w:p>
    <w:p w14:paraId="340F7ECC" w14:textId="3D4BA44E" w:rsidR="00031774" w:rsidRPr="00031774" w:rsidRDefault="00F91030" w:rsidP="00A96D7E">
      <w:pPr>
        <w:rPr>
          <w:rFonts w:cs="Arial"/>
          <w:i/>
          <w:iCs/>
        </w:rPr>
      </w:pPr>
      <w:r>
        <w:rPr>
          <w:rFonts w:cs="Arial"/>
        </w:rPr>
        <w:t xml:space="preserve">La memoria de </w:t>
      </w:r>
      <w:r w:rsidR="00184928">
        <w:rPr>
          <w:rFonts w:cs="Arial"/>
        </w:rPr>
        <w:t>cálculo</w:t>
      </w:r>
      <w:r w:rsidR="0015376E">
        <w:rPr>
          <w:rFonts w:cs="Arial"/>
        </w:rPr>
        <w:t xml:space="preserve"> se p</w:t>
      </w:r>
      <w:r w:rsidR="00184928">
        <w:rPr>
          <w:rFonts w:cs="Arial"/>
        </w:rPr>
        <w:t>ublic</w:t>
      </w:r>
      <w:r w:rsidR="00A96D7E">
        <w:rPr>
          <w:rFonts w:cs="Arial"/>
        </w:rPr>
        <w:t xml:space="preserve">ó </w:t>
      </w:r>
      <w:r w:rsidR="00A46CE7">
        <w:rPr>
          <w:rFonts w:cs="Arial"/>
        </w:rPr>
        <w:t xml:space="preserve">en la página </w:t>
      </w:r>
      <w:r w:rsidR="009977B4">
        <w:rPr>
          <w:rFonts w:cs="Arial"/>
        </w:rPr>
        <w:t xml:space="preserve">web </w:t>
      </w:r>
      <w:r w:rsidR="00A46CE7">
        <w:rPr>
          <w:rFonts w:cs="Arial"/>
        </w:rPr>
        <w:t xml:space="preserve">de </w:t>
      </w:r>
      <w:r w:rsidR="009977B4">
        <w:rPr>
          <w:rFonts w:cs="Arial"/>
        </w:rPr>
        <w:t>l</w:t>
      </w:r>
      <w:r w:rsidR="00A46CE7">
        <w:rPr>
          <w:rFonts w:cs="Arial"/>
        </w:rPr>
        <w:t xml:space="preserve">a </w:t>
      </w:r>
      <w:r w:rsidR="00884C54">
        <w:rPr>
          <w:rFonts w:cs="Arial"/>
        </w:rPr>
        <w:t>Comisión,</w:t>
      </w:r>
      <w:r w:rsidR="00A46CE7">
        <w:rPr>
          <w:rFonts w:cs="Arial"/>
        </w:rPr>
        <w:t xml:space="preserve"> </w:t>
      </w:r>
      <w:r w:rsidR="001F3443">
        <w:rPr>
          <w:rFonts w:cs="Arial"/>
        </w:rPr>
        <w:t xml:space="preserve">así como el </w:t>
      </w:r>
      <w:r w:rsidR="00A96D7E">
        <w:rPr>
          <w:rFonts w:cs="Arial"/>
        </w:rPr>
        <w:t xml:space="preserve">documento </w:t>
      </w:r>
      <w:r w:rsidR="009977B4">
        <w:rPr>
          <w:rFonts w:cs="Arial"/>
        </w:rPr>
        <w:t>soporte</w:t>
      </w:r>
      <w:r w:rsidR="005D2DF9">
        <w:rPr>
          <w:rFonts w:cs="Arial"/>
        </w:rPr>
        <w:t xml:space="preserve"> </w:t>
      </w:r>
      <w:r w:rsidR="00BD3F98">
        <w:rPr>
          <w:rFonts w:cs="Arial"/>
        </w:rPr>
        <w:t>(C</w:t>
      </w:r>
      <w:r w:rsidR="00A96D7E">
        <w:rPr>
          <w:rFonts w:cs="Arial"/>
        </w:rPr>
        <w:t xml:space="preserve">REG </w:t>
      </w:r>
      <w:r w:rsidR="001F3443">
        <w:rPr>
          <w:rFonts w:cs="Arial"/>
        </w:rPr>
        <w:t>D-701 016</w:t>
      </w:r>
      <w:r w:rsidR="00BD3F98">
        <w:rPr>
          <w:rFonts w:cs="Arial"/>
        </w:rPr>
        <w:t>)</w:t>
      </w:r>
      <w:r w:rsidR="005D2DF9">
        <w:rPr>
          <w:rFonts w:cs="Arial"/>
        </w:rPr>
        <w:t>.</w:t>
      </w:r>
    </w:p>
    <w:p w14:paraId="3EEEFE9A" w14:textId="77777777" w:rsidR="00031774" w:rsidRPr="00031774" w:rsidRDefault="00031774" w:rsidP="00031774">
      <w:pPr>
        <w:ind w:left="284"/>
        <w:rPr>
          <w:rFonts w:cs="Arial"/>
          <w:i/>
          <w:iCs/>
        </w:rPr>
      </w:pPr>
    </w:p>
    <w:p w14:paraId="3BD78F7C" w14:textId="77777777" w:rsidR="00031774" w:rsidRPr="00031774" w:rsidRDefault="00031774" w:rsidP="007134BE">
      <w:pPr>
        <w:pStyle w:val="Prrafodelista"/>
        <w:numPr>
          <w:ilvl w:val="0"/>
          <w:numId w:val="13"/>
        </w:numPr>
        <w:rPr>
          <w:rFonts w:cs="Arial"/>
          <w:i/>
          <w:iCs/>
        </w:rPr>
      </w:pPr>
    </w:p>
    <w:p w14:paraId="72444D2F" w14:textId="77777777" w:rsidR="00031774" w:rsidRPr="00031774" w:rsidRDefault="00031774" w:rsidP="00031774">
      <w:pPr>
        <w:ind w:left="284"/>
        <w:rPr>
          <w:rFonts w:cs="Arial"/>
          <w:i/>
          <w:iCs/>
        </w:rPr>
      </w:pPr>
    </w:p>
    <w:p w14:paraId="02BFE671" w14:textId="333C9A53" w:rsidR="00031774" w:rsidRPr="00E922AD" w:rsidRDefault="00E922AD" w:rsidP="00E922AD">
      <w:pPr>
        <w:ind w:left="284"/>
        <w:rPr>
          <w:rFonts w:cs="Arial"/>
          <w:i/>
          <w:iCs/>
          <w:sz w:val="22"/>
          <w:szCs w:val="18"/>
        </w:rPr>
      </w:pPr>
      <w:r w:rsidRPr="00E922AD">
        <w:rPr>
          <w:rFonts w:cs="Arial"/>
          <w:i/>
          <w:iCs/>
          <w:color w:val="000000"/>
          <w:sz w:val="20"/>
          <w:lang w:val="es-CO" w:eastAsia="es-CO"/>
        </w:rPr>
        <w:t>“Por otro lado, proponemos que para la fecha de la tasa de descuento se tenga en cuenta la información prevista que esté disponible hasta el mes de diciembre de 2022, esto debido a que es importante que el cálculo tenga en cuenta la situación económica que se vivió en el segundo semestre del año pasado, más cercana al escenario macroeconómico esperado en el mediano plazo.”</w:t>
      </w:r>
    </w:p>
    <w:p w14:paraId="4811B7BF" w14:textId="77777777" w:rsidR="00031774" w:rsidRDefault="00031774" w:rsidP="00031774">
      <w:pPr>
        <w:ind w:left="284"/>
        <w:rPr>
          <w:rFonts w:cs="Arial"/>
          <w:i/>
          <w:iCs/>
        </w:rPr>
      </w:pPr>
    </w:p>
    <w:p w14:paraId="23D8CE72" w14:textId="77777777" w:rsidR="00E922AD" w:rsidRPr="00E922AD" w:rsidRDefault="00E922AD" w:rsidP="007134BE">
      <w:pPr>
        <w:pStyle w:val="Prrafodelista"/>
        <w:numPr>
          <w:ilvl w:val="0"/>
          <w:numId w:val="16"/>
        </w:numPr>
        <w:rPr>
          <w:rFonts w:cs="Arial"/>
          <w:i/>
          <w:iCs/>
        </w:rPr>
      </w:pPr>
    </w:p>
    <w:p w14:paraId="61085A2D" w14:textId="77777777" w:rsidR="00E922AD" w:rsidRDefault="00E922AD" w:rsidP="00E922AD">
      <w:pPr>
        <w:rPr>
          <w:lang w:val="es-CO"/>
        </w:rPr>
      </w:pPr>
    </w:p>
    <w:p w14:paraId="5EC7CB4D" w14:textId="2C4D6439" w:rsidR="00E922AD" w:rsidRDefault="00597749" w:rsidP="00E922AD">
      <w:pPr>
        <w:rPr>
          <w:lang w:val="es-CO"/>
        </w:rPr>
      </w:pPr>
      <w:r>
        <w:rPr>
          <w:lang w:val="es-CO"/>
        </w:rPr>
        <w:t>En atención a este comentario, l</w:t>
      </w:r>
      <w:r w:rsidR="00884C54">
        <w:rPr>
          <w:lang w:val="es-CO"/>
        </w:rPr>
        <w:t xml:space="preserve">a </w:t>
      </w:r>
      <w:r w:rsidR="00147A9D">
        <w:rPr>
          <w:lang w:val="es-CO"/>
        </w:rPr>
        <w:t>fecha de corte</w:t>
      </w:r>
      <w:r w:rsidR="00D64DA3">
        <w:rPr>
          <w:lang w:val="es-CO"/>
        </w:rPr>
        <w:t xml:space="preserve"> </w:t>
      </w:r>
      <w:r w:rsidR="00EF726B">
        <w:rPr>
          <w:lang w:val="es-CO"/>
        </w:rPr>
        <w:t>considerada para establecer la tasa de descuento aplicable a la prestación del servicio de energía eléctrica mediante Soluciones Individua</w:t>
      </w:r>
      <w:r w:rsidR="00665AA7">
        <w:rPr>
          <w:lang w:val="es-CO"/>
        </w:rPr>
        <w:t>les Solares Fotovoltaicas; SISFV, es el 31 de julio de 2023</w:t>
      </w:r>
      <w:r w:rsidR="00E24492">
        <w:rPr>
          <w:lang w:val="es-CO"/>
        </w:rPr>
        <w:t>.</w:t>
      </w:r>
    </w:p>
    <w:p w14:paraId="5BE54C9E" w14:textId="77777777" w:rsidR="00B97A1E" w:rsidRDefault="00B97A1E" w:rsidP="00E922AD">
      <w:pPr>
        <w:rPr>
          <w:lang w:val="es-CO"/>
        </w:rPr>
      </w:pPr>
    </w:p>
    <w:p w14:paraId="6431DB1A" w14:textId="77777777" w:rsidR="00E922AD" w:rsidRPr="00E922AD" w:rsidRDefault="00E922AD" w:rsidP="007134BE">
      <w:pPr>
        <w:pStyle w:val="Prrafodelista"/>
        <w:numPr>
          <w:ilvl w:val="0"/>
          <w:numId w:val="13"/>
        </w:numPr>
        <w:autoSpaceDE w:val="0"/>
        <w:autoSpaceDN w:val="0"/>
        <w:adjustRightInd w:val="0"/>
        <w:contextualSpacing w:val="0"/>
        <w:jc w:val="left"/>
        <w:rPr>
          <w:rFonts w:cs="Arial"/>
          <w:color w:val="000000"/>
          <w:szCs w:val="24"/>
          <w:lang w:val="es-CO" w:eastAsia="es-CO"/>
        </w:rPr>
      </w:pPr>
    </w:p>
    <w:p w14:paraId="226C1823" w14:textId="77777777" w:rsidR="00E922AD" w:rsidRDefault="00E922AD" w:rsidP="00E922AD">
      <w:pPr>
        <w:rPr>
          <w:rFonts w:cs="Arial"/>
          <w:color w:val="000000"/>
          <w:sz w:val="22"/>
          <w:szCs w:val="22"/>
          <w:lang w:val="es-CO" w:eastAsia="es-CO"/>
        </w:rPr>
      </w:pPr>
    </w:p>
    <w:p w14:paraId="724C392C" w14:textId="22136916" w:rsidR="00E922AD" w:rsidRDefault="00B97A1E" w:rsidP="00E922AD">
      <w:pPr>
        <w:ind w:left="284"/>
        <w:rPr>
          <w:rFonts w:cs="Arial"/>
          <w:i/>
          <w:iCs/>
          <w:color w:val="000000"/>
          <w:sz w:val="20"/>
          <w:lang w:val="es-CO" w:eastAsia="es-CO"/>
        </w:rPr>
      </w:pPr>
      <w:r>
        <w:rPr>
          <w:rFonts w:cs="Arial"/>
          <w:i/>
          <w:iCs/>
          <w:color w:val="000000"/>
          <w:sz w:val="20"/>
          <w:lang w:val="es-CO" w:eastAsia="es-CO"/>
        </w:rPr>
        <w:t>“</w:t>
      </w:r>
      <w:r w:rsidR="00E922AD" w:rsidRPr="00E922AD">
        <w:rPr>
          <w:rFonts w:cs="Arial"/>
          <w:i/>
          <w:iCs/>
          <w:color w:val="000000"/>
          <w:sz w:val="20"/>
          <w:lang w:val="es-CO" w:eastAsia="es-CO"/>
        </w:rPr>
        <w:t>Teniendo en cuenta que el modelo de remuneración establecido en la Resolución tiene un alto riesgo, pues gran parte del ingreso depende de los subsidios (Resolución MME 182138/07), vemos que la tasa de descuento propuesta no refleja la situación actual del mercado y el desarrollo de este tipo proyectos; por lo tanto, es fundamental contar con una tasa de descuento más acorde ante este nivel de riesgo (dependencia de ingresos por subsidios).</w:t>
      </w:r>
      <w:r>
        <w:rPr>
          <w:rFonts w:cs="Arial"/>
          <w:i/>
          <w:iCs/>
          <w:color w:val="000000"/>
          <w:sz w:val="20"/>
          <w:lang w:val="es-CO" w:eastAsia="es-CO"/>
        </w:rPr>
        <w:t>”</w:t>
      </w:r>
    </w:p>
    <w:p w14:paraId="3E42D8B9" w14:textId="77777777" w:rsidR="00B97A1E" w:rsidRDefault="00B97A1E" w:rsidP="00E922AD">
      <w:pPr>
        <w:ind w:left="284"/>
        <w:rPr>
          <w:rFonts w:cs="Arial"/>
          <w:i/>
          <w:iCs/>
          <w:color w:val="000000"/>
          <w:sz w:val="20"/>
          <w:lang w:val="es-CO" w:eastAsia="es-CO"/>
        </w:rPr>
      </w:pPr>
    </w:p>
    <w:p w14:paraId="61A027E5" w14:textId="77777777" w:rsidR="00B97A1E" w:rsidRPr="00B97A1E" w:rsidRDefault="00B97A1E" w:rsidP="007134BE">
      <w:pPr>
        <w:pStyle w:val="Prrafodelista"/>
        <w:numPr>
          <w:ilvl w:val="0"/>
          <w:numId w:val="16"/>
        </w:numPr>
        <w:rPr>
          <w:rFonts w:cs="Arial"/>
          <w:i/>
          <w:iCs/>
          <w:color w:val="000000"/>
          <w:sz w:val="20"/>
          <w:lang w:val="es-CO" w:eastAsia="es-CO"/>
        </w:rPr>
      </w:pPr>
    </w:p>
    <w:p w14:paraId="782D81CD" w14:textId="77777777" w:rsidR="00B97A1E" w:rsidRDefault="00B97A1E" w:rsidP="005A54E5">
      <w:pPr>
        <w:rPr>
          <w:lang w:val="es-CO" w:eastAsia="es-CO"/>
        </w:rPr>
      </w:pPr>
    </w:p>
    <w:p w14:paraId="268A0B0D" w14:textId="7F00BEEE" w:rsidR="00B97A1E" w:rsidRDefault="004C5327" w:rsidP="005A54E5">
      <w:pPr>
        <w:rPr>
          <w:lang w:val="es-CO" w:eastAsia="es-CO"/>
        </w:rPr>
      </w:pPr>
      <w:r>
        <w:rPr>
          <w:lang w:val="es-CO" w:eastAsia="es-CO"/>
        </w:rPr>
        <w:t>En este sentido,</w:t>
      </w:r>
      <w:r w:rsidR="00312B8B">
        <w:rPr>
          <w:lang w:val="es-CO" w:eastAsia="es-CO"/>
        </w:rPr>
        <w:t xml:space="preserve"> se debe aclarar que </w:t>
      </w:r>
      <w:r w:rsidR="00B544F7">
        <w:rPr>
          <w:lang w:val="es-CO" w:eastAsia="es-CO"/>
        </w:rPr>
        <w:t>l</w:t>
      </w:r>
      <w:r w:rsidR="00B544F7" w:rsidRPr="00B544F7">
        <w:rPr>
          <w:lang w:val="es-CO" w:eastAsia="es-CO"/>
        </w:rPr>
        <w:t>a remuneración definida por la Comisión contempla las actividades necesarias para la prestación eficiente del servicio</w:t>
      </w:r>
      <w:r>
        <w:rPr>
          <w:lang w:val="es-CO" w:eastAsia="es-CO"/>
        </w:rPr>
        <w:t xml:space="preserve"> de energía eléctrica mediante SISFV</w:t>
      </w:r>
      <w:r w:rsidR="00B544F7" w:rsidRPr="00B544F7">
        <w:rPr>
          <w:lang w:val="es-CO" w:eastAsia="es-CO"/>
        </w:rPr>
        <w:t>. Los subsidios son definidos por el M</w:t>
      </w:r>
      <w:r w:rsidR="00B544F7">
        <w:rPr>
          <w:lang w:val="es-CO" w:eastAsia="es-CO"/>
        </w:rPr>
        <w:t>inisterio de Minas y Energía</w:t>
      </w:r>
      <w:r w:rsidR="00B544F7" w:rsidRPr="00B544F7">
        <w:rPr>
          <w:lang w:val="es-CO" w:eastAsia="es-CO"/>
        </w:rPr>
        <w:t xml:space="preserve"> de manera independiente</w:t>
      </w:r>
      <w:r w:rsidR="00B544F7">
        <w:rPr>
          <w:lang w:val="es-CO" w:eastAsia="es-CO"/>
        </w:rPr>
        <w:t>.</w:t>
      </w:r>
    </w:p>
    <w:p w14:paraId="33473FFA" w14:textId="77777777" w:rsidR="003F34CC" w:rsidRDefault="003F34CC" w:rsidP="005A54E5">
      <w:pPr>
        <w:rPr>
          <w:lang w:val="es-CO" w:eastAsia="es-CO"/>
        </w:rPr>
      </w:pPr>
    </w:p>
    <w:p w14:paraId="7F1075BD" w14:textId="77777777" w:rsidR="00B97A1E" w:rsidRPr="00B97A1E" w:rsidRDefault="00B97A1E" w:rsidP="007134BE">
      <w:pPr>
        <w:pStyle w:val="Prrafodelista"/>
        <w:numPr>
          <w:ilvl w:val="0"/>
          <w:numId w:val="13"/>
        </w:numPr>
        <w:rPr>
          <w:i/>
          <w:iCs/>
          <w:lang w:val="es-CO"/>
        </w:rPr>
      </w:pPr>
    </w:p>
    <w:p w14:paraId="3EA18936" w14:textId="77777777" w:rsidR="00B97A1E" w:rsidRDefault="00B97A1E" w:rsidP="00B97A1E">
      <w:pPr>
        <w:rPr>
          <w:lang w:val="es-CO"/>
        </w:rPr>
      </w:pPr>
    </w:p>
    <w:p w14:paraId="29A1B260" w14:textId="1E380A0B" w:rsidR="00B97A1E" w:rsidRPr="00B97A1E" w:rsidRDefault="003F34CC" w:rsidP="00B97A1E">
      <w:pPr>
        <w:ind w:left="284"/>
        <w:rPr>
          <w:i/>
          <w:iCs/>
          <w:lang w:val="es-CO"/>
        </w:rPr>
      </w:pPr>
      <w:r>
        <w:rPr>
          <w:i/>
          <w:iCs/>
          <w:sz w:val="20"/>
        </w:rPr>
        <w:t>“</w:t>
      </w:r>
      <w:r w:rsidR="00B97A1E" w:rsidRPr="00B97A1E">
        <w:rPr>
          <w:i/>
          <w:iCs/>
          <w:sz w:val="20"/>
        </w:rPr>
        <w:t>En línea con lo anterior, consideramos también importante que esto sea revisado por parte de la Comisión teniendo en cuenta los indicadores económicos actuales, como lo son: TRM, IPP, IPC, riesgo país, tasas de interés e inflación, y se determine una tasa que permita la viabilidad económica de los proyectos en la actualidad.</w:t>
      </w:r>
      <w:r>
        <w:rPr>
          <w:i/>
          <w:iCs/>
          <w:sz w:val="20"/>
        </w:rPr>
        <w:t>”</w:t>
      </w:r>
    </w:p>
    <w:p w14:paraId="5C7C35DA" w14:textId="77777777" w:rsidR="00B97A1E" w:rsidRDefault="00B97A1E" w:rsidP="00B97A1E">
      <w:pPr>
        <w:rPr>
          <w:lang w:val="es-CO"/>
        </w:rPr>
      </w:pPr>
    </w:p>
    <w:p w14:paraId="183E35F8" w14:textId="77777777" w:rsidR="00B97A1E" w:rsidRPr="003F34CC" w:rsidRDefault="00B97A1E" w:rsidP="007134BE">
      <w:pPr>
        <w:pStyle w:val="Prrafodelista"/>
        <w:numPr>
          <w:ilvl w:val="0"/>
          <w:numId w:val="16"/>
        </w:numPr>
        <w:rPr>
          <w:lang w:val="es-CO"/>
        </w:rPr>
      </w:pPr>
    </w:p>
    <w:p w14:paraId="67005670" w14:textId="77777777" w:rsidR="00B97A1E" w:rsidRDefault="00B97A1E" w:rsidP="00B97A1E">
      <w:pPr>
        <w:rPr>
          <w:lang w:val="es-CO"/>
        </w:rPr>
      </w:pPr>
    </w:p>
    <w:p w14:paraId="40CA9FE4" w14:textId="26BD89E4" w:rsidR="00B507B3" w:rsidRDefault="0087719E" w:rsidP="00B97A1E">
      <w:pPr>
        <w:rPr>
          <w:lang w:val="es-CO"/>
        </w:rPr>
      </w:pPr>
      <w:r>
        <w:rPr>
          <w:lang w:val="es-CO"/>
        </w:rPr>
        <w:t>En cuanto a los indicadores menc</w:t>
      </w:r>
      <w:r w:rsidR="00BE02B4">
        <w:rPr>
          <w:lang w:val="es-CO"/>
        </w:rPr>
        <w:t>ionados en el comentario</w:t>
      </w:r>
      <w:r w:rsidR="00FD05C6">
        <w:rPr>
          <w:lang w:val="es-CO"/>
        </w:rPr>
        <w:t xml:space="preserve"> se debe mencionar </w:t>
      </w:r>
      <w:r w:rsidR="00277D8F">
        <w:rPr>
          <w:lang w:val="es-CO"/>
        </w:rPr>
        <w:t>que la t</w:t>
      </w:r>
      <w:r w:rsidR="00624A85">
        <w:rPr>
          <w:lang w:val="es-CO"/>
        </w:rPr>
        <w:t>a</w:t>
      </w:r>
      <w:r w:rsidR="00277D8F">
        <w:rPr>
          <w:lang w:val="es-CO"/>
        </w:rPr>
        <w:t>sa de descuento</w:t>
      </w:r>
      <w:r w:rsidR="00624A85">
        <w:rPr>
          <w:lang w:val="es-CO"/>
        </w:rPr>
        <w:t xml:space="preserve"> para las diferentes actividades que son reguladas por la CREG se determina de acuerdo con la metodología definida en la resolución CREG 004 de 2021</w:t>
      </w:r>
      <w:r w:rsidR="002D5502">
        <w:rPr>
          <w:lang w:val="es-CO"/>
        </w:rPr>
        <w:t xml:space="preserve">. </w:t>
      </w:r>
      <w:r w:rsidR="00D014D7">
        <w:rPr>
          <w:lang w:val="es-CO"/>
        </w:rPr>
        <w:t>Ver respuesta al comentario 9.</w:t>
      </w:r>
    </w:p>
    <w:p w14:paraId="0C66C724" w14:textId="77777777" w:rsidR="00B507B3" w:rsidRDefault="00B507B3" w:rsidP="00B97A1E">
      <w:pPr>
        <w:rPr>
          <w:lang w:val="es-CO"/>
        </w:rPr>
      </w:pPr>
    </w:p>
    <w:p w14:paraId="26B1EA30" w14:textId="77777777" w:rsidR="00B97A1E" w:rsidRPr="003F34CC" w:rsidRDefault="00B97A1E" w:rsidP="007134BE">
      <w:pPr>
        <w:pStyle w:val="Prrafodelista"/>
        <w:numPr>
          <w:ilvl w:val="0"/>
          <w:numId w:val="13"/>
        </w:numPr>
        <w:rPr>
          <w:lang w:val="es-CO"/>
        </w:rPr>
      </w:pPr>
    </w:p>
    <w:p w14:paraId="053C8619" w14:textId="77777777" w:rsidR="003F34CC" w:rsidRDefault="003F34CC" w:rsidP="00B97A1E">
      <w:pPr>
        <w:rPr>
          <w:lang w:val="es-CO"/>
        </w:rPr>
      </w:pPr>
    </w:p>
    <w:p w14:paraId="4D798725" w14:textId="179D3CA6" w:rsidR="003F34CC" w:rsidRPr="003F34CC" w:rsidRDefault="003F34CC" w:rsidP="003F34CC">
      <w:pPr>
        <w:autoSpaceDE w:val="0"/>
        <w:autoSpaceDN w:val="0"/>
        <w:adjustRightInd w:val="0"/>
        <w:ind w:left="284"/>
        <w:contextualSpacing w:val="0"/>
        <w:rPr>
          <w:rFonts w:cs="Arial"/>
          <w:i/>
          <w:iCs/>
          <w:color w:val="000000"/>
          <w:sz w:val="20"/>
          <w:lang w:val="es-CO" w:eastAsia="es-CO"/>
        </w:rPr>
      </w:pPr>
      <w:r>
        <w:rPr>
          <w:rFonts w:cs="Arial"/>
          <w:i/>
          <w:iCs/>
          <w:color w:val="000000"/>
          <w:sz w:val="20"/>
          <w:lang w:val="es-CO" w:eastAsia="es-CO"/>
        </w:rPr>
        <w:lastRenderedPageBreak/>
        <w:t>“</w:t>
      </w:r>
      <w:r w:rsidRPr="003F34CC">
        <w:rPr>
          <w:rFonts w:cs="Arial"/>
          <w:i/>
          <w:iCs/>
          <w:color w:val="000000"/>
          <w:sz w:val="20"/>
          <w:lang w:val="es-CO" w:eastAsia="es-CO"/>
        </w:rPr>
        <w:t xml:space="preserve">Adicionalmente, en los considerandos del Proyecto de Resolución se menciona el siguiente texto: </w:t>
      </w:r>
    </w:p>
    <w:p w14:paraId="728FB19D" w14:textId="77777777" w:rsidR="003F34CC" w:rsidRDefault="003F34CC" w:rsidP="003F34CC">
      <w:pPr>
        <w:autoSpaceDE w:val="0"/>
        <w:autoSpaceDN w:val="0"/>
        <w:adjustRightInd w:val="0"/>
        <w:ind w:left="284"/>
        <w:contextualSpacing w:val="0"/>
        <w:rPr>
          <w:rFonts w:cs="Arial"/>
          <w:i/>
          <w:iCs/>
          <w:color w:val="000000"/>
          <w:sz w:val="20"/>
          <w:lang w:val="es-CO" w:eastAsia="es-CO"/>
        </w:rPr>
      </w:pPr>
    </w:p>
    <w:p w14:paraId="495DEA3E" w14:textId="4BE02F9F" w:rsidR="003F34CC" w:rsidRPr="003F34CC" w:rsidRDefault="003F34CC" w:rsidP="003F34CC">
      <w:pPr>
        <w:autoSpaceDE w:val="0"/>
        <w:autoSpaceDN w:val="0"/>
        <w:adjustRightInd w:val="0"/>
        <w:ind w:left="284"/>
        <w:contextualSpacing w:val="0"/>
        <w:rPr>
          <w:rFonts w:cs="Arial"/>
          <w:i/>
          <w:iCs/>
          <w:color w:val="000000"/>
          <w:sz w:val="20"/>
          <w:lang w:val="es-CO" w:eastAsia="es-CO"/>
        </w:rPr>
      </w:pPr>
      <w:r w:rsidRPr="003F34CC">
        <w:rPr>
          <w:rFonts w:cs="Arial"/>
          <w:i/>
          <w:iCs/>
          <w:color w:val="000000"/>
          <w:sz w:val="20"/>
          <w:lang w:val="es-CO" w:eastAsia="es-CO"/>
        </w:rPr>
        <w:t xml:space="preserve">“(..) Que con la Resolución CREG 105 003A de 2022 se autorizó que cuando para la actividad a, objeto del cálculo de la tasa de descuento, no se encuentren valores en </w:t>
      </w:r>
      <w:proofErr w:type="spellStart"/>
      <w:r w:rsidRPr="003F34CC">
        <w:rPr>
          <w:rFonts w:cs="Arial"/>
          <w:i/>
          <w:iCs/>
          <w:color w:val="000000"/>
          <w:sz w:val="20"/>
          <w:lang w:val="es-CO" w:eastAsia="es-CO"/>
        </w:rPr>
        <w:t>Duff</w:t>
      </w:r>
      <w:proofErr w:type="spellEnd"/>
      <w:r w:rsidRPr="003F34CC">
        <w:rPr>
          <w:rFonts w:cs="Arial"/>
          <w:i/>
          <w:iCs/>
          <w:color w:val="000000"/>
          <w:sz w:val="20"/>
          <w:lang w:val="es-CO" w:eastAsia="es-CO"/>
        </w:rPr>
        <w:t xml:space="preserve"> &amp; Phelps (ahora KROLL) para el respectivo código industrial de referencia de la clasificación GICS (Global </w:t>
      </w:r>
      <w:proofErr w:type="spellStart"/>
      <w:r w:rsidRPr="003F34CC">
        <w:rPr>
          <w:rFonts w:cs="Arial"/>
          <w:i/>
          <w:iCs/>
          <w:color w:val="000000"/>
          <w:sz w:val="20"/>
          <w:lang w:val="es-CO" w:eastAsia="es-CO"/>
        </w:rPr>
        <w:t>Industry</w:t>
      </w:r>
      <w:proofErr w:type="spellEnd"/>
      <w:r w:rsidRPr="003F34CC">
        <w:rPr>
          <w:rFonts w:cs="Arial"/>
          <w:i/>
          <w:iCs/>
          <w:color w:val="000000"/>
          <w:sz w:val="20"/>
          <w:lang w:val="es-CO" w:eastAsia="es-CO"/>
        </w:rPr>
        <w:t xml:space="preserve"> </w:t>
      </w:r>
      <w:proofErr w:type="spellStart"/>
      <w:r w:rsidRPr="003F34CC">
        <w:rPr>
          <w:rFonts w:cs="Arial"/>
          <w:i/>
          <w:iCs/>
          <w:color w:val="000000"/>
          <w:sz w:val="20"/>
          <w:lang w:val="es-CO" w:eastAsia="es-CO"/>
        </w:rPr>
        <w:t>Classification</w:t>
      </w:r>
      <w:proofErr w:type="spellEnd"/>
      <w:r w:rsidRPr="003F34CC">
        <w:rPr>
          <w:rFonts w:cs="Arial"/>
          <w:i/>
          <w:iCs/>
          <w:color w:val="000000"/>
          <w:sz w:val="20"/>
          <w:lang w:val="es-CO" w:eastAsia="es-CO"/>
        </w:rPr>
        <w:t xml:space="preserve"> Standard), o el que lo sustituya, para realizar el cálculo se utilizará como fuente alterna el servicio de información Bloomberg. (…)” </w:t>
      </w:r>
    </w:p>
    <w:p w14:paraId="682E1B74" w14:textId="77777777" w:rsidR="003F34CC" w:rsidRDefault="003F34CC" w:rsidP="003F34CC">
      <w:pPr>
        <w:ind w:left="284"/>
        <w:rPr>
          <w:rFonts w:cs="Arial"/>
          <w:i/>
          <w:iCs/>
          <w:color w:val="000000"/>
          <w:sz w:val="20"/>
          <w:lang w:val="es-CO" w:eastAsia="es-CO"/>
        </w:rPr>
      </w:pPr>
    </w:p>
    <w:p w14:paraId="3877BC60" w14:textId="44C965CC" w:rsidR="00B97A1E" w:rsidRPr="003F34CC" w:rsidRDefault="003F34CC" w:rsidP="003F34CC">
      <w:pPr>
        <w:ind w:left="284"/>
        <w:rPr>
          <w:i/>
          <w:iCs/>
          <w:lang w:val="es-CO"/>
        </w:rPr>
      </w:pPr>
      <w:r w:rsidRPr="003F34CC">
        <w:rPr>
          <w:rFonts w:cs="Arial"/>
          <w:i/>
          <w:iCs/>
          <w:color w:val="000000"/>
          <w:sz w:val="20"/>
          <w:lang w:val="es-CO" w:eastAsia="es-CO"/>
        </w:rPr>
        <w:t xml:space="preserve">En la sección de resoluciones de la página de la CREG no </w:t>
      </w:r>
      <w:proofErr w:type="spellStart"/>
      <w:r w:rsidRPr="003F34CC">
        <w:rPr>
          <w:rFonts w:cs="Arial"/>
          <w:i/>
          <w:iCs/>
          <w:color w:val="000000"/>
          <w:sz w:val="20"/>
          <w:lang w:val="es-CO" w:eastAsia="es-CO"/>
        </w:rPr>
        <w:t>esta</w:t>
      </w:r>
      <w:proofErr w:type="spellEnd"/>
      <w:r w:rsidRPr="003F34CC">
        <w:rPr>
          <w:rFonts w:cs="Arial"/>
          <w:i/>
          <w:iCs/>
          <w:color w:val="000000"/>
          <w:sz w:val="20"/>
          <w:lang w:val="es-CO" w:eastAsia="es-CO"/>
        </w:rPr>
        <w:t xml:space="preserve"> disponible la Res CREG 105 003A de 2022, por lo tanto, solicitamos amablemente que se publique y aclare la resolución en mención.</w:t>
      </w:r>
      <w:r>
        <w:rPr>
          <w:rFonts w:cs="Arial"/>
          <w:i/>
          <w:iCs/>
          <w:color w:val="000000"/>
          <w:sz w:val="20"/>
          <w:lang w:val="es-CO" w:eastAsia="es-CO"/>
        </w:rPr>
        <w:t>”</w:t>
      </w:r>
    </w:p>
    <w:p w14:paraId="7F78BE00" w14:textId="77777777" w:rsidR="00B97A1E" w:rsidRDefault="00B97A1E" w:rsidP="00B97A1E">
      <w:pPr>
        <w:rPr>
          <w:lang w:val="es-CO"/>
        </w:rPr>
      </w:pPr>
    </w:p>
    <w:p w14:paraId="3384F7A9" w14:textId="77777777" w:rsidR="00B97A1E" w:rsidRPr="003F34CC" w:rsidRDefault="00B97A1E" w:rsidP="007134BE">
      <w:pPr>
        <w:pStyle w:val="Prrafodelista"/>
        <w:numPr>
          <w:ilvl w:val="0"/>
          <w:numId w:val="16"/>
        </w:numPr>
        <w:rPr>
          <w:lang w:val="es-CO"/>
        </w:rPr>
      </w:pPr>
    </w:p>
    <w:p w14:paraId="06D974B3" w14:textId="77777777" w:rsidR="00B97A1E" w:rsidRDefault="00B97A1E" w:rsidP="00B97A1E">
      <w:pPr>
        <w:rPr>
          <w:lang w:val="es-CO"/>
        </w:rPr>
      </w:pPr>
    </w:p>
    <w:p w14:paraId="38DD8DBF" w14:textId="37BF50B9" w:rsidR="00550744" w:rsidRDefault="007B02B4" w:rsidP="00B97A1E">
      <w:pPr>
        <w:rPr>
          <w:lang w:val="es-CO"/>
        </w:rPr>
      </w:pPr>
      <w:r w:rsidRPr="007B02B4">
        <w:rPr>
          <w:lang w:val="es-CO"/>
        </w:rPr>
        <w:t xml:space="preserve">La Resolución CREG 105 003A de 2022 </w:t>
      </w:r>
      <w:r w:rsidR="0097753F">
        <w:rPr>
          <w:lang w:val="es-CO"/>
        </w:rPr>
        <w:t>fue publicada en la página web de la Comisión el 18 de enero de 2023.</w:t>
      </w:r>
    </w:p>
    <w:p w14:paraId="099F0274" w14:textId="77777777" w:rsidR="00550744" w:rsidRDefault="00550744" w:rsidP="00B97A1E">
      <w:pPr>
        <w:rPr>
          <w:lang w:val="es-CO"/>
        </w:rPr>
      </w:pPr>
    </w:p>
    <w:p w14:paraId="2A22FB5F" w14:textId="1C2011D0" w:rsidR="00031774" w:rsidRDefault="00031774" w:rsidP="002F0764">
      <w:pPr>
        <w:pStyle w:val="Ttulo2"/>
        <w:numPr>
          <w:ilvl w:val="1"/>
          <w:numId w:val="7"/>
        </w:numPr>
        <w:rPr>
          <w:lang w:val="es-CO"/>
        </w:rPr>
      </w:pPr>
      <w:bookmarkStart w:id="20" w:name="_Toc147137559"/>
      <w:r w:rsidRPr="00031774">
        <w:rPr>
          <w:lang w:val="es-CO"/>
        </w:rPr>
        <w:t>Superintendencia de Servicios Públicos Domiciliarios, SSPD</w:t>
      </w:r>
      <w:r w:rsidR="00F30656">
        <w:rPr>
          <w:lang w:val="es-CO"/>
        </w:rPr>
        <w:t xml:space="preserve"> (E2022000688</w:t>
      </w:r>
      <w:r w:rsidR="00D7100E">
        <w:rPr>
          <w:lang w:val="es-CO"/>
        </w:rPr>
        <w:t xml:space="preserve"> y E2022000688)</w:t>
      </w:r>
      <w:bookmarkEnd w:id="20"/>
    </w:p>
    <w:p w14:paraId="33C8D66B" w14:textId="77777777" w:rsidR="00E922AD" w:rsidRPr="00F30656" w:rsidRDefault="00E922AD" w:rsidP="007134BE">
      <w:pPr>
        <w:pStyle w:val="Prrafodelista"/>
        <w:numPr>
          <w:ilvl w:val="0"/>
          <w:numId w:val="13"/>
        </w:numPr>
        <w:rPr>
          <w:lang w:val="es-CO"/>
        </w:rPr>
      </w:pPr>
    </w:p>
    <w:p w14:paraId="55D7C3B0" w14:textId="77777777" w:rsidR="00E922AD" w:rsidRPr="00E922AD" w:rsidRDefault="00E922AD" w:rsidP="00E922AD">
      <w:pPr>
        <w:rPr>
          <w:lang w:val="es-CO"/>
        </w:rPr>
      </w:pPr>
    </w:p>
    <w:p w14:paraId="6A7D4B1F" w14:textId="02A5DE41" w:rsidR="00F30656" w:rsidRDefault="00897491" w:rsidP="00524107">
      <w:pPr>
        <w:autoSpaceDE w:val="0"/>
        <w:autoSpaceDN w:val="0"/>
        <w:adjustRightInd w:val="0"/>
        <w:ind w:left="142"/>
        <w:contextualSpacing w:val="0"/>
        <w:jc w:val="left"/>
        <w:rPr>
          <w:rFonts w:cs="Arial"/>
          <w:i/>
          <w:iCs/>
          <w:sz w:val="20"/>
          <w:lang w:val="es-CO" w:eastAsia="es-CO"/>
        </w:rPr>
      </w:pPr>
      <w:r>
        <w:rPr>
          <w:rFonts w:cs="Arial"/>
          <w:i/>
          <w:iCs/>
          <w:sz w:val="20"/>
          <w:lang w:val="es-CO" w:eastAsia="es-CO"/>
        </w:rPr>
        <w:t>“</w:t>
      </w:r>
      <w:r w:rsidR="00F30656" w:rsidRPr="00F30656">
        <w:rPr>
          <w:rFonts w:cs="Arial"/>
          <w:i/>
          <w:iCs/>
          <w:sz w:val="20"/>
          <w:lang w:val="es-CO" w:eastAsia="es-CO"/>
        </w:rPr>
        <w:t>En el segundo párrafo del considerando se indica:</w:t>
      </w:r>
    </w:p>
    <w:p w14:paraId="0E09B731" w14:textId="77777777" w:rsidR="00F30656" w:rsidRPr="00F30656" w:rsidRDefault="00F30656" w:rsidP="00524107">
      <w:pPr>
        <w:autoSpaceDE w:val="0"/>
        <w:autoSpaceDN w:val="0"/>
        <w:adjustRightInd w:val="0"/>
        <w:ind w:left="142"/>
        <w:contextualSpacing w:val="0"/>
        <w:jc w:val="left"/>
        <w:rPr>
          <w:rFonts w:cs="Arial"/>
          <w:i/>
          <w:iCs/>
          <w:sz w:val="20"/>
          <w:lang w:val="es-CO" w:eastAsia="es-CO"/>
        </w:rPr>
      </w:pPr>
    </w:p>
    <w:p w14:paraId="7E2C9C06" w14:textId="49B5F376" w:rsidR="00F30656" w:rsidRPr="00F30656" w:rsidRDefault="00F30656" w:rsidP="00524107">
      <w:pPr>
        <w:autoSpaceDE w:val="0"/>
        <w:autoSpaceDN w:val="0"/>
        <w:adjustRightInd w:val="0"/>
        <w:ind w:left="142"/>
        <w:contextualSpacing w:val="0"/>
        <w:rPr>
          <w:rFonts w:cs="Arial"/>
          <w:i/>
          <w:iCs/>
          <w:sz w:val="20"/>
          <w:lang w:val="es-CO" w:eastAsia="es-CO"/>
        </w:rPr>
      </w:pPr>
      <w:r w:rsidRPr="00F30656">
        <w:rPr>
          <w:rFonts w:cs="Arial"/>
          <w:i/>
          <w:iCs/>
          <w:sz w:val="20"/>
          <w:lang w:val="es-CO" w:eastAsia="es-CO"/>
        </w:rPr>
        <w:t>“En el artículo 365 de la Constitución Política de Colombia se establece como finalidad</w:t>
      </w:r>
      <w:r>
        <w:rPr>
          <w:rFonts w:cs="Arial"/>
          <w:i/>
          <w:iCs/>
          <w:sz w:val="20"/>
          <w:lang w:val="es-CO" w:eastAsia="es-CO"/>
        </w:rPr>
        <w:t xml:space="preserve"> </w:t>
      </w:r>
      <w:r w:rsidRPr="00F30656">
        <w:rPr>
          <w:rFonts w:cs="Arial"/>
          <w:i/>
          <w:iCs/>
          <w:sz w:val="20"/>
          <w:lang w:val="es-CO" w:eastAsia="es-CO"/>
        </w:rPr>
        <w:t xml:space="preserve">social del Estado la </w:t>
      </w:r>
      <w:r w:rsidRPr="00F30656">
        <w:rPr>
          <w:rFonts w:cs="Arial"/>
          <w:b/>
          <w:bCs/>
          <w:i/>
          <w:iCs/>
          <w:sz w:val="20"/>
          <w:u w:val="single"/>
          <w:lang w:val="es-CO" w:eastAsia="es-CO"/>
        </w:rPr>
        <w:t>presentación</w:t>
      </w:r>
      <w:r w:rsidRPr="00F30656">
        <w:rPr>
          <w:rFonts w:cs="Arial"/>
          <w:b/>
          <w:bCs/>
          <w:i/>
          <w:iCs/>
          <w:sz w:val="20"/>
          <w:lang w:val="es-CO" w:eastAsia="es-CO"/>
        </w:rPr>
        <w:t xml:space="preserve"> </w:t>
      </w:r>
      <w:r w:rsidRPr="00F30656">
        <w:rPr>
          <w:rFonts w:cs="Arial"/>
          <w:i/>
          <w:iCs/>
          <w:sz w:val="20"/>
          <w:lang w:val="es-CO" w:eastAsia="es-CO"/>
        </w:rPr>
        <w:t>de los servicios públicos, y el deber de asegurar por</w:t>
      </w:r>
      <w:r>
        <w:rPr>
          <w:rFonts w:cs="Arial"/>
          <w:i/>
          <w:iCs/>
          <w:sz w:val="20"/>
          <w:lang w:val="es-CO" w:eastAsia="es-CO"/>
        </w:rPr>
        <w:t xml:space="preserve"> </w:t>
      </w:r>
      <w:r w:rsidRPr="00F30656">
        <w:rPr>
          <w:rFonts w:cs="Arial"/>
          <w:i/>
          <w:iCs/>
          <w:sz w:val="20"/>
          <w:lang w:val="es-CO" w:eastAsia="es-CO"/>
        </w:rPr>
        <w:t>parte de este la prestación eficiente a todos los habitantes del territorio nacional.”</w:t>
      </w:r>
    </w:p>
    <w:p w14:paraId="7C5F1F31" w14:textId="77777777" w:rsidR="00F30656" w:rsidRDefault="00F30656" w:rsidP="00524107">
      <w:pPr>
        <w:ind w:left="142"/>
        <w:rPr>
          <w:rFonts w:cs="Arial"/>
          <w:i/>
          <w:iCs/>
          <w:sz w:val="20"/>
          <w:lang w:val="es-CO" w:eastAsia="es-CO"/>
        </w:rPr>
      </w:pPr>
    </w:p>
    <w:p w14:paraId="229BC859" w14:textId="6449C032" w:rsidR="00031774" w:rsidRPr="00F30656" w:rsidRDefault="00F30656" w:rsidP="00524107">
      <w:pPr>
        <w:ind w:left="142"/>
        <w:rPr>
          <w:rFonts w:cs="Arial"/>
          <w:i/>
          <w:iCs/>
          <w:lang w:val="es-CO"/>
        </w:rPr>
      </w:pPr>
      <w:r w:rsidRPr="00F30656">
        <w:rPr>
          <w:rFonts w:cs="Arial"/>
          <w:i/>
          <w:iCs/>
          <w:sz w:val="20"/>
          <w:lang w:val="es-CO" w:eastAsia="es-CO"/>
        </w:rPr>
        <w:t>(Subrayado y negrita)</w:t>
      </w:r>
    </w:p>
    <w:p w14:paraId="3B9DF974" w14:textId="77777777" w:rsidR="00031774" w:rsidRDefault="00031774" w:rsidP="00524107">
      <w:pPr>
        <w:ind w:left="142"/>
        <w:rPr>
          <w:rFonts w:cs="Arial"/>
          <w:lang w:val="es-CO"/>
        </w:rPr>
      </w:pPr>
    </w:p>
    <w:p w14:paraId="27632F27" w14:textId="06214498" w:rsidR="00031774" w:rsidRDefault="00F30656" w:rsidP="00524107">
      <w:pPr>
        <w:autoSpaceDE w:val="0"/>
        <w:autoSpaceDN w:val="0"/>
        <w:adjustRightInd w:val="0"/>
        <w:ind w:left="142"/>
        <w:contextualSpacing w:val="0"/>
        <w:rPr>
          <w:rFonts w:cs="Arial"/>
          <w:i/>
          <w:iCs/>
          <w:sz w:val="20"/>
          <w:lang w:val="es-CO" w:eastAsia="es-CO"/>
        </w:rPr>
      </w:pPr>
      <w:r w:rsidRPr="00F30656">
        <w:rPr>
          <w:rFonts w:cs="Arial"/>
          <w:i/>
          <w:iCs/>
          <w:sz w:val="20"/>
          <w:lang w:val="es-CO" w:eastAsia="es-CO"/>
        </w:rPr>
        <w:t>Se sugiere ajustar la redacción a lo indicado en el artículo 365 de la CP, cambiando la "presentación" de servicios públicos, por la "prestación" de servicios públicos.</w:t>
      </w:r>
      <w:r w:rsidR="00897491">
        <w:rPr>
          <w:rFonts w:cs="Arial"/>
          <w:i/>
          <w:iCs/>
          <w:sz w:val="20"/>
          <w:lang w:val="es-CO" w:eastAsia="es-CO"/>
        </w:rPr>
        <w:t>”</w:t>
      </w:r>
    </w:p>
    <w:p w14:paraId="2458C636" w14:textId="77777777" w:rsidR="00F30656" w:rsidRPr="00F30656" w:rsidRDefault="00F30656" w:rsidP="00AD0C06">
      <w:pPr>
        <w:rPr>
          <w:lang w:val="es-CO" w:eastAsia="es-CO"/>
        </w:rPr>
      </w:pPr>
    </w:p>
    <w:p w14:paraId="2C45EADF" w14:textId="77777777" w:rsidR="00F30656" w:rsidRPr="00F30656" w:rsidRDefault="00F30656" w:rsidP="007134BE">
      <w:pPr>
        <w:pStyle w:val="Prrafodelista"/>
        <w:numPr>
          <w:ilvl w:val="0"/>
          <w:numId w:val="16"/>
        </w:numPr>
        <w:autoSpaceDE w:val="0"/>
        <w:autoSpaceDN w:val="0"/>
        <w:adjustRightInd w:val="0"/>
        <w:contextualSpacing w:val="0"/>
        <w:rPr>
          <w:rFonts w:cs="Arial"/>
          <w:i/>
          <w:iCs/>
          <w:szCs w:val="24"/>
          <w:lang w:val="es-CO" w:eastAsia="es-CO"/>
        </w:rPr>
      </w:pPr>
    </w:p>
    <w:p w14:paraId="4CE68B75" w14:textId="77777777" w:rsidR="00F30656" w:rsidRDefault="00F30656" w:rsidP="005A54E5">
      <w:pPr>
        <w:rPr>
          <w:lang w:val="es-CO" w:eastAsia="es-CO"/>
        </w:rPr>
      </w:pPr>
    </w:p>
    <w:p w14:paraId="627ED45A" w14:textId="6348207D" w:rsidR="00AD0C06" w:rsidRPr="00F30656" w:rsidRDefault="005B1C70" w:rsidP="005A54E5">
      <w:pPr>
        <w:rPr>
          <w:lang w:val="es-CO" w:eastAsia="es-CO"/>
        </w:rPr>
      </w:pPr>
      <w:r>
        <w:rPr>
          <w:lang w:val="es-CO" w:eastAsia="es-CO"/>
        </w:rPr>
        <w:t>Se realiza el ajuste</w:t>
      </w:r>
      <w:r w:rsidR="00867C5D">
        <w:rPr>
          <w:lang w:val="es-CO" w:eastAsia="es-CO"/>
        </w:rPr>
        <w:t xml:space="preserve"> correspondiente</w:t>
      </w:r>
      <w:r>
        <w:rPr>
          <w:lang w:val="es-CO" w:eastAsia="es-CO"/>
        </w:rPr>
        <w:t>.</w:t>
      </w:r>
    </w:p>
    <w:p w14:paraId="42A7FAC3" w14:textId="77777777" w:rsidR="00F30656" w:rsidRPr="00D7100E" w:rsidRDefault="00F30656" w:rsidP="00F30656">
      <w:pPr>
        <w:autoSpaceDE w:val="0"/>
        <w:autoSpaceDN w:val="0"/>
        <w:adjustRightInd w:val="0"/>
        <w:contextualSpacing w:val="0"/>
        <w:rPr>
          <w:rFonts w:cs="Arial"/>
          <w:sz w:val="22"/>
          <w:szCs w:val="22"/>
          <w:lang w:val="es-CO" w:eastAsia="es-CO"/>
        </w:rPr>
      </w:pPr>
    </w:p>
    <w:p w14:paraId="2EC03444" w14:textId="77777777" w:rsidR="00F30656" w:rsidRPr="00F30656" w:rsidRDefault="00F30656" w:rsidP="007134BE">
      <w:pPr>
        <w:pStyle w:val="Prrafodelista"/>
        <w:numPr>
          <w:ilvl w:val="0"/>
          <w:numId w:val="13"/>
        </w:numPr>
        <w:autoSpaceDE w:val="0"/>
        <w:autoSpaceDN w:val="0"/>
        <w:adjustRightInd w:val="0"/>
        <w:contextualSpacing w:val="0"/>
        <w:rPr>
          <w:rFonts w:cs="Arial"/>
          <w:i/>
          <w:iCs/>
          <w:sz w:val="22"/>
          <w:szCs w:val="18"/>
          <w:lang w:val="es-CO"/>
        </w:rPr>
      </w:pPr>
    </w:p>
    <w:p w14:paraId="1EA1DCDD" w14:textId="77777777" w:rsidR="00F30656" w:rsidRDefault="00F30656" w:rsidP="00F30656">
      <w:pPr>
        <w:autoSpaceDE w:val="0"/>
        <w:autoSpaceDN w:val="0"/>
        <w:adjustRightInd w:val="0"/>
        <w:ind w:left="284"/>
        <w:contextualSpacing w:val="0"/>
        <w:rPr>
          <w:rFonts w:cs="Arial"/>
          <w:i/>
          <w:iCs/>
          <w:sz w:val="22"/>
          <w:szCs w:val="18"/>
          <w:lang w:val="es-CO"/>
        </w:rPr>
      </w:pPr>
    </w:p>
    <w:p w14:paraId="07EA8C77" w14:textId="2FFBB5EB" w:rsidR="00F30656" w:rsidRPr="00F30656" w:rsidRDefault="00F30656" w:rsidP="00524107">
      <w:pPr>
        <w:autoSpaceDE w:val="0"/>
        <w:autoSpaceDN w:val="0"/>
        <w:adjustRightInd w:val="0"/>
        <w:ind w:left="284"/>
        <w:contextualSpacing w:val="0"/>
        <w:rPr>
          <w:rFonts w:cs="Arial"/>
          <w:i/>
          <w:iCs/>
          <w:sz w:val="20"/>
          <w:szCs w:val="16"/>
          <w:lang w:val="es-CO"/>
        </w:rPr>
      </w:pPr>
      <w:r w:rsidRPr="00F30656">
        <w:rPr>
          <w:rFonts w:cs="Arial"/>
          <w:i/>
          <w:iCs/>
          <w:sz w:val="20"/>
          <w:lang w:val="es-CO" w:eastAsia="es-CO"/>
        </w:rPr>
        <w:t xml:space="preserve">“En el artículo 4 se indica que la tasa de descuento aplicable a la fórmula tarifaria general corresponde a la definida mediante la Resolución CREG 101 026 de </w:t>
      </w:r>
      <w:r w:rsidRPr="00F30656">
        <w:rPr>
          <w:rFonts w:cs="Arial"/>
          <w:b/>
          <w:bCs/>
          <w:i/>
          <w:iCs/>
          <w:sz w:val="20"/>
          <w:lang w:val="es-CO" w:eastAsia="es-CO"/>
        </w:rPr>
        <w:t>2021</w:t>
      </w:r>
      <w:r w:rsidRPr="00F30656">
        <w:rPr>
          <w:rFonts w:cs="Arial"/>
          <w:i/>
          <w:iCs/>
          <w:sz w:val="20"/>
          <w:lang w:val="es-CO" w:eastAsia="es-CO"/>
        </w:rPr>
        <w:t>, sin embargo, dicha Resolución corresponde al año 2022.”</w:t>
      </w:r>
    </w:p>
    <w:p w14:paraId="1637C868" w14:textId="77777777" w:rsidR="00F30656" w:rsidRPr="005A54E5" w:rsidRDefault="00F30656" w:rsidP="005A54E5">
      <w:pPr>
        <w:rPr>
          <w:lang w:val="es-CO" w:eastAsia="es-CO"/>
        </w:rPr>
      </w:pPr>
    </w:p>
    <w:p w14:paraId="7EF50AAA" w14:textId="77777777" w:rsidR="00F30656" w:rsidRPr="00D7100E" w:rsidRDefault="00F30656" w:rsidP="007134BE">
      <w:pPr>
        <w:pStyle w:val="Prrafodelista"/>
        <w:numPr>
          <w:ilvl w:val="0"/>
          <w:numId w:val="16"/>
        </w:numPr>
        <w:autoSpaceDE w:val="0"/>
        <w:autoSpaceDN w:val="0"/>
        <w:adjustRightInd w:val="0"/>
        <w:contextualSpacing w:val="0"/>
        <w:rPr>
          <w:rFonts w:cs="Arial"/>
          <w:i/>
          <w:iCs/>
          <w:sz w:val="20"/>
          <w:lang w:val="es-CO" w:eastAsia="es-CO"/>
        </w:rPr>
      </w:pPr>
    </w:p>
    <w:p w14:paraId="38E31565" w14:textId="77777777" w:rsidR="00F30656" w:rsidRDefault="00F30656" w:rsidP="005A54E5">
      <w:pPr>
        <w:rPr>
          <w:lang w:val="es-CO" w:eastAsia="es-CO"/>
        </w:rPr>
      </w:pPr>
    </w:p>
    <w:p w14:paraId="06472C2F" w14:textId="6853FDEB" w:rsidR="005A54E5" w:rsidRDefault="00867C5D" w:rsidP="005A54E5">
      <w:pPr>
        <w:rPr>
          <w:lang w:val="es-CO" w:eastAsia="es-CO"/>
        </w:rPr>
      </w:pPr>
      <w:r>
        <w:rPr>
          <w:lang w:val="es-CO" w:eastAsia="es-CO"/>
        </w:rPr>
        <w:t>Se realiza el ajuste correspondiente.</w:t>
      </w:r>
    </w:p>
    <w:p w14:paraId="57685109" w14:textId="77777777" w:rsidR="00D7100E" w:rsidRDefault="00D7100E" w:rsidP="005A54E5">
      <w:pPr>
        <w:rPr>
          <w:lang w:val="es-CO" w:eastAsia="es-CO"/>
        </w:rPr>
      </w:pPr>
    </w:p>
    <w:p w14:paraId="200CD200" w14:textId="77777777" w:rsidR="00D7100E" w:rsidRPr="00D7100E" w:rsidRDefault="00D7100E" w:rsidP="007134BE">
      <w:pPr>
        <w:pStyle w:val="Prrafodelista"/>
        <w:numPr>
          <w:ilvl w:val="0"/>
          <w:numId w:val="13"/>
        </w:numPr>
        <w:autoSpaceDE w:val="0"/>
        <w:autoSpaceDN w:val="0"/>
        <w:adjustRightInd w:val="0"/>
        <w:contextualSpacing w:val="0"/>
        <w:rPr>
          <w:rFonts w:cs="Arial"/>
          <w:i/>
          <w:iCs/>
          <w:sz w:val="20"/>
          <w:lang w:val="es-CO" w:eastAsia="es-CO"/>
        </w:rPr>
      </w:pPr>
    </w:p>
    <w:p w14:paraId="34485D7D" w14:textId="77777777" w:rsidR="00D7100E" w:rsidRDefault="00D7100E" w:rsidP="00D7100E">
      <w:pPr>
        <w:autoSpaceDE w:val="0"/>
        <w:autoSpaceDN w:val="0"/>
        <w:adjustRightInd w:val="0"/>
        <w:ind w:left="284"/>
        <w:contextualSpacing w:val="0"/>
        <w:rPr>
          <w:rFonts w:cs="Arial"/>
          <w:i/>
          <w:iCs/>
          <w:sz w:val="20"/>
          <w:lang w:val="es-CO" w:eastAsia="es-CO"/>
        </w:rPr>
      </w:pPr>
    </w:p>
    <w:p w14:paraId="18EFD1D4" w14:textId="0DA193F3" w:rsidR="00D7100E" w:rsidRPr="00D7100E" w:rsidRDefault="00D7100E" w:rsidP="00D7100E">
      <w:pPr>
        <w:autoSpaceDE w:val="0"/>
        <w:autoSpaceDN w:val="0"/>
        <w:adjustRightInd w:val="0"/>
        <w:ind w:left="284"/>
        <w:contextualSpacing w:val="0"/>
        <w:rPr>
          <w:rFonts w:cs="Arial"/>
          <w:i/>
          <w:iCs/>
          <w:sz w:val="20"/>
          <w:lang w:val="es-CO" w:eastAsia="es-CO"/>
        </w:rPr>
      </w:pPr>
      <w:r>
        <w:rPr>
          <w:rFonts w:cs="Arial"/>
          <w:i/>
          <w:iCs/>
          <w:sz w:val="20"/>
          <w:lang w:val="es-CO" w:eastAsia="es-CO"/>
        </w:rPr>
        <w:t>“</w:t>
      </w:r>
      <w:r w:rsidRPr="00D7100E">
        <w:rPr>
          <w:rFonts w:cs="Arial"/>
          <w:i/>
          <w:iCs/>
          <w:sz w:val="20"/>
          <w:lang w:val="es-CO" w:eastAsia="es-CO"/>
        </w:rPr>
        <w:t>De acuerdo con lo definido en la Resolución CREG 101 026 de 2022 la tasa de descuento se</w:t>
      </w:r>
      <w:r>
        <w:rPr>
          <w:rFonts w:cs="Arial"/>
          <w:i/>
          <w:iCs/>
          <w:sz w:val="20"/>
          <w:lang w:val="es-CO" w:eastAsia="es-CO"/>
        </w:rPr>
        <w:t xml:space="preserve"> </w:t>
      </w:r>
      <w:r w:rsidRPr="00D7100E">
        <w:rPr>
          <w:rFonts w:cs="Arial"/>
          <w:i/>
          <w:iCs/>
          <w:sz w:val="20"/>
          <w:lang w:val="es-CO" w:eastAsia="es-CO"/>
        </w:rPr>
        <w:t>establecería de acuerdo con la metodología definida en la Resolución CREG 004 del 2021, la</w:t>
      </w:r>
      <w:r>
        <w:rPr>
          <w:rFonts w:cs="Arial"/>
          <w:i/>
          <w:iCs/>
          <w:sz w:val="20"/>
          <w:lang w:val="es-CO" w:eastAsia="es-CO"/>
        </w:rPr>
        <w:t xml:space="preserve"> </w:t>
      </w:r>
      <w:r w:rsidRPr="00D7100E">
        <w:rPr>
          <w:rFonts w:cs="Arial"/>
          <w:i/>
          <w:iCs/>
          <w:sz w:val="20"/>
          <w:lang w:val="es-CO" w:eastAsia="es-CO"/>
        </w:rPr>
        <w:t>cual determina una temporalidad de 60 meses para la captura de información que es insumo en</w:t>
      </w:r>
      <w:r>
        <w:rPr>
          <w:rFonts w:cs="Arial"/>
          <w:i/>
          <w:iCs/>
          <w:sz w:val="20"/>
          <w:lang w:val="es-CO" w:eastAsia="es-CO"/>
        </w:rPr>
        <w:t xml:space="preserve"> </w:t>
      </w:r>
      <w:r w:rsidRPr="00D7100E">
        <w:rPr>
          <w:rFonts w:cs="Arial"/>
          <w:i/>
          <w:iCs/>
          <w:sz w:val="20"/>
          <w:lang w:val="es-CO" w:eastAsia="es-CO"/>
        </w:rPr>
        <w:t xml:space="preserve">la estimación </w:t>
      </w:r>
      <w:r w:rsidRPr="00D7100E">
        <w:rPr>
          <w:rFonts w:cs="Arial"/>
          <w:i/>
          <w:iCs/>
          <w:sz w:val="20"/>
          <w:lang w:val="es-CO" w:eastAsia="es-CO"/>
        </w:rPr>
        <w:lastRenderedPageBreak/>
        <w:t>de las diferentes variables que componen el WACC. Teniendo en cuenta lo anterior,</w:t>
      </w:r>
      <w:r>
        <w:rPr>
          <w:rFonts w:cs="Arial"/>
          <w:i/>
          <w:iCs/>
          <w:sz w:val="20"/>
          <w:lang w:val="es-CO" w:eastAsia="es-CO"/>
        </w:rPr>
        <w:t xml:space="preserve"> </w:t>
      </w:r>
      <w:r w:rsidRPr="00D7100E">
        <w:rPr>
          <w:rFonts w:cs="Arial"/>
          <w:i/>
          <w:iCs/>
          <w:sz w:val="20"/>
          <w:lang w:val="es-CO" w:eastAsia="es-CO"/>
        </w:rPr>
        <w:t>el cálculo objeto de consulta recoge necesariamente los efectos de la pandemia e información</w:t>
      </w:r>
      <w:r>
        <w:rPr>
          <w:rFonts w:cs="Arial"/>
          <w:i/>
          <w:iCs/>
          <w:sz w:val="20"/>
          <w:lang w:val="es-CO" w:eastAsia="es-CO"/>
        </w:rPr>
        <w:t xml:space="preserve"> </w:t>
      </w:r>
      <w:r w:rsidRPr="00D7100E">
        <w:rPr>
          <w:rFonts w:cs="Arial"/>
          <w:i/>
          <w:iCs/>
          <w:sz w:val="20"/>
          <w:lang w:val="es-CO" w:eastAsia="es-CO"/>
        </w:rPr>
        <w:t>previa y posterior, lo cual puede generar un impacto desconocido sobre el mismo.</w:t>
      </w:r>
    </w:p>
    <w:p w14:paraId="6F9BDE54" w14:textId="77777777" w:rsidR="00D7100E" w:rsidRDefault="00D7100E" w:rsidP="00D7100E">
      <w:pPr>
        <w:autoSpaceDE w:val="0"/>
        <w:autoSpaceDN w:val="0"/>
        <w:adjustRightInd w:val="0"/>
        <w:ind w:left="284"/>
        <w:contextualSpacing w:val="0"/>
        <w:rPr>
          <w:rFonts w:cs="Arial"/>
          <w:i/>
          <w:iCs/>
          <w:sz w:val="20"/>
          <w:lang w:val="es-CO" w:eastAsia="es-CO"/>
        </w:rPr>
      </w:pPr>
    </w:p>
    <w:p w14:paraId="02F17817" w14:textId="37F8A185" w:rsidR="00D7100E" w:rsidRPr="00D7100E" w:rsidRDefault="00D7100E" w:rsidP="00D7100E">
      <w:pPr>
        <w:autoSpaceDE w:val="0"/>
        <w:autoSpaceDN w:val="0"/>
        <w:adjustRightInd w:val="0"/>
        <w:ind w:left="284"/>
        <w:contextualSpacing w:val="0"/>
        <w:rPr>
          <w:rFonts w:cs="Arial"/>
          <w:i/>
          <w:iCs/>
          <w:sz w:val="20"/>
          <w:lang w:val="es-CO" w:eastAsia="es-CO"/>
        </w:rPr>
      </w:pPr>
      <w:r w:rsidRPr="00D7100E">
        <w:rPr>
          <w:rFonts w:cs="Arial"/>
          <w:i/>
          <w:iCs/>
          <w:sz w:val="20"/>
          <w:lang w:val="es-CO" w:eastAsia="es-CO"/>
        </w:rPr>
        <w:t>Ahora bien, la consultoría que definió la metodología para el WACC la cual fue realizada en 2019,</w:t>
      </w:r>
      <w:r>
        <w:rPr>
          <w:rFonts w:cs="Arial"/>
          <w:i/>
          <w:iCs/>
          <w:sz w:val="20"/>
          <w:lang w:val="es-CO" w:eastAsia="es-CO"/>
        </w:rPr>
        <w:t xml:space="preserve"> </w:t>
      </w:r>
      <w:r w:rsidRPr="00D7100E">
        <w:rPr>
          <w:rFonts w:cs="Arial"/>
          <w:i/>
          <w:iCs/>
          <w:sz w:val="20"/>
          <w:lang w:val="es-CO" w:eastAsia="es-CO"/>
        </w:rPr>
        <w:t>no estableció un método de aplicación ante contingencias en las series de información utilizadas.</w:t>
      </w:r>
      <w:r>
        <w:rPr>
          <w:rFonts w:cs="Arial"/>
          <w:i/>
          <w:iCs/>
          <w:sz w:val="20"/>
          <w:lang w:val="es-CO" w:eastAsia="es-CO"/>
        </w:rPr>
        <w:t xml:space="preserve"> </w:t>
      </w:r>
      <w:r w:rsidRPr="00D7100E">
        <w:rPr>
          <w:rFonts w:cs="Arial"/>
          <w:i/>
          <w:iCs/>
          <w:sz w:val="20"/>
          <w:lang w:val="es-CO" w:eastAsia="es-CO"/>
        </w:rPr>
        <w:t>En este sentido, es importante analizar el espectro de tiempo que se definió para la información</w:t>
      </w:r>
      <w:r>
        <w:rPr>
          <w:rFonts w:cs="Arial"/>
          <w:i/>
          <w:iCs/>
          <w:sz w:val="20"/>
          <w:lang w:val="es-CO" w:eastAsia="es-CO"/>
        </w:rPr>
        <w:t xml:space="preserve"> </w:t>
      </w:r>
      <w:r w:rsidRPr="00D7100E">
        <w:rPr>
          <w:rFonts w:cs="Arial"/>
          <w:i/>
          <w:iCs/>
          <w:sz w:val="20"/>
          <w:lang w:val="es-CO" w:eastAsia="es-CO"/>
        </w:rPr>
        <w:t>utilizada en el WACC, dado que, aunque la metodología define un método de ponderación,</w:t>
      </w:r>
      <w:r>
        <w:rPr>
          <w:rFonts w:cs="Arial"/>
          <w:i/>
          <w:iCs/>
          <w:sz w:val="20"/>
          <w:lang w:val="es-CO" w:eastAsia="es-CO"/>
        </w:rPr>
        <w:t xml:space="preserve"> </w:t>
      </w:r>
      <w:r w:rsidRPr="00D7100E">
        <w:rPr>
          <w:rFonts w:cs="Arial"/>
          <w:i/>
          <w:iCs/>
          <w:sz w:val="20"/>
          <w:lang w:val="es-CO" w:eastAsia="es-CO"/>
        </w:rPr>
        <w:t>método de suma de dígitos, este otorga mayor relevancia a los datos más recientes y no logra</w:t>
      </w:r>
      <w:r>
        <w:rPr>
          <w:rFonts w:cs="Arial"/>
          <w:i/>
          <w:iCs/>
          <w:sz w:val="20"/>
          <w:lang w:val="es-CO" w:eastAsia="es-CO"/>
        </w:rPr>
        <w:t xml:space="preserve"> </w:t>
      </w:r>
      <w:r w:rsidRPr="00D7100E">
        <w:rPr>
          <w:rFonts w:cs="Arial"/>
          <w:i/>
          <w:iCs/>
          <w:sz w:val="20"/>
          <w:lang w:val="es-CO" w:eastAsia="es-CO"/>
        </w:rPr>
        <w:t>mitigar la introducción de efectos irregulares. Por lo anterior, es importante tener en cuenta que,</w:t>
      </w:r>
      <w:r>
        <w:rPr>
          <w:rFonts w:cs="Arial"/>
          <w:i/>
          <w:iCs/>
          <w:sz w:val="20"/>
          <w:lang w:val="es-CO" w:eastAsia="es-CO"/>
        </w:rPr>
        <w:t xml:space="preserve"> </w:t>
      </w:r>
      <w:r w:rsidRPr="00D7100E">
        <w:rPr>
          <w:rFonts w:cs="Arial"/>
          <w:i/>
          <w:iCs/>
          <w:sz w:val="20"/>
          <w:lang w:val="es-CO" w:eastAsia="es-CO"/>
        </w:rPr>
        <w:t>la pandemia introdujo un cambio estructural en la economía, que podrían tipificarse en varios</w:t>
      </w:r>
      <w:r>
        <w:rPr>
          <w:rFonts w:cs="Arial"/>
          <w:i/>
          <w:iCs/>
          <w:sz w:val="20"/>
          <w:lang w:val="es-CO" w:eastAsia="es-CO"/>
        </w:rPr>
        <w:t xml:space="preserve"> </w:t>
      </w:r>
      <w:r w:rsidRPr="00D7100E">
        <w:rPr>
          <w:rFonts w:cs="Arial"/>
          <w:i/>
          <w:iCs/>
          <w:sz w:val="20"/>
          <w:lang w:val="es-CO" w:eastAsia="es-CO"/>
        </w:rPr>
        <w:t>aspectos.</w:t>
      </w:r>
    </w:p>
    <w:p w14:paraId="74CD150B" w14:textId="77777777" w:rsidR="00D7100E" w:rsidRDefault="00D7100E" w:rsidP="00D7100E">
      <w:pPr>
        <w:autoSpaceDE w:val="0"/>
        <w:autoSpaceDN w:val="0"/>
        <w:adjustRightInd w:val="0"/>
        <w:ind w:left="284"/>
        <w:contextualSpacing w:val="0"/>
        <w:rPr>
          <w:rFonts w:cs="Arial"/>
          <w:i/>
          <w:iCs/>
          <w:sz w:val="20"/>
          <w:lang w:val="es-CO" w:eastAsia="es-CO"/>
        </w:rPr>
      </w:pPr>
    </w:p>
    <w:p w14:paraId="42C90E35" w14:textId="05481CBD" w:rsidR="00D7100E" w:rsidRDefault="00D7100E" w:rsidP="00D7100E">
      <w:pPr>
        <w:autoSpaceDE w:val="0"/>
        <w:autoSpaceDN w:val="0"/>
        <w:adjustRightInd w:val="0"/>
        <w:ind w:left="284"/>
        <w:contextualSpacing w:val="0"/>
        <w:rPr>
          <w:rFonts w:cs="Arial"/>
          <w:i/>
          <w:iCs/>
          <w:sz w:val="20"/>
          <w:lang w:val="es-CO" w:eastAsia="es-CO"/>
        </w:rPr>
      </w:pPr>
      <w:r w:rsidRPr="00D7100E">
        <w:rPr>
          <w:rFonts w:cs="Arial"/>
          <w:i/>
          <w:iCs/>
          <w:sz w:val="20"/>
          <w:lang w:val="es-CO" w:eastAsia="es-CO"/>
        </w:rPr>
        <w:t>Sánchez, P. A. (2008) señala en su documento “Cambios estructurales en series de tiempo: una</w:t>
      </w:r>
      <w:r>
        <w:rPr>
          <w:rFonts w:cs="Arial"/>
          <w:i/>
          <w:iCs/>
          <w:sz w:val="20"/>
          <w:lang w:val="es-CO" w:eastAsia="es-CO"/>
        </w:rPr>
        <w:t xml:space="preserve"> </w:t>
      </w:r>
      <w:r w:rsidRPr="00D7100E">
        <w:rPr>
          <w:rFonts w:cs="Arial"/>
          <w:i/>
          <w:iCs/>
          <w:sz w:val="20"/>
          <w:lang w:val="es-CO" w:eastAsia="es-CO"/>
        </w:rPr>
        <w:t>revisión del estado del arte” sobre cambios estructurales en las series de tiempo, que existen</w:t>
      </w:r>
      <w:r>
        <w:rPr>
          <w:rFonts w:cs="Arial"/>
          <w:i/>
          <w:iCs/>
          <w:sz w:val="20"/>
          <w:lang w:val="es-CO" w:eastAsia="es-CO"/>
        </w:rPr>
        <w:t xml:space="preserve"> </w:t>
      </w:r>
      <w:r w:rsidRPr="00D7100E">
        <w:rPr>
          <w:rFonts w:cs="Arial"/>
          <w:i/>
          <w:iCs/>
          <w:sz w:val="20"/>
          <w:lang w:val="es-CO" w:eastAsia="es-CO"/>
        </w:rPr>
        <w:t>fenómenos en la economía que pueden introducir cambios tales como de nivel y tendencia, entre</w:t>
      </w:r>
      <w:r>
        <w:rPr>
          <w:rFonts w:cs="Arial"/>
          <w:i/>
          <w:iCs/>
          <w:sz w:val="20"/>
          <w:lang w:val="es-CO" w:eastAsia="es-CO"/>
        </w:rPr>
        <w:t xml:space="preserve"> </w:t>
      </w:r>
      <w:r w:rsidRPr="00D7100E">
        <w:rPr>
          <w:rFonts w:cs="Arial"/>
          <w:i/>
          <w:iCs/>
          <w:sz w:val="20"/>
          <w:lang w:val="es-CO" w:eastAsia="es-CO"/>
        </w:rPr>
        <w:t>otros, por lo cual es importante saber tratar la información para obtener los resultados esperados.</w:t>
      </w:r>
    </w:p>
    <w:p w14:paraId="53613A54" w14:textId="77777777" w:rsidR="00D7100E" w:rsidRPr="00D7100E" w:rsidRDefault="00D7100E" w:rsidP="00D7100E">
      <w:pPr>
        <w:autoSpaceDE w:val="0"/>
        <w:autoSpaceDN w:val="0"/>
        <w:adjustRightInd w:val="0"/>
        <w:ind w:left="284"/>
        <w:contextualSpacing w:val="0"/>
        <w:rPr>
          <w:rFonts w:cs="Arial"/>
          <w:i/>
          <w:iCs/>
          <w:sz w:val="20"/>
          <w:lang w:val="es-CO" w:eastAsia="es-CO"/>
        </w:rPr>
      </w:pPr>
    </w:p>
    <w:p w14:paraId="53113171" w14:textId="1C31C0B2" w:rsidR="00D7100E" w:rsidRDefault="00D7100E" w:rsidP="00D7100E">
      <w:pPr>
        <w:autoSpaceDE w:val="0"/>
        <w:autoSpaceDN w:val="0"/>
        <w:adjustRightInd w:val="0"/>
        <w:ind w:left="284"/>
        <w:contextualSpacing w:val="0"/>
        <w:rPr>
          <w:rFonts w:cs="Arial"/>
          <w:i/>
          <w:iCs/>
          <w:sz w:val="20"/>
          <w:lang w:val="es-CO" w:eastAsia="es-CO"/>
        </w:rPr>
      </w:pPr>
      <w:r w:rsidRPr="00D7100E">
        <w:rPr>
          <w:rFonts w:cs="Arial"/>
          <w:i/>
          <w:iCs/>
          <w:sz w:val="20"/>
          <w:lang w:val="es-CO" w:eastAsia="es-CO"/>
        </w:rPr>
        <w:t>Así las cosas, y para futuros ejercicios de aplicación, la Superservicios sugiere a la CREG revisar</w:t>
      </w:r>
      <w:r>
        <w:rPr>
          <w:rFonts w:cs="Arial"/>
          <w:i/>
          <w:iCs/>
          <w:sz w:val="20"/>
          <w:lang w:val="es-CO" w:eastAsia="es-CO"/>
        </w:rPr>
        <w:t xml:space="preserve"> </w:t>
      </w:r>
      <w:r w:rsidRPr="00D7100E">
        <w:rPr>
          <w:rFonts w:cs="Arial"/>
          <w:i/>
          <w:iCs/>
          <w:sz w:val="20"/>
          <w:lang w:val="es-CO" w:eastAsia="es-CO"/>
        </w:rPr>
        <w:t>la metodología definida para el cálculo del WACC en aras de continuar con la mejora en los</w:t>
      </w:r>
      <w:r>
        <w:rPr>
          <w:rFonts w:cs="Arial"/>
          <w:i/>
          <w:iCs/>
          <w:sz w:val="20"/>
          <w:lang w:val="es-CO" w:eastAsia="es-CO"/>
        </w:rPr>
        <w:t xml:space="preserve"> </w:t>
      </w:r>
      <w:r w:rsidRPr="00D7100E">
        <w:rPr>
          <w:rFonts w:cs="Arial"/>
          <w:i/>
          <w:iCs/>
          <w:sz w:val="20"/>
          <w:lang w:val="es-CO" w:eastAsia="es-CO"/>
        </w:rPr>
        <w:t>diferentes procesos que involucran la regulación, estableciendo una revisión exhaustiva para</w:t>
      </w:r>
      <w:r>
        <w:rPr>
          <w:rFonts w:cs="Arial"/>
          <w:i/>
          <w:iCs/>
          <w:sz w:val="20"/>
          <w:lang w:val="es-CO" w:eastAsia="es-CO"/>
        </w:rPr>
        <w:t xml:space="preserve"> </w:t>
      </w:r>
      <w:r w:rsidRPr="00D7100E">
        <w:rPr>
          <w:rFonts w:cs="Arial"/>
          <w:i/>
          <w:iCs/>
          <w:sz w:val="20"/>
          <w:lang w:val="es-CO" w:eastAsia="es-CO"/>
        </w:rPr>
        <w:t>mitigar los “ruidos” que pueden ocasionar sucesos irregulares a la información con la cual se</w:t>
      </w:r>
      <w:r>
        <w:rPr>
          <w:rFonts w:cs="Arial"/>
          <w:i/>
          <w:iCs/>
          <w:sz w:val="20"/>
          <w:lang w:val="es-CO" w:eastAsia="es-CO"/>
        </w:rPr>
        <w:t xml:space="preserve"> </w:t>
      </w:r>
      <w:r w:rsidRPr="00D7100E">
        <w:rPr>
          <w:rFonts w:cs="Arial"/>
          <w:i/>
          <w:iCs/>
          <w:sz w:val="20"/>
          <w:lang w:val="es-CO" w:eastAsia="es-CO"/>
        </w:rPr>
        <w:t>calcula esta variable que es de alta relevancia para las ESP.</w:t>
      </w:r>
    </w:p>
    <w:p w14:paraId="6F236A8C" w14:textId="77777777" w:rsidR="00D7100E" w:rsidRPr="00D7100E" w:rsidRDefault="00D7100E" w:rsidP="00D7100E">
      <w:pPr>
        <w:autoSpaceDE w:val="0"/>
        <w:autoSpaceDN w:val="0"/>
        <w:adjustRightInd w:val="0"/>
        <w:ind w:left="284"/>
        <w:contextualSpacing w:val="0"/>
        <w:rPr>
          <w:rFonts w:cs="Arial"/>
          <w:i/>
          <w:iCs/>
          <w:sz w:val="20"/>
          <w:lang w:val="es-CO" w:eastAsia="es-CO"/>
        </w:rPr>
      </w:pPr>
    </w:p>
    <w:p w14:paraId="14A8FCCD" w14:textId="0536A6BB" w:rsidR="00F30656" w:rsidRDefault="00D7100E" w:rsidP="00D7100E">
      <w:pPr>
        <w:autoSpaceDE w:val="0"/>
        <w:autoSpaceDN w:val="0"/>
        <w:adjustRightInd w:val="0"/>
        <w:ind w:left="284"/>
        <w:contextualSpacing w:val="0"/>
        <w:rPr>
          <w:rFonts w:cs="Arial"/>
          <w:i/>
          <w:iCs/>
          <w:sz w:val="20"/>
          <w:lang w:val="es-CO" w:eastAsia="es-CO"/>
        </w:rPr>
      </w:pPr>
      <w:r w:rsidRPr="00D7100E">
        <w:rPr>
          <w:rFonts w:cs="Arial"/>
          <w:i/>
          <w:iCs/>
          <w:sz w:val="20"/>
          <w:lang w:val="es-CO" w:eastAsia="es-CO"/>
        </w:rPr>
        <w:t>Por lo anterior, es importante definir un método que trate la serie de datos de acuerdo con las</w:t>
      </w:r>
      <w:r>
        <w:rPr>
          <w:rFonts w:cs="Arial"/>
          <w:i/>
          <w:iCs/>
          <w:sz w:val="20"/>
          <w:lang w:val="es-CO" w:eastAsia="es-CO"/>
        </w:rPr>
        <w:t xml:space="preserve"> </w:t>
      </w:r>
      <w:r w:rsidRPr="00D7100E">
        <w:rPr>
          <w:rFonts w:cs="Arial"/>
          <w:i/>
          <w:iCs/>
          <w:sz w:val="20"/>
          <w:lang w:val="es-CO" w:eastAsia="es-CO"/>
        </w:rPr>
        <w:t>alteraciones que ha sufrido, en la práctica algunas alternativas aceptables son el tratamiento de</w:t>
      </w:r>
      <w:r>
        <w:rPr>
          <w:rFonts w:cs="Arial"/>
          <w:i/>
          <w:iCs/>
          <w:sz w:val="20"/>
          <w:lang w:val="es-CO" w:eastAsia="es-CO"/>
        </w:rPr>
        <w:t xml:space="preserve"> </w:t>
      </w:r>
      <w:proofErr w:type="spellStart"/>
      <w:r w:rsidRPr="00D7100E">
        <w:rPr>
          <w:rFonts w:cs="Arial"/>
          <w:i/>
          <w:iCs/>
          <w:sz w:val="20"/>
          <w:lang w:val="es-CO" w:eastAsia="es-CO"/>
        </w:rPr>
        <w:t>outliers</w:t>
      </w:r>
      <w:proofErr w:type="spellEnd"/>
      <w:r w:rsidRPr="00D7100E">
        <w:rPr>
          <w:rFonts w:cs="Arial"/>
          <w:i/>
          <w:iCs/>
          <w:sz w:val="20"/>
          <w:lang w:val="es-CO" w:eastAsia="es-CO"/>
        </w:rPr>
        <w:t xml:space="preserve"> (datos atípicos) e imputación de datos, tal y como se puede observar en las publicaciones</w:t>
      </w:r>
      <w:r>
        <w:rPr>
          <w:rFonts w:cs="Arial"/>
          <w:i/>
          <w:iCs/>
          <w:sz w:val="20"/>
          <w:lang w:val="es-CO" w:eastAsia="es-CO"/>
        </w:rPr>
        <w:t xml:space="preserve"> </w:t>
      </w:r>
      <w:r w:rsidRPr="00D7100E">
        <w:rPr>
          <w:rFonts w:cs="Arial"/>
          <w:i/>
          <w:iCs/>
          <w:sz w:val="20"/>
          <w:lang w:val="es-CO" w:eastAsia="es-CO"/>
        </w:rPr>
        <w:t>del Producto Interno Bruto del Departamento Administrativo de Estadística, en el cual identifican</w:t>
      </w:r>
      <w:r>
        <w:rPr>
          <w:rFonts w:cs="Arial"/>
          <w:i/>
          <w:iCs/>
          <w:sz w:val="20"/>
          <w:lang w:val="es-CO" w:eastAsia="es-CO"/>
        </w:rPr>
        <w:t xml:space="preserve"> </w:t>
      </w:r>
      <w:r w:rsidRPr="00D7100E">
        <w:rPr>
          <w:rFonts w:cs="Arial"/>
          <w:i/>
          <w:iCs/>
          <w:sz w:val="20"/>
          <w:lang w:val="es-CO" w:eastAsia="es-CO"/>
        </w:rPr>
        <w:t>datos atípicos y dan tratamiento para estimar el impacto de la pandemia (ajuste estacional), así</w:t>
      </w:r>
      <w:r>
        <w:rPr>
          <w:rFonts w:cs="Arial"/>
          <w:i/>
          <w:iCs/>
          <w:sz w:val="20"/>
          <w:lang w:val="es-CO" w:eastAsia="es-CO"/>
        </w:rPr>
        <w:t xml:space="preserve"> </w:t>
      </w:r>
      <w:r w:rsidRPr="00D7100E">
        <w:rPr>
          <w:rFonts w:cs="Arial"/>
          <w:i/>
          <w:iCs/>
          <w:sz w:val="20"/>
          <w:lang w:val="es-CO" w:eastAsia="es-CO"/>
        </w:rPr>
        <w:t>mismo, en sus metodologías señalan el uso de imputación para datos irregulares y/o faltantes, lo</w:t>
      </w:r>
      <w:r>
        <w:rPr>
          <w:rFonts w:cs="Arial"/>
          <w:i/>
          <w:iCs/>
          <w:sz w:val="20"/>
          <w:lang w:val="es-CO" w:eastAsia="es-CO"/>
        </w:rPr>
        <w:t xml:space="preserve"> </w:t>
      </w:r>
      <w:r w:rsidRPr="00D7100E">
        <w:rPr>
          <w:rFonts w:cs="Arial"/>
          <w:i/>
          <w:iCs/>
          <w:sz w:val="20"/>
          <w:lang w:val="es-CO" w:eastAsia="es-CO"/>
        </w:rPr>
        <w:t>cual es un ejemplo del uso de métodos para el tratamiento de la información, mitigación de sesgos</w:t>
      </w:r>
      <w:r>
        <w:rPr>
          <w:rFonts w:cs="Arial"/>
          <w:i/>
          <w:iCs/>
          <w:sz w:val="20"/>
          <w:lang w:val="es-CO" w:eastAsia="es-CO"/>
        </w:rPr>
        <w:t xml:space="preserve"> </w:t>
      </w:r>
      <w:r w:rsidRPr="00D7100E">
        <w:rPr>
          <w:rFonts w:cs="Arial"/>
          <w:i/>
          <w:iCs/>
          <w:sz w:val="20"/>
          <w:lang w:val="es-CO" w:eastAsia="es-CO"/>
        </w:rPr>
        <w:t>y errores en las estimaciones.</w:t>
      </w:r>
      <w:r>
        <w:rPr>
          <w:rFonts w:cs="Arial"/>
          <w:i/>
          <w:iCs/>
          <w:sz w:val="20"/>
          <w:lang w:val="es-CO" w:eastAsia="es-CO"/>
        </w:rPr>
        <w:t>”</w:t>
      </w:r>
    </w:p>
    <w:p w14:paraId="6B8A2BD3" w14:textId="77777777" w:rsidR="00F30656" w:rsidRPr="00F30656" w:rsidRDefault="00F30656" w:rsidP="00F30656">
      <w:pPr>
        <w:autoSpaceDE w:val="0"/>
        <w:autoSpaceDN w:val="0"/>
        <w:adjustRightInd w:val="0"/>
        <w:contextualSpacing w:val="0"/>
        <w:rPr>
          <w:rFonts w:cs="Arial"/>
          <w:i/>
          <w:iCs/>
          <w:sz w:val="20"/>
          <w:lang w:val="es-CO" w:eastAsia="es-CO"/>
        </w:rPr>
      </w:pPr>
    </w:p>
    <w:p w14:paraId="4FBC3118" w14:textId="77777777" w:rsidR="00F30656" w:rsidRPr="00D7100E" w:rsidRDefault="00F30656" w:rsidP="007134BE">
      <w:pPr>
        <w:pStyle w:val="Prrafodelista"/>
        <w:numPr>
          <w:ilvl w:val="0"/>
          <w:numId w:val="16"/>
        </w:numPr>
        <w:autoSpaceDE w:val="0"/>
        <w:autoSpaceDN w:val="0"/>
        <w:adjustRightInd w:val="0"/>
        <w:contextualSpacing w:val="0"/>
        <w:rPr>
          <w:rFonts w:cs="Arial"/>
          <w:i/>
          <w:iCs/>
          <w:sz w:val="22"/>
          <w:szCs w:val="18"/>
          <w:lang w:val="es-CO"/>
        </w:rPr>
      </w:pPr>
    </w:p>
    <w:p w14:paraId="2D22725E" w14:textId="77777777" w:rsidR="00F30656" w:rsidRDefault="00F30656" w:rsidP="00F30656">
      <w:pPr>
        <w:rPr>
          <w:rFonts w:cs="Arial"/>
          <w:lang w:val="es-CO"/>
        </w:rPr>
      </w:pPr>
    </w:p>
    <w:p w14:paraId="62983856" w14:textId="54AD6F52" w:rsidR="00D7100E" w:rsidRDefault="00B36EE4" w:rsidP="00F30656">
      <w:pPr>
        <w:rPr>
          <w:rFonts w:cs="Arial"/>
          <w:lang w:val="es-CO"/>
        </w:rPr>
      </w:pPr>
      <w:r w:rsidRPr="00E72FF7">
        <w:rPr>
          <w:lang w:val="es-CO"/>
        </w:rPr>
        <w:t xml:space="preserve">Al respecto se debe mencionar que la tasa de descuento para las diferentes actividades que son reguladas por la CREG se determina de acuerdo con la metodología definida en la </w:t>
      </w:r>
      <w:r w:rsidR="00D058D5" w:rsidRPr="00E72FF7">
        <w:rPr>
          <w:lang w:val="es-CO"/>
        </w:rPr>
        <w:t>R</w:t>
      </w:r>
      <w:r w:rsidRPr="00E72FF7">
        <w:rPr>
          <w:lang w:val="es-CO"/>
        </w:rPr>
        <w:t>esolución CREG 004 de 2021</w:t>
      </w:r>
      <w:r w:rsidR="00D058D5" w:rsidRPr="00E72FF7">
        <w:rPr>
          <w:lang w:val="es-CO"/>
        </w:rPr>
        <w:t xml:space="preserve"> y sus respectivas modificaciones</w:t>
      </w:r>
      <w:r w:rsidRPr="00E72FF7">
        <w:rPr>
          <w:lang w:val="es-CO"/>
        </w:rPr>
        <w:t>.</w:t>
      </w:r>
      <w:r w:rsidR="00B25471" w:rsidRPr="00E72FF7">
        <w:rPr>
          <w:lang w:val="es-CO"/>
        </w:rPr>
        <w:t xml:space="preserve"> </w:t>
      </w:r>
      <w:r w:rsidR="008323B0" w:rsidRPr="00E72FF7">
        <w:rPr>
          <w:lang w:val="es-CO"/>
        </w:rPr>
        <w:t xml:space="preserve">La modificación de dicha metodología no </w:t>
      </w:r>
      <w:r w:rsidR="00DA055F" w:rsidRPr="00E72FF7">
        <w:rPr>
          <w:lang w:val="es-CO"/>
        </w:rPr>
        <w:t>hace parta d</w:t>
      </w:r>
      <w:r w:rsidR="00D058D5" w:rsidRPr="00E72FF7">
        <w:rPr>
          <w:lang w:val="es-CO"/>
        </w:rPr>
        <w:t>e l</w:t>
      </w:r>
      <w:r w:rsidR="00DA055F" w:rsidRPr="00E72FF7">
        <w:rPr>
          <w:lang w:val="es-CO"/>
        </w:rPr>
        <w:t xml:space="preserve">a </w:t>
      </w:r>
      <w:r w:rsidR="00D058D5" w:rsidRPr="00E72FF7">
        <w:rPr>
          <w:lang w:val="es-CO"/>
        </w:rPr>
        <w:t>temática</w:t>
      </w:r>
      <w:r w:rsidR="00DA055F" w:rsidRPr="00E72FF7">
        <w:rPr>
          <w:lang w:val="es-CO"/>
        </w:rPr>
        <w:t xml:space="preserve"> que fue </w:t>
      </w:r>
      <w:r w:rsidR="00D058D5" w:rsidRPr="00E72FF7">
        <w:rPr>
          <w:lang w:val="es-CO"/>
        </w:rPr>
        <w:t xml:space="preserve">sometida a </w:t>
      </w:r>
      <w:r w:rsidR="00DA055F" w:rsidRPr="00E72FF7">
        <w:rPr>
          <w:lang w:val="es-CO"/>
        </w:rPr>
        <w:t>consulta mediante l</w:t>
      </w:r>
      <w:r w:rsidR="004926B8" w:rsidRPr="00E72FF7">
        <w:rPr>
          <w:lang w:val="es-CO"/>
        </w:rPr>
        <w:t xml:space="preserve">a </w:t>
      </w:r>
      <w:r w:rsidR="00D058D5" w:rsidRPr="00E72FF7">
        <w:rPr>
          <w:lang w:val="es-CO"/>
        </w:rPr>
        <w:t>Resolución CREG 01 022 de 2022.</w:t>
      </w:r>
      <w:r w:rsidR="00A3368A" w:rsidRPr="00E72FF7">
        <w:rPr>
          <w:lang w:val="es-CO"/>
        </w:rPr>
        <w:t xml:space="preserve"> </w:t>
      </w:r>
      <w:r w:rsidR="006D682A">
        <w:rPr>
          <w:lang w:val="es-CO"/>
        </w:rPr>
        <w:t>La Co</w:t>
      </w:r>
      <w:r w:rsidR="00A512DF">
        <w:rPr>
          <w:lang w:val="es-CO"/>
        </w:rPr>
        <w:t xml:space="preserve">misión ha </w:t>
      </w:r>
      <w:r w:rsidR="00C37927">
        <w:rPr>
          <w:lang w:val="es-CO"/>
        </w:rPr>
        <w:t xml:space="preserve">venido </w:t>
      </w:r>
      <w:r w:rsidR="00A512DF">
        <w:rPr>
          <w:lang w:val="es-CO"/>
        </w:rPr>
        <w:t>rec</w:t>
      </w:r>
      <w:r w:rsidR="00C37927">
        <w:rPr>
          <w:lang w:val="es-CO"/>
        </w:rPr>
        <w:t>ogiendo los</w:t>
      </w:r>
      <w:r w:rsidR="00A512DF">
        <w:rPr>
          <w:lang w:val="es-CO"/>
        </w:rPr>
        <w:t xml:space="preserve"> comentarios </w:t>
      </w:r>
      <w:r w:rsidR="00C37927">
        <w:rPr>
          <w:lang w:val="es-CO"/>
        </w:rPr>
        <w:t>relacionados</w:t>
      </w:r>
      <w:r w:rsidR="00A512DF">
        <w:rPr>
          <w:lang w:val="es-CO"/>
        </w:rPr>
        <w:t xml:space="preserve"> y en </w:t>
      </w:r>
      <w:r w:rsidR="00A3368A" w:rsidRPr="00E72FF7">
        <w:rPr>
          <w:lang w:val="es-CO"/>
        </w:rPr>
        <w:t>su momento realizará el análisis necesario para modificar la metodología de cálculo de la tasa de descuento.</w:t>
      </w:r>
    </w:p>
    <w:p w14:paraId="5836D998" w14:textId="71E7E219" w:rsidR="00D7100E" w:rsidRDefault="00D058D5" w:rsidP="00F30656">
      <w:pPr>
        <w:rPr>
          <w:rFonts w:cs="Arial"/>
          <w:lang w:val="es-CO"/>
        </w:rPr>
      </w:pPr>
      <w:r>
        <w:rPr>
          <w:rFonts w:cs="Arial"/>
          <w:lang w:val="es-CO"/>
        </w:rPr>
        <w:t xml:space="preserve"> </w:t>
      </w:r>
    </w:p>
    <w:p w14:paraId="244C5E47" w14:textId="4271F2A8" w:rsidR="00031774" w:rsidRPr="00E922AD" w:rsidRDefault="00031774" w:rsidP="002F0764">
      <w:pPr>
        <w:pStyle w:val="Ttulo2"/>
        <w:numPr>
          <w:ilvl w:val="1"/>
          <w:numId w:val="7"/>
        </w:numPr>
        <w:rPr>
          <w:lang w:val="es-CO"/>
        </w:rPr>
      </w:pPr>
      <w:bookmarkStart w:id="21" w:name="_Toc147137560"/>
      <w:r w:rsidRPr="00E922AD">
        <w:rPr>
          <w:lang w:val="es-CO"/>
        </w:rPr>
        <w:t>Enel S.A. E.S.P.</w:t>
      </w:r>
      <w:bookmarkEnd w:id="21"/>
    </w:p>
    <w:p w14:paraId="1368333E" w14:textId="77777777" w:rsidR="00031774" w:rsidRPr="005A54E5" w:rsidRDefault="00031774" w:rsidP="007134BE">
      <w:pPr>
        <w:pStyle w:val="Prrafodelista"/>
        <w:numPr>
          <w:ilvl w:val="0"/>
          <w:numId w:val="13"/>
        </w:numPr>
        <w:rPr>
          <w:rFonts w:cs="Arial"/>
          <w:lang w:val="es-CO"/>
        </w:rPr>
      </w:pPr>
    </w:p>
    <w:p w14:paraId="2DF261F9" w14:textId="77777777" w:rsidR="005A54E5" w:rsidRDefault="005A54E5" w:rsidP="005A54E5">
      <w:pPr>
        <w:ind w:left="567"/>
        <w:rPr>
          <w:rFonts w:cs="Arial"/>
          <w:i/>
          <w:iCs/>
          <w:sz w:val="20"/>
          <w:szCs w:val="16"/>
          <w:lang w:val="es-CO"/>
        </w:rPr>
      </w:pPr>
    </w:p>
    <w:p w14:paraId="6E6E7493" w14:textId="3A289B7F" w:rsidR="00031774" w:rsidRPr="005A54E5" w:rsidRDefault="005A54E5" w:rsidP="00524107">
      <w:pPr>
        <w:ind w:left="284"/>
        <w:rPr>
          <w:rFonts w:cs="Arial"/>
          <w:i/>
          <w:iCs/>
          <w:lang w:val="es-CO"/>
        </w:rPr>
      </w:pPr>
      <w:r>
        <w:rPr>
          <w:rFonts w:cs="Arial"/>
          <w:i/>
          <w:iCs/>
          <w:sz w:val="20"/>
          <w:szCs w:val="16"/>
          <w:lang w:val="es-CO"/>
        </w:rPr>
        <w:t>“</w:t>
      </w:r>
      <w:r w:rsidR="00D7100E" w:rsidRPr="005A54E5">
        <w:rPr>
          <w:rFonts w:cs="Arial"/>
          <w:i/>
          <w:iCs/>
          <w:sz w:val="20"/>
          <w:szCs w:val="16"/>
          <w:lang w:val="es-CO"/>
        </w:rPr>
        <w:t xml:space="preserve">Sobre la actividad regulada, reiteramos nuestros comentarios sobre el mayor riesgo que enfrentan este tipo de proyectos; entre los cuales, se encuentra el riesgo de la tasa de cambio, el cual no se incorpora en este tipo de modelos de prestación de servicio donde el 100% de las unidades constructivas son importadas. Adicionalmente, el reciente aumento de precios y de logística de transporte que se han generado como consecuencia de los cambios en el comercio internacional presiona en mayor medida los costos y hemos evidenciado que el IPP oferta interna no logra recoger las variaciones e incremento de precio que se evidencia en los costos de estos elementos. En ese sentido, vemos necesario que la </w:t>
      </w:r>
      <w:r w:rsidR="00D7100E" w:rsidRPr="005A54E5">
        <w:rPr>
          <w:rFonts w:cs="Arial"/>
          <w:i/>
          <w:iCs/>
          <w:sz w:val="20"/>
          <w:szCs w:val="16"/>
          <w:lang w:val="es-CO"/>
        </w:rPr>
        <w:lastRenderedPageBreak/>
        <w:t>Comisión complemente la propuesta con un valor de tasa de retorno que permita la asumir este riesgo o aclarar el tratamiento que se dará a los bienes importados dentro de la metodología de remuneración.</w:t>
      </w:r>
      <w:r>
        <w:rPr>
          <w:rFonts w:cs="Arial"/>
          <w:i/>
          <w:iCs/>
          <w:sz w:val="20"/>
          <w:szCs w:val="16"/>
          <w:lang w:val="es-CO"/>
        </w:rPr>
        <w:t>”</w:t>
      </w:r>
    </w:p>
    <w:p w14:paraId="721FFAD9" w14:textId="77777777" w:rsidR="00031774" w:rsidRDefault="00031774" w:rsidP="00031774">
      <w:pPr>
        <w:rPr>
          <w:rFonts w:cs="Arial"/>
          <w:lang w:val="es-CO"/>
        </w:rPr>
      </w:pPr>
    </w:p>
    <w:p w14:paraId="78F466BC" w14:textId="77777777" w:rsidR="00031774" w:rsidRPr="005A54E5" w:rsidRDefault="00031774" w:rsidP="007134BE">
      <w:pPr>
        <w:pStyle w:val="Prrafodelista"/>
        <w:numPr>
          <w:ilvl w:val="0"/>
          <w:numId w:val="16"/>
        </w:numPr>
        <w:rPr>
          <w:rFonts w:cs="Arial"/>
          <w:lang w:val="es-CO"/>
        </w:rPr>
      </w:pPr>
    </w:p>
    <w:p w14:paraId="4C343799" w14:textId="77777777" w:rsidR="005A54E5" w:rsidRDefault="005A54E5" w:rsidP="005A54E5">
      <w:pPr>
        <w:rPr>
          <w:lang w:val="es-CO"/>
        </w:rPr>
      </w:pPr>
    </w:p>
    <w:p w14:paraId="34A1B3FB" w14:textId="5C6B7910" w:rsidR="005A54E5" w:rsidRDefault="007318AE" w:rsidP="005A54E5">
      <w:r>
        <w:t>Con respecto al tema de tasa de cambio, e</w:t>
      </w:r>
      <w:r w:rsidRPr="0039003A">
        <w:t>n el marco tarifario</w:t>
      </w:r>
      <w:r>
        <w:t>, Resolución CREG 101 026 de 2022, para la actualización de los cargos máximos</w:t>
      </w:r>
      <w:r w:rsidRPr="0039003A">
        <w:t xml:space="preserve"> se tiene </w:t>
      </w:r>
      <w:r>
        <w:t xml:space="preserve">definido </w:t>
      </w:r>
      <w:r w:rsidRPr="0039003A">
        <w:t xml:space="preserve">como indexador </w:t>
      </w:r>
      <w:r>
        <w:t xml:space="preserve">el </w:t>
      </w:r>
      <w:r w:rsidRPr="0039003A">
        <w:t>IPP</w:t>
      </w:r>
      <w:r>
        <w:t xml:space="preserve"> Oferta Interna</w:t>
      </w:r>
      <w:r w:rsidRPr="0039003A">
        <w:t xml:space="preserve">, </w:t>
      </w:r>
      <w:r>
        <w:t xml:space="preserve">mediante </w:t>
      </w:r>
      <w:r w:rsidRPr="0039003A">
        <w:t xml:space="preserve">el cual </w:t>
      </w:r>
      <w:r>
        <w:t xml:space="preserve">se </w:t>
      </w:r>
      <w:r w:rsidRPr="0039003A">
        <w:t>recoge la variación en el costo de los insumos importados.</w:t>
      </w:r>
    </w:p>
    <w:p w14:paraId="7335AB74" w14:textId="77777777" w:rsidR="007318AE" w:rsidRDefault="007318AE" w:rsidP="005A54E5">
      <w:pPr>
        <w:rPr>
          <w:lang w:val="es-CO"/>
        </w:rPr>
      </w:pPr>
    </w:p>
    <w:p w14:paraId="4C5CEDD4" w14:textId="77777777" w:rsidR="005A54E5" w:rsidRPr="002F0764" w:rsidRDefault="005A54E5" w:rsidP="007134BE">
      <w:pPr>
        <w:pStyle w:val="Prrafodelista"/>
        <w:numPr>
          <w:ilvl w:val="0"/>
          <w:numId w:val="13"/>
        </w:numPr>
        <w:rPr>
          <w:lang w:val="es-CO"/>
        </w:rPr>
      </w:pPr>
    </w:p>
    <w:p w14:paraId="79CD215F" w14:textId="77777777" w:rsidR="002F0764" w:rsidRPr="002F0764" w:rsidRDefault="002F0764" w:rsidP="002F0764">
      <w:pPr>
        <w:autoSpaceDE w:val="0"/>
        <w:autoSpaceDN w:val="0"/>
        <w:adjustRightInd w:val="0"/>
        <w:contextualSpacing w:val="0"/>
        <w:jc w:val="left"/>
        <w:rPr>
          <w:rFonts w:ascii="Calibri" w:hAnsi="Calibri" w:cs="Calibri"/>
          <w:color w:val="000000"/>
          <w:szCs w:val="24"/>
          <w:lang w:val="es-CO" w:eastAsia="es-CO"/>
        </w:rPr>
      </w:pPr>
    </w:p>
    <w:p w14:paraId="7C16DD1E" w14:textId="14991A75" w:rsidR="005A54E5" w:rsidRDefault="002F0764" w:rsidP="002F0764">
      <w:pPr>
        <w:ind w:left="284"/>
        <w:rPr>
          <w:lang w:val="es-CO"/>
        </w:rPr>
      </w:pPr>
      <w:r>
        <w:rPr>
          <w:rFonts w:cs="Arial"/>
          <w:i/>
          <w:iCs/>
          <w:color w:val="000000"/>
          <w:sz w:val="20"/>
          <w:lang w:val="es-CO" w:eastAsia="es-CO"/>
        </w:rPr>
        <w:t>“</w:t>
      </w:r>
      <w:r w:rsidRPr="002F0764">
        <w:rPr>
          <w:rFonts w:cs="Arial"/>
          <w:i/>
          <w:iCs/>
          <w:color w:val="000000"/>
          <w:sz w:val="20"/>
          <w:lang w:val="es-CO" w:eastAsia="es-CO"/>
        </w:rPr>
        <w:t>Adicionalmente, en la metodología de remuneración no se considera el riesgo por la falta de estandarización de los equipos. Al respecto, es importante mencionarle a la Comisión que la constante innovación tecnológica y el dinamismo del mercado, pueden sugerir alternativas como remuneración en $/Wp, potencia nominal mínima, expresada en vatios pico, del arreglo de módulos solares fotovoltaicos, con el fin de lograr una mejor adaptación al contexto de mercado, las cuales sugerimos sean consideradas</w:t>
      </w:r>
      <w:r w:rsidRPr="002F0764">
        <w:rPr>
          <w:rFonts w:ascii="Calibri" w:hAnsi="Calibri" w:cs="Calibri"/>
          <w:color w:val="000000"/>
          <w:sz w:val="22"/>
          <w:szCs w:val="22"/>
          <w:lang w:val="es-CO" w:eastAsia="es-CO"/>
        </w:rPr>
        <w:t>.</w:t>
      </w:r>
      <w:r>
        <w:rPr>
          <w:rFonts w:ascii="Calibri" w:hAnsi="Calibri" w:cs="Calibri"/>
          <w:color w:val="000000"/>
          <w:sz w:val="22"/>
          <w:szCs w:val="22"/>
          <w:lang w:val="es-CO" w:eastAsia="es-CO"/>
        </w:rPr>
        <w:t>”</w:t>
      </w:r>
    </w:p>
    <w:p w14:paraId="3D22CB05" w14:textId="77777777" w:rsidR="005A54E5" w:rsidRDefault="005A54E5" w:rsidP="005A54E5">
      <w:pPr>
        <w:rPr>
          <w:lang w:val="es-CO"/>
        </w:rPr>
      </w:pPr>
    </w:p>
    <w:p w14:paraId="159BBDA2" w14:textId="77777777" w:rsidR="005A54E5" w:rsidRPr="002F0764" w:rsidRDefault="005A54E5" w:rsidP="007134BE">
      <w:pPr>
        <w:pStyle w:val="Prrafodelista"/>
        <w:numPr>
          <w:ilvl w:val="0"/>
          <w:numId w:val="16"/>
        </w:numPr>
        <w:rPr>
          <w:lang w:val="es-CO"/>
        </w:rPr>
      </w:pPr>
    </w:p>
    <w:p w14:paraId="6B51C9B8" w14:textId="77777777" w:rsidR="005A54E5" w:rsidRDefault="005A54E5" w:rsidP="005A54E5">
      <w:pPr>
        <w:rPr>
          <w:lang w:val="es-CO"/>
        </w:rPr>
      </w:pPr>
    </w:p>
    <w:p w14:paraId="50AA8924" w14:textId="5526D25A" w:rsidR="002F0764" w:rsidRDefault="00CD0C00" w:rsidP="005A54E5">
      <w:pPr>
        <w:rPr>
          <w:lang w:val="es-CO"/>
        </w:rPr>
      </w:pPr>
      <w:r>
        <w:rPr>
          <w:lang w:val="es-CO"/>
        </w:rPr>
        <w:t xml:space="preserve">Los </w:t>
      </w:r>
      <w:r w:rsidR="006C4DB3">
        <w:rPr>
          <w:lang w:val="es-CO"/>
        </w:rPr>
        <w:t>aspectos</w:t>
      </w:r>
      <w:r>
        <w:rPr>
          <w:lang w:val="es-CO"/>
        </w:rPr>
        <w:t xml:space="preserve"> relacionados con la metodología de remuneración de </w:t>
      </w:r>
      <w:r w:rsidR="00E72FF7">
        <w:rPr>
          <w:lang w:val="es-CO"/>
        </w:rPr>
        <w:t>soluciones individuales</w:t>
      </w:r>
      <w:r w:rsidR="006C4DB3">
        <w:rPr>
          <w:lang w:val="es-CO"/>
        </w:rPr>
        <w:t xml:space="preserve"> </w:t>
      </w:r>
      <w:r>
        <w:rPr>
          <w:lang w:val="es-CO"/>
        </w:rPr>
        <w:t xml:space="preserve">no hacen parte de </w:t>
      </w:r>
      <w:r w:rsidR="006C4DB3" w:rsidRPr="00E72FF7">
        <w:rPr>
          <w:lang w:val="es-CO"/>
        </w:rPr>
        <w:t>la temática que fue sometida a consulta mediante la Resolución CREG 01 022 de 2022</w:t>
      </w:r>
      <w:r w:rsidR="006C4DB3">
        <w:rPr>
          <w:lang w:val="es-CO"/>
        </w:rPr>
        <w:t>. Dicha metodología ha sido expedida en su versión definitiva mediante la resolución CREG 101 026 de 022</w:t>
      </w:r>
      <w:r w:rsidR="00EA23A5">
        <w:rPr>
          <w:lang w:val="es-CO"/>
        </w:rPr>
        <w:t xml:space="preserve"> y tuvo dos procesos de consulta en los que se recibieron y analizaron comentarios realizados por parte de los agentes.</w:t>
      </w:r>
      <w:r w:rsidR="004F147D">
        <w:rPr>
          <w:lang w:val="es-CO"/>
        </w:rPr>
        <w:t xml:space="preserve"> </w:t>
      </w:r>
      <w:r w:rsidR="004E4D80">
        <w:rPr>
          <w:lang w:val="es-CO"/>
        </w:rPr>
        <w:t>Ver respuesta al comentario 2.</w:t>
      </w:r>
    </w:p>
    <w:p w14:paraId="0E1E2367" w14:textId="77777777" w:rsidR="004E4D80" w:rsidRDefault="004E4D80" w:rsidP="005A54E5">
      <w:pPr>
        <w:rPr>
          <w:lang w:val="es-CO"/>
        </w:rPr>
      </w:pPr>
    </w:p>
    <w:p w14:paraId="15600DFA" w14:textId="77777777" w:rsidR="005A54E5" w:rsidRPr="002F0764" w:rsidRDefault="005A54E5" w:rsidP="007134BE">
      <w:pPr>
        <w:pStyle w:val="Prrafodelista"/>
        <w:numPr>
          <w:ilvl w:val="0"/>
          <w:numId w:val="13"/>
        </w:numPr>
        <w:rPr>
          <w:lang w:val="es-CO"/>
        </w:rPr>
      </w:pPr>
    </w:p>
    <w:p w14:paraId="56E0A621" w14:textId="77777777" w:rsidR="005A54E5" w:rsidRDefault="005A54E5" w:rsidP="005A54E5">
      <w:pPr>
        <w:rPr>
          <w:lang w:val="es-CO"/>
        </w:rPr>
      </w:pPr>
    </w:p>
    <w:p w14:paraId="016D77E8" w14:textId="70387653" w:rsidR="005A54E5" w:rsidRPr="002F0764" w:rsidRDefault="002F0764" w:rsidP="00524107">
      <w:pPr>
        <w:tabs>
          <w:tab w:val="left" w:pos="284"/>
        </w:tabs>
        <w:ind w:left="284"/>
        <w:rPr>
          <w:rFonts w:cs="Arial"/>
          <w:i/>
          <w:iCs/>
          <w:sz w:val="20"/>
          <w:lang w:val="es-CO"/>
        </w:rPr>
      </w:pPr>
      <w:r w:rsidRPr="002F0764">
        <w:rPr>
          <w:rFonts w:cs="Arial"/>
          <w:i/>
          <w:iCs/>
          <w:color w:val="000000"/>
          <w:sz w:val="20"/>
          <w:lang w:val="es-CO" w:eastAsia="es-CO"/>
        </w:rPr>
        <w:t xml:space="preserve">“Por otra parte, la metodología desconoce los riesgos de atención de pocos usuarios aislados, en este tipo de esquemas. Dentro de la metodología de remuneración CREG 101 026 de 2022 el valor del AOM que depende del número de usuarios </w:t>
      </w:r>
      <w:proofErr w:type="gramStart"/>
      <w:r w:rsidRPr="002F0764">
        <w:rPr>
          <w:rFonts w:cs="Arial"/>
          <w:i/>
          <w:iCs/>
          <w:color w:val="000000"/>
          <w:sz w:val="20"/>
          <w:lang w:val="es-CO" w:eastAsia="es-CO"/>
        </w:rPr>
        <w:t>( AMGCNU</w:t>
      </w:r>
      <w:proofErr w:type="gramEnd"/>
      <w:r w:rsidRPr="002F0764">
        <w:rPr>
          <w:rFonts w:cs="Arial"/>
          <w:i/>
          <w:iCs/>
          <w:color w:val="000000"/>
          <w:sz w:val="20"/>
          <w:lang w:val="es-CO" w:eastAsia="es-CO"/>
        </w:rPr>
        <w:t>,m,0 ) , toma los usuarios ZNI y SIN para definir la tarifa, distribuyendo los gastos de AOM en toda la red, lo cual no permite la sostenibilidad del modelo económico. Por lo cual, es necesario que la tarifa tenga en cuenta únicamente los usuarios ZNI, y de esta forma se incorpore el riesgo de tener pocos usuarios y su mayor dispersión.</w:t>
      </w:r>
    </w:p>
    <w:p w14:paraId="3D4D62C3" w14:textId="77777777" w:rsidR="005A54E5" w:rsidRDefault="005A54E5" w:rsidP="005A54E5">
      <w:pPr>
        <w:rPr>
          <w:lang w:val="es-CO"/>
        </w:rPr>
      </w:pPr>
    </w:p>
    <w:p w14:paraId="185FCA96" w14:textId="77777777" w:rsidR="005A54E5" w:rsidRPr="002F0764" w:rsidRDefault="005A54E5" w:rsidP="007134BE">
      <w:pPr>
        <w:pStyle w:val="Prrafodelista"/>
        <w:numPr>
          <w:ilvl w:val="0"/>
          <w:numId w:val="16"/>
        </w:numPr>
        <w:rPr>
          <w:lang w:val="es-CO"/>
        </w:rPr>
      </w:pPr>
    </w:p>
    <w:p w14:paraId="41410BCB" w14:textId="77777777" w:rsidR="005A54E5" w:rsidRDefault="005A54E5" w:rsidP="005A54E5">
      <w:pPr>
        <w:rPr>
          <w:lang w:val="es-CO"/>
        </w:rPr>
      </w:pPr>
    </w:p>
    <w:p w14:paraId="1949F3C8" w14:textId="3540E3DC" w:rsidR="002F0764" w:rsidRDefault="00A12FC5" w:rsidP="005A54E5">
      <w:pPr>
        <w:rPr>
          <w:lang w:val="es-CO"/>
        </w:rPr>
      </w:pPr>
      <w:r>
        <w:rPr>
          <w:lang w:val="es-CO"/>
        </w:rPr>
        <w:t xml:space="preserve">Ver respuesta </w:t>
      </w:r>
      <w:r w:rsidR="009E17B7">
        <w:rPr>
          <w:lang w:val="es-CO"/>
        </w:rPr>
        <w:t xml:space="preserve">al comentario </w:t>
      </w:r>
      <w:r w:rsidR="00597749">
        <w:rPr>
          <w:lang w:val="es-CO"/>
        </w:rPr>
        <w:t>17.</w:t>
      </w:r>
    </w:p>
    <w:p w14:paraId="13BE80EB" w14:textId="77777777" w:rsidR="002F0764" w:rsidRDefault="002F0764" w:rsidP="005A54E5">
      <w:pPr>
        <w:rPr>
          <w:lang w:val="es-CO"/>
        </w:rPr>
      </w:pPr>
    </w:p>
    <w:p w14:paraId="3D8C16B2" w14:textId="77777777" w:rsidR="002F0764" w:rsidRPr="002F0764" w:rsidRDefault="002F0764" w:rsidP="007134BE">
      <w:pPr>
        <w:pStyle w:val="Prrafodelista"/>
        <w:numPr>
          <w:ilvl w:val="0"/>
          <w:numId w:val="13"/>
        </w:numPr>
        <w:rPr>
          <w:lang w:val="es-CO"/>
        </w:rPr>
      </w:pPr>
    </w:p>
    <w:p w14:paraId="7CA43CAC" w14:textId="77777777" w:rsidR="002F0764" w:rsidRDefault="002F0764" w:rsidP="005A54E5">
      <w:pPr>
        <w:rPr>
          <w:lang w:val="es-CO"/>
        </w:rPr>
      </w:pPr>
    </w:p>
    <w:p w14:paraId="2A8FAEF8" w14:textId="499142D3" w:rsidR="002F0764" w:rsidRDefault="002F0764" w:rsidP="001128C7">
      <w:pPr>
        <w:autoSpaceDE w:val="0"/>
        <w:autoSpaceDN w:val="0"/>
        <w:adjustRightInd w:val="0"/>
        <w:ind w:left="284"/>
        <w:contextualSpacing w:val="0"/>
        <w:rPr>
          <w:rFonts w:cs="Arial"/>
          <w:i/>
          <w:iCs/>
          <w:color w:val="000000"/>
          <w:sz w:val="20"/>
          <w:lang w:val="es-CO" w:eastAsia="es-CO"/>
        </w:rPr>
      </w:pPr>
      <w:r>
        <w:rPr>
          <w:rFonts w:cs="Arial"/>
          <w:i/>
          <w:iCs/>
          <w:color w:val="000000"/>
          <w:sz w:val="20"/>
          <w:lang w:val="es-CO" w:eastAsia="es-CO"/>
        </w:rPr>
        <w:t>“</w:t>
      </w:r>
      <w:r w:rsidRPr="002F0764">
        <w:rPr>
          <w:rFonts w:cs="Arial"/>
          <w:i/>
          <w:iCs/>
          <w:color w:val="000000"/>
          <w:sz w:val="20"/>
          <w:lang w:val="es-CO" w:eastAsia="es-CO"/>
        </w:rPr>
        <w:t xml:space="preserve">Con respecto al cálculo de la tasa de retorno a continuación los comentarios más relevantes: </w:t>
      </w:r>
    </w:p>
    <w:p w14:paraId="55C97BD2" w14:textId="77777777" w:rsidR="002F0764" w:rsidRPr="002F0764" w:rsidRDefault="002F0764" w:rsidP="001128C7">
      <w:pPr>
        <w:autoSpaceDE w:val="0"/>
        <w:autoSpaceDN w:val="0"/>
        <w:adjustRightInd w:val="0"/>
        <w:ind w:left="284"/>
        <w:contextualSpacing w:val="0"/>
        <w:rPr>
          <w:rFonts w:cs="Arial"/>
          <w:i/>
          <w:iCs/>
          <w:color w:val="000000"/>
          <w:sz w:val="20"/>
          <w:lang w:val="es-CO" w:eastAsia="es-CO"/>
        </w:rPr>
      </w:pPr>
    </w:p>
    <w:p w14:paraId="653839C9" w14:textId="0639E6A7" w:rsidR="002F0764" w:rsidRPr="002F0764" w:rsidRDefault="002F0764" w:rsidP="001128C7">
      <w:pPr>
        <w:pStyle w:val="Prrafodelista"/>
        <w:autoSpaceDE w:val="0"/>
        <w:autoSpaceDN w:val="0"/>
        <w:adjustRightInd w:val="0"/>
        <w:ind w:left="284"/>
        <w:contextualSpacing w:val="0"/>
        <w:rPr>
          <w:rFonts w:cs="Arial"/>
          <w:i/>
          <w:iCs/>
          <w:color w:val="000000"/>
          <w:sz w:val="20"/>
          <w:lang w:val="es-CO" w:eastAsia="es-CO"/>
        </w:rPr>
      </w:pPr>
      <w:r w:rsidRPr="002F0764">
        <w:rPr>
          <w:rFonts w:cs="Arial"/>
          <w:b/>
          <w:bCs/>
          <w:i/>
          <w:iCs/>
          <w:color w:val="000000"/>
          <w:sz w:val="20"/>
          <w:lang w:val="es-CO" w:eastAsia="es-CO"/>
        </w:rPr>
        <w:t>Fecha de corte</w:t>
      </w:r>
      <w:r w:rsidRPr="002F0764">
        <w:rPr>
          <w:rFonts w:cs="Arial"/>
          <w:i/>
          <w:iCs/>
          <w:color w:val="000000"/>
          <w:sz w:val="20"/>
          <w:lang w:val="es-CO" w:eastAsia="es-CO"/>
        </w:rPr>
        <w:t>: El último valor público de la tasa de retorno con el detalle del valor de las variables es el del documento publicado CREG 701 010 de 2022 el cual incluye un cálculo de 10.3% con diferentes fechas de corte, por lo cual es importante tener el valor en detalle del nuevo cálculo y en la fecha de corte definida. Agradecemos a la CREG publicar las fuentes utilizadas a la fecha de corte que se definida.</w:t>
      </w:r>
      <w:r w:rsidR="00994C42">
        <w:rPr>
          <w:rFonts w:cs="Arial"/>
          <w:i/>
          <w:iCs/>
          <w:color w:val="000000"/>
          <w:sz w:val="20"/>
          <w:lang w:val="es-CO" w:eastAsia="es-CO"/>
        </w:rPr>
        <w:t>”</w:t>
      </w:r>
    </w:p>
    <w:p w14:paraId="390DAEC2" w14:textId="77777777" w:rsidR="002F0764" w:rsidRPr="002F0764" w:rsidRDefault="002F0764" w:rsidP="001128C7">
      <w:pPr>
        <w:autoSpaceDE w:val="0"/>
        <w:autoSpaceDN w:val="0"/>
        <w:adjustRightInd w:val="0"/>
        <w:ind w:left="284"/>
        <w:contextualSpacing w:val="0"/>
        <w:rPr>
          <w:rFonts w:cs="Arial"/>
          <w:i/>
          <w:iCs/>
          <w:color w:val="000000"/>
          <w:sz w:val="20"/>
          <w:lang w:val="es-CO" w:eastAsia="es-CO"/>
        </w:rPr>
      </w:pPr>
    </w:p>
    <w:p w14:paraId="5CF6210A" w14:textId="514B2265" w:rsidR="002F0764" w:rsidRPr="002F0764" w:rsidRDefault="002F0764" w:rsidP="001128C7">
      <w:pPr>
        <w:pStyle w:val="Prrafodelista"/>
        <w:autoSpaceDE w:val="0"/>
        <w:autoSpaceDN w:val="0"/>
        <w:adjustRightInd w:val="0"/>
        <w:ind w:left="284"/>
        <w:contextualSpacing w:val="0"/>
        <w:rPr>
          <w:rFonts w:cs="Arial"/>
          <w:i/>
          <w:iCs/>
          <w:color w:val="000000"/>
          <w:sz w:val="20"/>
          <w:lang w:val="es-CO" w:eastAsia="es-CO"/>
        </w:rPr>
      </w:pPr>
      <w:r w:rsidRPr="002F0764">
        <w:rPr>
          <w:rFonts w:cs="Arial"/>
          <w:i/>
          <w:iCs/>
          <w:color w:val="000000"/>
          <w:sz w:val="20"/>
          <w:lang w:val="es-CO" w:eastAsia="es-CO"/>
        </w:rPr>
        <w:t>Adicionalmente, la fecha de corte propuesta para para el cálculo de la tasa de retorno es el 30 de junio de 2022, no obstante, desde junio a diciembre del 2022 la devaluación del peso frente al dólar aumentó significativamente, alcanzando en promedio un 22% a diciembre frente a junio; por esta razón, es importante que la serie de datos del cálculo tome este período y así refleje en alguna medida el comportamiento de mercado actual y el que se espera en el mediano plazo.</w:t>
      </w:r>
      <w:r w:rsidR="00404215">
        <w:rPr>
          <w:rFonts w:cs="Arial"/>
          <w:i/>
          <w:iCs/>
          <w:color w:val="000000"/>
          <w:sz w:val="20"/>
          <w:lang w:val="es-CO" w:eastAsia="es-CO"/>
        </w:rPr>
        <w:t>”</w:t>
      </w:r>
    </w:p>
    <w:p w14:paraId="695E714B" w14:textId="77777777" w:rsidR="002F0764" w:rsidRDefault="002F0764" w:rsidP="001E74E9">
      <w:pPr>
        <w:autoSpaceDE w:val="0"/>
        <w:autoSpaceDN w:val="0"/>
        <w:adjustRightInd w:val="0"/>
        <w:ind w:left="426"/>
        <w:contextualSpacing w:val="0"/>
        <w:rPr>
          <w:rFonts w:cs="Arial"/>
          <w:i/>
          <w:iCs/>
          <w:color w:val="000000"/>
          <w:sz w:val="20"/>
          <w:lang w:val="es-CO" w:eastAsia="es-CO"/>
        </w:rPr>
      </w:pPr>
    </w:p>
    <w:p w14:paraId="609C7A81" w14:textId="77777777" w:rsidR="00404215" w:rsidRPr="00404215" w:rsidRDefault="00404215" w:rsidP="00404215">
      <w:pPr>
        <w:pStyle w:val="Prrafodelista"/>
        <w:numPr>
          <w:ilvl w:val="0"/>
          <w:numId w:val="16"/>
        </w:numPr>
        <w:autoSpaceDE w:val="0"/>
        <w:autoSpaceDN w:val="0"/>
        <w:adjustRightInd w:val="0"/>
        <w:contextualSpacing w:val="0"/>
        <w:rPr>
          <w:rFonts w:cs="Arial"/>
          <w:i/>
          <w:iCs/>
          <w:color w:val="000000"/>
          <w:sz w:val="20"/>
          <w:lang w:val="es-CO" w:eastAsia="es-CO"/>
        </w:rPr>
      </w:pPr>
    </w:p>
    <w:p w14:paraId="67D06D29" w14:textId="77777777" w:rsidR="00404215" w:rsidRDefault="00404215" w:rsidP="001E74E9">
      <w:pPr>
        <w:autoSpaceDE w:val="0"/>
        <w:autoSpaceDN w:val="0"/>
        <w:adjustRightInd w:val="0"/>
        <w:ind w:left="426"/>
        <w:contextualSpacing w:val="0"/>
        <w:rPr>
          <w:rFonts w:cs="Arial"/>
          <w:i/>
          <w:iCs/>
          <w:color w:val="000000"/>
          <w:sz w:val="20"/>
          <w:lang w:val="es-CO" w:eastAsia="es-CO"/>
        </w:rPr>
      </w:pPr>
    </w:p>
    <w:p w14:paraId="38EFD20E" w14:textId="14FE7BCD" w:rsidR="00404215" w:rsidRDefault="00883649" w:rsidP="00404215">
      <w:pPr>
        <w:rPr>
          <w:lang w:val="es-CO" w:eastAsia="es-CO"/>
        </w:rPr>
      </w:pPr>
      <w:r>
        <w:rPr>
          <w:lang w:val="es-CO" w:eastAsia="es-CO"/>
        </w:rPr>
        <w:t xml:space="preserve">Ver respuesta </w:t>
      </w:r>
      <w:r w:rsidR="009E17B7">
        <w:rPr>
          <w:lang w:val="es-CO" w:eastAsia="es-CO"/>
        </w:rPr>
        <w:t>al comentario 9</w:t>
      </w:r>
      <w:r>
        <w:rPr>
          <w:lang w:val="es-CO" w:eastAsia="es-CO"/>
        </w:rPr>
        <w:t>.</w:t>
      </w:r>
    </w:p>
    <w:p w14:paraId="14B8661D" w14:textId="77777777" w:rsidR="00404215" w:rsidRDefault="00404215" w:rsidP="001E74E9">
      <w:pPr>
        <w:autoSpaceDE w:val="0"/>
        <w:autoSpaceDN w:val="0"/>
        <w:adjustRightInd w:val="0"/>
        <w:ind w:left="426"/>
        <w:contextualSpacing w:val="0"/>
        <w:rPr>
          <w:rFonts w:cs="Arial"/>
          <w:i/>
          <w:iCs/>
          <w:color w:val="000000"/>
          <w:sz w:val="20"/>
          <w:lang w:val="es-CO" w:eastAsia="es-CO"/>
        </w:rPr>
      </w:pPr>
    </w:p>
    <w:p w14:paraId="7AE741B0" w14:textId="77777777" w:rsidR="00404215" w:rsidRPr="00404215" w:rsidRDefault="00404215" w:rsidP="00404215">
      <w:pPr>
        <w:pStyle w:val="Prrafodelista"/>
        <w:numPr>
          <w:ilvl w:val="0"/>
          <w:numId w:val="13"/>
        </w:numPr>
        <w:autoSpaceDE w:val="0"/>
        <w:autoSpaceDN w:val="0"/>
        <w:adjustRightInd w:val="0"/>
        <w:contextualSpacing w:val="0"/>
        <w:rPr>
          <w:rFonts w:cs="Arial"/>
          <w:i/>
          <w:iCs/>
          <w:color w:val="000000"/>
          <w:sz w:val="20"/>
          <w:lang w:val="es-CO" w:eastAsia="es-CO"/>
        </w:rPr>
      </w:pPr>
    </w:p>
    <w:p w14:paraId="5984028E" w14:textId="77777777" w:rsidR="00404215" w:rsidRDefault="00404215" w:rsidP="00404215">
      <w:pPr>
        <w:pStyle w:val="Prrafodelista"/>
        <w:autoSpaceDE w:val="0"/>
        <w:autoSpaceDN w:val="0"/>
        <w:adjustRightInd w:val="0"/>
        <w:ind w:left="426"/>
        <w:contextualSpacing w:val="0"/>
        <w:rPr>
          <w:rFonts w:cs="Arial"/>
          <w:b/>
          <w:bCs/>
          <w:i/>
          <w:iCs/>
          <w:color w:val="000000"/>
          <w:sz w:val="20"/>
          <w:lang w:val="es-CO" w:eastAsia="es-CO"/>
        </w:rPr>
      </w:pPr>
    </w:p>
    <w:p w14:paraId="672D4354" w14:textId="2858153A" w:rsidR="002F0764" w:rsidRPr="002F0764" w:rsidRDefault="00404215" w:rsidP="001128C7">
      <w:pPr>
        <w:pStyle w:val="Prrafodelista"/>
        <w:autoSpaceDE w:val="0"/>
        <w:autoSpaceDN w:val="0"/>
        <w:adjustRightInd w:val="0"/>
        <w:ind w:left="284"/>
        <w:contextualSpacing w:val="0"/>
        <w:rPr>
          <w:rFonts w:cs="Arial"/>
          <w:i/>
          <w:iCs/>
          <w:color w:val="000000"/>
          <w:sz w:val="20"/>
          <w:lang w:val="es-CO" w:eastAsia="es-CO"/>
        </w:rPr>
      </w:pPr>
      <w:r>
        <w:rPr>
          <w:rFonts w:cs="Arial"/>
          <w:b/>
          <w:bCs/>
          <w:i/>
          <w:iCs/>
          <w:color w:val="000000"/>
          <w:sz w:val="20"/>
          <w:lang w:val="es-CO" w:eastAsia="es-CO"/>
        </w:rPr>
        <w:t>“</w:t>
      </w:r>
      <w:r w:rsidR="002F0764" w:rsidRPr="002F0764">
        <w:rPr>
          <w:rFonts w:cs="Arial"/>
          <w:b/>
          <w:bCs/>
          <w:i/>
          <w:iCs/>
          <w:color w:val="000000"/>
          <w:sz w:val="20"/>
          <w:lang w:val="es-CO" w:eastAsia="es-CO"/>
        </w:rPr>
        <w:t xml:space="preserve">Beta: </w:t>
      </w:r>
      <w:r w:rsidR="002F0764" w:rsidRPr="002F0764">
        <w:rPr>
          <w:rFonts w:cs="Arial"/>
          <w:i/>
          <w:iCs/>
          <w:color w:val="000000"/>
          <w:sz w:val="20"/>
          <w:lang w:val="es-CO" w:eastAsia="es-CO"/>
        </w:rPr>
        <w:t xml:space="preserve">Referente al código GICS 55105020, no es posible encontrar información relacionada en </w:t>
      </w:r>
      <w:proofErr w:type="spellStart"/>
      <w:r w:rsidR="002F0764" w:rsidRPr="002F0764">
        <w:rPr>
          <w:rFonts w:cs="Arial"/>
          <w:i/>
          <w:iCs/>
          <w:color w:val="000000"/>
          <w:sz w:val="20"/>
          <w:lang w:val="es-CO" w:eastAsia="es-CO"/>
        </w:rPr>
        <w:t>Duff</w:t>
      </w:r>
      <w:proofErr w:type="spellEnd"/>
      <w:r w:rsidR="002F0764" w:rsidRPr="002F0764">
        <w:rPr>
          <w:rFonts w:cs="Arial"/>
          <w:i/>
          <w:iCs/>
          <w:color w:val="000000"/>
          <w:sz w:val="20"/>
          <w:lang w:val="es-CO" w:eastAsia="es-CO"/>
        </w:rPr>
        <w:t xml:space="preserve"> &amp; Phelps (ahora KROLL) para la zona de Estados Unidos, solo hay información para zona mundo, por consiguiente, se desconoce la fuente de información para el cálculo </w:t>
      </w:r>
      <w:proofErr w:type="gramStart"/>
      <w:r w:rsidR="002F0764" w:rsidRPr="002F0764">
        <w:rPr>
          <w:rFonts w:cs="Arial"/>
          <w:i/>
          <w:iCs/>
          <w:color w:val="000000"/>
          <w:sz w:val="20"/>
          <w:lang w:val="es-CO" w:eastAsia="es-CO"/>
        </w:rPr>
        <w:t>del beta</w:t>
      </w:r>
      <w:proofErr w:type="gramEnd"/>
      <w:r w:rsidR="002F0764" w:rsidRPr="002F0764">
        <w:rPr>
          <w:rFonts w:cs="Arial"/>
          <w:i/>
          <w:iCs/>
          <w:color w:val="000000"/>
          <w:sz w:val="20"/>
          <w:lang w:val="es-CO" w:eastAsia="es-CO"/>
        </w:rPr>
        <w:t>, es necesario aclara dentro de la resolución cual fue la fuente utilizada y el valor del beta.</w:t>
      </w:r>
      <w:r>
        <w:rPr>
          <w:rFonts w:cs="Arial"/>
          <w:i/>
          <w:iCs/>
          <w:color w:val="000000"/>
          <w:sz w:val="20"/>
          <w:lang w:val="es-CO" w:eastAsia="es-CO"/>
        </w:rPr>
        <w:t>”</w:t>
      </w:r>
    </w:p>
    <w:p w14:paraId="4E7CDBBC" w14:textId="77777777" w:rsidR="002F0764" w:rsidRPr="002F0764" w:rsidRDefault="002F0764" w:rsidP="001E74E9">
      <w:pPr>
        <w:autoSpaceDE w:val="0"/>
        <w:autoSpaceDN w:val="0"/>
        <w:adjustRightInd w:val="0"/>
        <w:ind w:left="426"/>
        <w:contextualSpacing w:val="0"/>
        <w:rPr>
          <w:rFonts w:cs="Arial"/>
          <w:i/>
          <w:iCs/>
          <w:color w:val="000000"/>
          <w:sz w:val="20"/>
          <w:lang w:val="es-CO" w:eastAsia="es-CO"/>
        </w:rPr>
      </w:pPr>
    </w:p>
    <w:p w14:paraId="2AA91AD5" w14:textId="77777777" w:rsidR="00237B76" w:rsidRPr="00237B76" w:rsidRDefault="00237B76" w:rsidP="00237B76">
      <w:pPr>
        <w:pStyle w:val="Prrafodelista"/>
        <w:numPr>
          <w:ilvl w:val="0"/>
          <w:numId w:val="16"/>
        </w:numPr>
        <w:rPr>
          <w:lang w:val="es-CO" w:eastAsia="es-CO"/>
        </w:rPr>
      </w:pPr>
    </w:p>
    <w:p w14:paraId="5B40C004" w14:textId="77777777" w:rsidR="00237B76" w:rsidRDefault="00237B76" w:rsidP="00237B76">
      <w:pPr>
        <w:rPr>
          <w:lang w:val="es-CO" w:eastAsia="es-CO"/>
        </w:rPr>
      </w:pPr>
    </w:p>
    <w:p w14:paraId="60A9F810" w14:textId="0F61EF4D" w:rsidR="00237B76" w:rsidRDefault="00A271EA" w:rsidP="00237B76">
      <w:pPr>
        <w:rPr>
          <w:lang w:val="es-CO" w:eastAsia="es-CO"/>
        </w:rPr>
      </w:pPr>
      <w:r>
        <w:rPr>
          <w:lang w:val="es-CO" w:eastAsia="es-CO"/>
        </w:rPr>
        <w:t xml:space="preserve">En este sentido, se aclara que </w:t>
      </w:r>
      <w:r>
        <w:t>l</w:t>
      </w:r>
      <w:r w:rsidRPr="00A271EA">
        <w:t xml:space="preserve">a Resolución CREG 105 003A de 2022 establece que cuando no se cuente con información de </w:t>
      </w:r>
      <w:proofErr w:type="spellStart"/>
      <w:r w:rsidRPr="00A271EA">
        <w:t>Duff</w:t>
      </w:r>
      <w:proofErr w:type="spellEnd"/>
      <w:r w:rsidRPr="00A271EA">
        <w:t xml:space="preserve"> &amp; Phelps (ahora KROLL) la fuente de información será Bloomberg.</w:t>
      </w:r>
    </w:p>
    <w:p w14:paraId="21B4385F" w14:textId="77777777" w:rsidR="00237B76" w:rsidRPr="00237B76" w:rsidRDefault="00237B76" w:rsidP="00237B76">
      <w:pPr>
        <w:rPr>
          <w:lang w:val="es-CO" w:eastAsia="es-CO"/>
        </w:rPr>
      </w:pPr>
    </w:p>
    <w:p w14:paraId="2438B82D" w14:textId="77777777" w:rsidR="00237B76" w:rsidRDefault="00237B76" w:rsidP="00237B76">
      <w:pPr>
        <w:pStyle w:val="Prrafodelista"/>
        <w:numPr>
          <w:ilvl w:val="0"/>
          <w:numId w:val="13"/>
        </w:numPr>
        <w:autoSpaceDE w:val="0"/>
        <w:autoSpaceDN w:val="0"/>
        <w:adjustRightInd w:val="0"/>
        <w:contextualSpacing w:val="0"/>
        <w:rPr>
          <w:rFonts w:cs="Arial"/>
          <w:b/>
          <w:bCs/>
          <w:i/>
          <w:iCs/>
          <w:color w:val="000000"/>
          <w:sz w:val="20"/>
          <w:lang w:val="es-CO" w:eastAsia="es-CO"/>
        </w:rPr>
      </w:pPr>
    </w:p>
    <w:p w14:paraId="6E00E2B3" w14:textId="77777777" w:rsidR="00237B76" w:rsidRPr="00237B76" w:rsidRDefault="00237B76" w:rsidP="00237B76">
      <w:pPr>
        <w:rPr>
          <w:lang w:val="es-CO" w:eastAsia="es-CO"/>
        </w:rPr>
      </w:pPr>
    </w:p>
    <w:p w14:paraId="27069C8E" w14:textId="106CE527" w:rsidR="002F0764" w:rsidRPr="002F0764" w:rsidRDefault="00237B76" w:rsidP="00DC59E7">
      <w:pPr>
        <w:pStyle w:val="Prrafodelista"/>
        <w:autoSpaceDE w:val="0"/>
        <w:autoSpaceDN w:val="0"/>
        <w:adjustRightInd w:val="0"/>
        <w:ind w:left="284"/>
        <w:contextualSpacing w:val="0"/>
        <w:rPr>
          <w:rFonts w:cs="Arial"/>
          <w:i/>
          <w:iCs/>
          <w:color w:val="000000"/>
          <w:sz w:val="20"/>
          <w:lang w:val="es-CO" w:eastAsia="es-CO"/>
        </w:rPr>
      </w:pPr>
      <w:r>
        <w:rPr>
          <w:rFonts w:cs="Arial"/>
          <w:b/>
          <w:bCs/>
          <w:i/>
          <w:iCs/>
          <w:color w:val="000000"/>
          <w:sz w:val="20"/>
          <w:lang w:val="es-CO" w:eastAsia="es-CO"/>
        </w:rPr>
        <w:t>“</w:t>
      </w:r>
      <w:r w:rsidR="002F0764" w:rsidRPr="002F0764">
        <w:rPr>
          <w:rFonts w:cs="Arial"/>
          <w:b/>
          <w:bCs/>
          <w:i/>
          <w:iCs/>
          <w:color w:val="000000"/>
          <w:sz w:val="20"/>
          <w:lang w:val="es-CO" w:eastAsia="es-CO"/>
        </w:rPr>
        <w:t xml:space="preserve">Fuentes Ke: </w:t>
      </w:r>
      <w:r w:rsidR="002F0764" w:rsidRPr="002F0764">
        <w:rPr>
          <w:rFonts w:cs="Arial"/>
          <w:i/>
          <w:iCs/>
          <w:color w:val="000000"/>
          <w:sz w:val="20"/>
          <w:lang w:val="es-CO" w:eastAsia="es-CO"/>
        </w:rPr>
        <w:t>Es de gran relevancia para el entendimiento de la tasa propuesta, que la Comisión publique la memoria de cálculo de la tasa de descuento o al menos los valores del cálculo propuesto, con la información de las fuentes en los horizontes respectivos, teniendo en cuenta que las fuentes del cálculo para el Ke no son públicas y no todos los interesados tienen acceso a la información.</w:t>
      </w:r>
      <w:r w:rsidR="00DC59E7">
        <w:rPr>
          <w:rFonts w:cs="Arial"/>
          <w:i/>
          <w:iCs/>
          <w:color w:val="000000"/>
          <w:sz w:val="20"/>
          <w:lang w:val="es-CO" w:eastAsia="es-CO"/>
        </w:rPr>
        <w:t>”</w:t>
      </w:r>
    </w:p>
    <w:p w14:paraId="43B0C495" w14:textId="77777777" w:rsidR="002F0764" w:rsidRDefault="002F0764" w:rsidP="001E74E9">
      <w:pPr>
        <w:autoSpaceDE w:val="0"/>
        <w:autoSpaceDN w:val="0"/>
        <w:adjustRightInd w:val="0"/>
        <w:ind w:left="426"/>
        <w:contextualSpacing w:val="0"/>
        <w:rPr>
          <w:rFonts w:cs="Arial"/>
          <w:i/>
          <w:iCs/>
          <w:color w:val="000000"/>
          <w:sz w:val="20"/>
          <w:lang w:val="es-CO" w:eastAsia="es-CO"/>
        </w:rPr>
      </w:pPr>
    </w:p>
    <w:p w14:paraId="21B656B8" w14:textId="77777777" w:rsidR="00237B76" w:rsidRPr="00237B76" w:rsidRDefault="00237B76" w:rsidP="00237B76">
      <w:pPr>
        <w:pStyle w:val="Prrafodelista"/>
        <w:numPr>
          <w:ilvl w:val="0"/>
          <w:numId w:val="16"/>
        </w:numPr>
        <w:rPr>
          <w:lang w:val="es-CO" w:eastAsia="es-CO"/>
        </w:rPr>
      </w:pPr>
    </w:p>
    <w:p w14:paraId="378E985E" w14:textId="77777777" w:rsidR="00237B76" w:rsidRDefault="00237B76" w:rsidP="00237B76">
      <w:pPr>
        <w:rPr>
          <w:lang w:val="es-CO" w:eastAsia="es-CO"/>
        </w:rPr>
      </w:pPr>
    </w:p>
    <w:p w14:paraId="4E242E22" w14:textId="25975F11" w:rsidR="00237B76" w:rsidRDefault="0098392A" w:rsidP="00237B76">
      <w:pPr>
        <w:rPr>
          <w:lang w:val="es-CO" w:eastAsia="es-CO"/>
        </w:rPr>
      </w:pPr>
      <w:r>
        <w:rPr>
          <w:lang w:val="es-CO" w:eastAsia="es-CO"/>
        </w:rPr>
        <w:t xml:space="preserve">La memoria de cálculo fue publicada con la resolución CREG </w:t>
      </w:r>
      <w:r w:rsidR="00CC6770">
        <w:rPr>
          <w:lang w:val="es-CO" w:eastAsia="es-CO"/>
        </w:rPr>
        <w:t>701 022 de 2022.</w:t>
      </w:r>
    </w:p>
    <w:p w14:paraId="7E0E2405" w14:textId="77777777" w:rsidR="00237B76" w:rsidRPr="00237B76" w:rsidRDefault="00237B76" w:rsidP="00237B76">
      <w:pPr>
        <w:autoSpaceDE w:val="0"/>
        <w:autoSpaceDN w:val="0"/>
        <w:adjustRightInd w:val="0"/>
        <w:contextualSpacing w:val="0"/>
        <w:rPr>
          <w:rFonts w:cs="Arial"/>
          <w:i/>
          <w:iCs/>
          <w:color w:val="000000"/>
          <w:sz w:val="20"/>
          <w:lang w:val="es-CO" w:eastAsia="es-CO"/>
        </w:rPr>
      </w:pPr>
    </w:p>
    <w:p w14:paraId="66CBFE3D" w14:textId="77777777" w:rsidR="00237B76" w:rsidRPr="00237B76" w:rsidRDefault="00237B76" w:rsidP="00237B76">
      <w:pPr>
        <w:pStyle w:val="Prrafodelista"/>
        <w:numPr>
          <w:ilvl w:val="0"/>
          <w:numId w:val="13"/>
        </w:numPr>
        <w:autoSpaceDE w:val="0"/>
        <w:autoSpaceDN w:val="0"/>
        <w:adjustRightInd w:val="0"/>
        <w:contextualSpacing w:val="0"/>
        <w:rPr>
          <w:rFonts w:cs="Arial"/>
          <w:i/>
          <w:iCs/>
          <w:color w:val="000000"/>
          <w:sz w:val="20"/>
          <w:lang w:val="es-CO" w:eastAsia="es-CO"/>
        </w:rPr>
      </w:pPr>
    </w:p>
    <w:p w14:paraId="0A710E87" w14:textId="77777777" w:rsidR="00237B76" w:rsidRPr="002F0764" w:rsidRDefault="00237B76" w:rsidP="001E74E9">
      <w:pPr>
        <w:autoSpaceDE w:val="0"/>
        <w:autoSpaceDN w:val="0"/>
        <w:adjustRightInd w:val="0"/>
        <w:ind w:left="426"/>
        <w:contextualSpacing w:val="0"/>
        <w:rPr>
          <w:rFonts w:cs="Arial"/>
          <w:i/>
          <w:iCs/>
          <w:color w:val="000000"/>
          <w:sz w:val="20"/>
          <w:lang w:val="es-CO" w:eastAsia="es-CO"/>
        </w:rPr>
      </w:pPr>
    </w:p>
    <w:p w14:paraId="6F726F87" w14:textId="66B50CA6" w:rsidR="002F0764" w:rsidRPr="002F0764" w:rsidRDefault="00237B76" w:rsidP="00DC59E7">
      <w:pPr>
        <w:pStyle w:val="Prrafodelista"/>
        <w:autoSpaceDE w:val="0"/>
        <w:autoSpaceDN w:val="0"/>
        <w:adjustRightInd w:val="0"/>
        <w:ind w:left="284"/>
        <w:contextualSpacing w:val="0"/>
        <w:rPr>
          <w:rFonts w:ascii="Calibri" w:hAnsi="Calibri" w:cs="Calibri"/>
          <w:i/>
          <w:iCs/>
          <w:color w:val="000000"/>
          <w:sz w:val="22"/>
          <w:szCs w:val="22"/>
          <w:lang w:val="es-CO" w:eastAsia="es-CO"/>
        </w:rPr>
      </w:pPr>
      <w:r>
        <w:rPr>
          <w:rFonts w:cs="Arial"/>
          <w:i/>
          <w:iCs/>
          <w:color w:val="000000"/>
          <w:sz w:val="20"/>
          <w:lang w:val="es-CO" w:eastAsia="es-CO"/>
        </w:rPr>
        <w:t>“</w:t>
      </w:r>
      <w:r w:rsidR="002F0764" w:rsidRPr="002F0764">
        <w:rPr>
          <w:rFonts w:cs="Arial"/>
          <w:i/>
          <w:iCs/>
          <w:color w:val="000000"/>
          <w:sz w:val="20"/>
          <w:lang w:val="es-CO" w:eastAsia="es-CO"/>
        </w:rPr>
        <w:t>En conclusión, es de gran relevancia que la Comisión revise el cálculo de la tasa de retorno puesto que la publicada en el proyecto de resoluciones es insuficiente para los riesgos que enfrenta esta actividad. Es importante que se establezca una tasa de retorno adecuada para el sector que se está regulando y de esta forma permita la viabilidad de los proyectos.</w:t>
      </w:r>
      <w:r>
        <w:rPr>
          <w:rFonts w:cs="Arial"/>
          <w:i/>
          <w:iCs/>
          <w:color w:val="000000"/>
          <w:sz w:val="20"/>
          <w:lang w:val="es-CO" w:eastAsia="es-CO"/>
        </w:rPr>
        <w:t>”</w:t>
      </w:r>
    </w:p>
    <w:p w14:paraId="5984001B" w14:textId="77777777" w:rsidR="005A54E5" w:rsidRDefault="005A54E5" w:rsidP="002F0764">
      <w:pPr>
        <w:rPr>
          <w:lang w:val="es-CO"/>
        </w:rPr>
      </w:pPr>
    </w:p>
    <w:p w14:paraId="29CF2209" w14:textId="77777777" w:rsidR="002F0764" w:rsidRPr="002F0764" w:rsidRDefault="002F0764" w:rsidP="007134BE">
      <w:pPr>
        <w:pStyle w:val="Prrafodelista"/>
        <w:numPr>
          <w:ilvl w:val="0"/>
          <w:numId w:val="16"/>
        </w:numPr>
        <w:rPr>
          <w:lang w:val="es-CO"/>
        </w:rPr>
      </w:pPr>
    </w:p>
    <w:p w14:paraId="31ED4052" w14:textId="77777777" w:rsidR="005A54E5" w:rsidRDefault="005A54E5" w:rsidP="002F0764">
      <w:pPr>
        <w:rPr>
          <w:lang w:val="es-CO"/>
        </w:rPr>
      </w:pPr>
    </w:p>
    <w:p w14:paraId="3F7BA840" w14:textId="015DD35B" w:rsidR="00237B76" w:rsidRDefault="009E52C8" w:rsidP="002F0764">
      <w:pPr>
        <w:rPr>
          <w:lang w:val="es-CO"/>
        </w:rPr>
      </w:pPr>
      <w:r>
        <w:rPr>
          <w:lang w:val="es-CO"/>
        </w:rPr>
        <w:t>Ver respuesta al comentario 15.</w:t>
      </w:r>
    </w:p>
    <w:p w14:paraId="125FA61A" w14:textId="77777777" w:rsidR="00237B76" w:rsidRDefault="00237B76" w:rsidP="002F0764">
      <w:pPr>
        <w:rPr>
          <w:lang w:val="es-CO"/>
        </w:rPr>
      </w:pPr>
    </w:p>
    <w:p w14:paraId="20C996AC" w14:textId="3804F9BB" w:rsidR="00031774" w:rsidRDefault="00031774" w:rsidP="002F0764">
      <w:pPr>
        <w:pStyle w:val="Ttulo2"/>
        <w:numPr>
          <w:ilvl w:val="1"/>
          <w:numId w:val="7"/>
        </w:numPr>
        <w:rPr>
          <w:lang w:val="es-CO"/>
        </w:rPr>
      </w:pPr>
      <w:bookmarkStart w:id="22" w:name="_Toc147137561"/>
      <w:r w:rsidRPr="00031774">
        <w:rPr>
          <w:lang w:val="es-CO"/>
        </w:rPr>
        <w:t>AES Colombia</w:t>
      </w:r>
      <w:bookmarkEnd w:id="22"/>
    </w:p>
    <w:p w14:paraId="6116BAC3" w14:textId="77777777" w:rsidR="005A54E5" w:rsidRPr="002F0764" w:rsidRDefault="005A54E5" w:rsidP="007134BE">
      <w:pPr>
        <w:pStyle w:val="Prrafodelista"/>
        <w:numPr>
          <w:ilvl w:val="0"/>
          <w:numId w:val="13"/>
        </w:numPr>
        <w:rPr>
          <w:lang w:val="es-CO"/>
        </w:rPr>
      </w:pPr>
    </w:p>
    <w:p w14:paraId="042AEC03" w14:textId="77777777" w:rsidR="005A54E5" w:rsidRDefault="005A54E5" w:rsidP="005A54E5">
      <w:pPr>
        <w:rPr>
          <w:lang w:val="es-CO"/>
        </w:rPr>
      </w:pPr>
    </w:p>
    <w:p w14:paraId="6AD6195B" w14:textId="5CEA13FC" w:rsidR="005A54E5" w:rsidRPr="002F0764" w:rsidRDefault="002F0764" w:rsidP="00DC59E7">
      <w:pPr>
        <w:ind w:left="284"/>
        <w:rPr>
          <w:i/>
          <w:iCs/>
          <w:sz w:val="20"/>
          <w:szCs w:val="16"/>
        </w:rPr>
      </w:pPr>
      <w:r>
        <w:rPr>
          <w:i/>
          <w:iCs/>
          <w:sz w:val="20"/>
          <w:szCs w:val="16"/>
        </w:rPr>
        <w:lastRenderedPageBreak/>
        <w:t>“</w:t>
      </w:r>
      <w:r w:rsidRPr="002F0764">
        <w:rPr>
          <w:i/>
          <w:iCs/>
          <w:sz w:val="20"/>
          <w:szCs w:val="16"/>
        </w:rPr>
        <w:t>Art. 3: Fecha de cálculo para la estimación de cada una de las variables para el cálculo de la tasa de descuento</w:t>
      </w:r>
    </w:p>
    <w:p w14:paraId="0042C293" w14:textId="77777777" w:rsidR="005A54E5" w:rsidRPr="002F0764" w:rsidRDefault="005A54E5" w:rsidP="00DC59E7">
      <w:pPr>
        <w:ind w:left="284"/>
        <w:rPr>
          <w:i/>
          <w:iCs/>
          <w:sz w:val="20"/>
          <w:szCs w:val="16"/>
          <w:lang w:val="es-CO"/>
        </w:rPr>
      </w:pPr>
    </w:p>
    <w:p w14:paraId="506C4A29" w14:textId="77777777" w:rsidR="002F0764" w:rsidRDefault="002F0764" w:rsidP="00DC59E7">
      <w:pPr>
        <w:ind w:left="284"/>
        <w:rPr>
          <w:i/>
          <w:iCs/>
          <w:sz w:val="20"/>
          <w:szCs w:val="16"/>
          <w:lang w:val="es-CO"/>
        </w:rPr>
      </w:pPr>
      <w:r w:rsidRPr="002F0764">
        <w:rPr>
          <w:i/>
          <w:iCs/>
          <w:sz w:val="20"/>
          <w:szCs w:val="16"/>
          <w:lang w:val="es-CO"/>
        </w:rPr>
        <w:t>La fecha propuesta, 30 de junio de 2022, es comprensible al momento de ser aprobada la consulta. Sin embargo, sugerimos para la aplicación definitiva incluir la información hasta el último cierre de mes disponible al momento de aprobar la resolución definitiva. En todo caso, proponemos incluir al menos la información hasta el 31 de diciembre de 2022.</w:t>
      </w:r>
    </w:p>
    <w:p w14:paraId="726886F1" w14:textId="77777777" w:rsidR="002F0764" w:rsidRPr="002F0764" w:rsidRDefault="002F0764" w:rsidP="00DC59E7">
      <w:pPr>
        <w:ind w:left="284"/>
        <w:rPr>
          <w:i/>
          <w:iCs/>
          <w:sz w:val="20"/>
          <w:szCs w:val="16"/>
          <w:lang w:val="es-CO"/>
        </w:rPr>
      </w:pPr>
    </w:p>
    <w:p w14:paraId="471DC613" w14:textId="77777777" w:rsidR="002F0764" w:rsidRDefault="002F0764" w:rsidP="00DC59E7">
      <w:pPr>
        <w:ind w:left="284"/>
        <w:rPr>
          <w:i/>
          <w:iCs/>
          <w:sz w:val="20"/>
          <w:szCs w:val="16"/>
          <w:lang w:val="es-CO"/>
        </w:rPr>
      </w:pPr>
      <w:r w:rsidRPr="002F0764">
        <w:rPr>
          <w:i/>
          <w:iCs/>
          <w:sz w:val="20"/>
          <w:szCs w:val="16"/>
          <w:lang w:val="es-CO"/>
        </w:rPr>
        <w:t>Las condiciones generales de financiación para proyectos en Colombia en general, y de SSISFV en particular, han cambiado de manera importante en el segundo semestre de 2022, como se desprende de los indicadores macroeconómicos y financieros públicos. La evolución de la inflación y la tasa de cambio frente a monedas internacionales (en las que se casa la adquisición de insumos), la reforma tributaria y las medidas de política pública comerciales y monetarias adoptadas, y las medidas y reformas adicionales anunciadas por el Gobierno Nacional, han sido internalizadas por los mercados y se reflejan en las tasas de interés disponibles en el mercado para financiación. Adicionalmente, la inflación en monedas extranjera ha causado incrementos adicionales en costos de insumos y servicios importados denominados en las monedas relevantes (usualmente dólares americanos), aun antes de la depreciación del peso</w:t>
      </w:r>
      <w:r>
        <w:rPr>
          <w:i/>
          <w:iCs/>
          <w:sz w:val="20"/>
          <w:szCs w:val="16"/>
          <w:lang w:val="es-CO"/>
        </w:rPr>
        <w:t xml:space="preserve"> </w:t>
      </w:r>
      <w:r w:rsidRPr="002F0764">
        <w:rPr>
          <w:i/>
          <w:iCs/>
          <w:sz w:val="20"/>
          <w:szCs w:val="16"/>
          <w:lang w:val="es-CO"/>
        </w:rPr>
        <w:t>colombiano. En la medida que los insumos para SISFV se importan aún, este efecto en costos de proyectos es superior al que se internaliza a través de los indicadores nacionales para la economía colombiana en general.</w:t>
      </w:r>
    </w:p>
    <w:p w14:paraId="3E294A0D" w14:textId="77777777" w:rsidR="002F0764" w:rsidRPr="002F0764" w:rsidRDefault="002F0764" w:rsidP="00DC59E7">
      <w:pPr>
        <w:ind w:left="284"/>
        <w:rPr>
          <w:i/>
          <w:iCs/>
          <w:sz w:val="20"/>
          <w:szCs w:val="16"/>
          <w:lang w:val="es-CO"/>
        </w:rPr>
      </w:pPr>
    </w:p>
    <w:p w14:paraId="5C44B27F" w14:textId="77777777" w:rsidR="002F0764" w:rsidRPr="002F0764" w:rsidRDefault="002F0764" w:rsidP="00DC59E7">
      <w:pPr>
        <w:ind w:left="284"/>
        <w:rPr>
          <w:i/>
          <w:iCs/>
          <w:sz w:val="20"/>
          <w:szCs w:val="16"/>
          <w:lang w:val="es-CO"/>
        </w:rPr>
      </w:pPr>
      <w:r w:rsidRPr="002F0764">
        <w:rPr>
          <w:i/>
          <w:iCs/>
          <w:sz w:val="20"/>
          <w:szCs w:val="16"/>
          <w:lang w:val="es-CO"/>
        </w:rPr>
        <w:t>Estos hechos son constatables a la luz de diversas fuentes:</w:t>
      </w:r>
    </w:p>
    <w:p w14:paraId="5280AC0B" w14:textId="510AB36E" w:rsidR="002F0764" w:rsidRPr="002F0764" w:rsidRDefault="002F0764" w:rsidP="00DC59E7">
      <w:pPr>
        <w:ind w:left="284"/>
        <w:rPr>
          <w:i/>
          <w:iCs/>
          <w:sz w:val="20"/>
          <w:szCs w:val="16"/>
          <w:lang w:val="es-CO"/>
        </w:rPr>
      </w:pPr>
    </w:p>
    <w:p w14:paraId="2D551024" w14:textId="77777777" w:rsidR="002F0764" w:rsidRPr="002F0764" w:rsidRDefault="002F0764" w:rsidP="00DC59E7">
      <w:pPr>
        <w:pStyle w:val="Prrafodelista"/>
        <w:numPr>
          <w:ilvl w:val="0"/>
          <w:numId w:val="11"/>
        </w:numPr>
        <w:ind w:left="284" w:firstLine="0"/>
        <w:rPr>
          <w:i/>
          <w:iCs/>
          <w:sz w:val="20"/>
          <w:szCs w:val="16"/>
          <w:lang w:val="es-CO"/>
        </w:rPr>
      </w:pPr>
      <w:r w:rsidRPr="002F0764">
        <w:rPr>
          <w:i/>
          <w:iCs/>
          <w:sz w:val="20"/>
          <w:szCs w:val="16"/>
          <w:lang w:val="es-CO"/>
        </w:rPr>
        <w:t xml:space="preserve">Según las resoluciones establecidas por la Superintendencia Financiera de Colombia de Julio a </w:t>
      </w:r>
      <w:proofErr w:type="gramStart"/>
      <w:r w:rsidRPr="002F0764">
        <w:rPr>
          <w:i/>
          <w:iCs/>
          <w:sz w:val="20"/>
          <w:szCs w:val="16"/>
          <w:lang w:val="es-CO"/>
        </w:rPr>
        <w:t>Diciembre</w:t>
      </w:r>
      <w:proofErr w:type="gramEnd"/>
      <w:r w:rsidRPr="002F0764">
        <w:rPr>
          <w:i/>
          <w:iCs/>
          <w:sz w:val="20"/>
          <w:szCs w:val="16"/>
          <w:lang w:val="es-CO"/>
        </w:rPr>
        <w:t xml:space="preserve"> de 2022 hubo un aumento de la tasa para créditos de consumo de </w:t>
      </w:r>
      <w:proofErr w:type="spellStart"/>
      <w:r w:rsidRPr="002F0764">
        <w:rPr>
          <w:i/>
          <w:iCs/>
          <w:sz w:val="20"/>
          <w:szCs w:val="16"/>
          <w:lang w:val="es-CO"/>
        </w:rPr>
        <w:t>aprox</w:t>
      </w:r>
      <w:proofErr w:type="spellEnd"/>
      <w:r w:rsidRPr="002F0764">
        <w:rPr>
          <w:i/>
          <w:iCs/>
          <w:sz w:val="20"/>
          <w:szCs w:val="16"/>
          <w:lang w:val="es-CO"/>
        </w:rPr>
        <w:t xml:space="preserve"> 700 puntos, tendencia a la alza que se vio de igual forma en los créditos preferenciales.</w:t>
      </w:r>
    </w:p>
    <w:p w14:paraId="33590F5E" w14:textId="22927395" w:rsidR="002F0764" w:rsidRPr="002F0764" w:rsidRDefault="002F0764" w:rsidP="00DC59E7">
      <w:pPr>
        <w:ind w:left="284"/>
        <w:rPr>
          <w:i/>
          <w:iCs/>
          <w:sz w:val="20"/>
          <w:szCs w:val="16"/>
          <w:lang w:val="es-CO"/>
        </w:rPr>
      </w:pPr>
    </w:p>
    <w:p w14:paraId="7AAF5E44" w14:textId="77777777" w:rsidR="002F0764" w:rsidRPr="002F0764" w:rsidRDefault="002F0764" w:rsidP="00DC59E7">
      <w:pPr>
        <w:pStyle w:val="Prrafodelista"/>
        <w:numPr>
          <w:ilvl w:val="0"/>
          <w:numId w:val="11"/>
        </w:numPr>
        <w:ind w:left="284" w:firstLine="0"/>
        <w:rPr>
          <w:i/>
          <w:iCs/>
          <w:sz w:val="20"/>
          <w:szCs w:val="16"/>
          <w:lang w:val="es-CO"/>
        </w:rPr>
      </w:pPr>
      <w:r w:rsidRPr="002F0764">
        <w:rPr>
          <w:i/>
          <w:iCs/>
          <w:sz w:val="20"/>
          <w:szCs w:val="16"/>
          <w:lang w:val="es-CO"/>
        </w:rPr>
        <w:t xml:space="preserve">De Julio a </w:t>
      </w:r>
      <w:proofErr w:type="gramStart"/>
      <w:r w:rsidRPr="002F0764">
        <w:rPr>
          <w:i/>
          <w:iCs/>
          <w:sz w:val="20"/>
          <w:szCs w:val="16"/>
          <w:lang w:val="es-CO"/>
        </w:rPr>
        <w:t>Diciembre</w:t>
      </w:r>
      <w:proofErr w:type="gramEnd"/>
      <w:r w:rsidRPr="002F0764">
        <w:rPr>
          <w:i/>
          <w:iCs/>
          <w:sz w:val="20"/>
          <w:szCs w:val="16"/>
          <w:lang w:val="es-CO"/>
        </w:rPr>
        <w:t xml:space="preserve"> de 2022 la Tasa Interbancaria establecida por el Banco de La Republica aumento 440 puntos básicos, pasando de un 7.5% a un 11.9%.</w:t>
      </w:r>
    </w:p>
    <w:p w14:paraId="34C03DBB" w14:textId="6768CED4" w:rsidR="002F0764" w:rsidRPr="002F0764" w:rsidRDefault="002F0764" w:rsidP="00DC59E7">
      <w:pPr>
        <w:ind w:left="284"/>
        <w:rPr>
          <w:i/>
          <w:iCs/>
          <w:sz w:val="20"/>
          <w:szCs w:val="16"/>
          <w:lang w:val="es-CO"/>
        </w:rPr>
      </w:pPr>
    </w:p>
    <w:p w14:paraId="4E0CFF7B" w14:textId="77777777" w:rsidR="002F0764" w:rsidRPr="002F0764" w:rsidRDefault="002F0764" w:rsidP="00DC59E7">
      <w:pPr>
        <w:pStyle w:val="Prrafodelista"/>
        <w:numPr>
          <w:ilvl w:val="0"/>
          <w:numId w:val="11"/>
        </w:numPr>
        <w:ind w:left="284" w:firstLine="0"/>
        <w:rPr>
          <w:i/>
          <w:iCs/>
          <w:sz w:val="20"/>
          <w:szCs w:val="16"/>
          <w:lang w:val="es-CO"/>
        </w:rPr>
      </w:pPr>
      <w:r w:rsidRPr="002F0764">
        <w:rPr>
          <w:i/>
          <w:iCs/>
          <w:sz w:val="20"/>
          <w:szCs w:val="16"/>
          <w:lang w:val="es-CO"/>
        </w:rPr>
        <w:t xml:space="preserve">La tasa libre de riesgo (rendimientos de los bonos del tesoro americano a 10 años) aumento de 2.67% al 31 de Julio de 2022 a 3.88% al 31 de </w:t>
      </w:r>
      <w:proofErr w:type="gramStart"/>
      <w:r w:rsidRPr="002F0764">
        <w:rPr>
          <w:i/>
          <w:iCs/>
          <w:sz w:val="20"/>
          <w:szCs w:val="16"/>
          <w:lang w:val="es-CO"/>
        </w:rPr>
        <w:t>Diciembre</w:t>
      </w:r>
      <w:proofErr w:type="gramEnd"/>
      <w:r w:rsidRPr="002F0764">
        <w:rPr>
          <w:i/>
          <w:iCs/>
          <w:sz w:val="20"/>
          <w:szCs w:val="16"/>
          <w:lang w:val="es-CO"/>
        </w:rPr>
        <w:t xml:space="preserve"> de 2022.</w:t>
      </w:r>
    </w:p>
    <w:p w14:paraId="63B1F5A3" w14:textId="3AD38198" w:rsidR="002F0764" w:rsidRPr="002F0764" w:rsidRDefault="002F0764" w:rsidP="00DC59E7">
      <w:pPr>
        <w:ind w:left="284"/>
        <w:rPr>
          <w:i/>
          <w:iCs/>
          <w:sz w:val="20"/>
          <w:szCs w:val="16"/>
          <w:lang w:val="es-CO"/>
        </w:rPr>
      </w:pPr>
    </w:p>
    <w:p w14:paraId="5B348017" w14:textId="55CA5130" w:rsidR="005A54E5" w:rsidRPr="002F0764" w:rsidRDefault="002F0764" w:rsidP="00DC59E7">
      <w:pPr>
        <w:pStyle w:val="Prrafodelista"/>
        <w:numPr>
          <w:ilvl w:val="0"/>
          <w:numId w:val="11"/>
        </w:numPr>
        <w:ind w:left="284" w:firstLine="0"/>
        <w:rPr>
          <w:i/>
          <w:iCs/>
          <w:lang w:val="es-CO"/>
        </w:rPr>
      </w:pPr>
      <w:r w:rsidRPr="002F0764">
        <w:rPr>
          <w:i/>
          <w:iCs/>
          <w:sz w:val="20"/>
          <w:szCs w:val="16"/>
          <w:lang w:val="es-CO"/>
        </w:rPr>
        <w:t>La TRM a 31 de Julio de 2022 fue de 4.300 COP/USD frente a 4.810 a 31 de diciembre 2022.</w:t>
      </w:r>
      <w:r w:rsidR="00AD0C06">
        <w:rPr>
          <w:i/>
          <w:iCs/>
          <w:sz w:val="20"/>
          <w:szCs w:val="16"/>
          <w:lang w:val="es-CO"/>
        </w:rPr>
        <w:t>”</w:t>
      </w:r>
    </w:p>
    <w:p w14:paraId="3BB8380D" w14:textId="77777777" w:rsidR="005A54E5" w:rsidRPr="005A54E5" w:rsidRDefault="005A54E5" w:rsidP="00DC59E7">
      <w:pPr>
        <w:ind w:left="284"/>
        <w:rPr>
          <w:lang w:val="es-CO"/>
        </w:rPr>
      </w:pPr>
    </w:p>
    <w:p w14:paraId="162B39B2" w14:textId="77777777" w:rsidR="00031774" w:rsidRPr="002F0764" w:rsidRDefault="00031774" w:rsidP="007134BE">
      <w:pPr>
        <w:pStyle w:val="Prrafodelista"/>
        <w:numPr>
          <w:ilvl w:val="0"/>
          <w:numId w:val="16"/>
        </w:numPr>
        <w:rPr>
          <w:rFonts w:cs="Arial"/>
          <w:lang w:val="es-CO"/>
        </w:rPr>
      </w:pPr>
    </w:p>
    <w:p w14:paraId="2B5F5853" w14:textId="77777777" w:rsidR="00031774" w:rsidRDefault="00031774" w:rsidP="00031774">
      <w:pPr>
        <w:rPr>
          <w:rFonts w:cs="Arial"/>
          <w:lang w:val="es-CO"/>
        </w:rPr>
      </w:pPr>
    </w:p>
    <w:p w14:paraId="4BFB39BD" w14:textId="1451E376" w:rsidR="002F0764" w:rsidRDefault="009E52C8" w:rsidP="00031774">
      <w:pPr>
        <w:rPr>
          <w:rFonts w:cs="Arial"/>
          <w:lang w:val="es-CO"/>
        </w:rPr>
      </w:pPr>
      <w:r>
        <w:rPr>
          <w:rFonts w:cs="Arial"/>
          <w:lang w:val="es-CO"/>
        </w:rPr>
        <w:t xml:space="preserve">Ver respuesta al comentario </w:t>
      </w:r>
      <w:r w:rsidR="00DC5634">
        <w:rPr>
          <w:rFonts w:cs="Arial"/>
          <w:lang w:val="es-CO"/>
        </w:rPr>
        <w:t>9.</w:t>
      </w:r>
    </w:p>
    <w:p w14:paraId="130AD43E" w14:textId="77777777" w:rsidR="00AD0C06" w:rsidRDefault="00AD0C06" w:rsidP="00031774">
      <w:pPr>
        <w:rPr>
          <w:rFonts w:cs="Arial"/>
          <w:lang w:val="es-CO"/>
        </w:rPr>
      </w:pPr>
    </w:p>
    <w:p w14:paraId="54E1FEBD" w14:textId="77777777" w:rsidR="00AD0C06" w:rsidRPr="00AD0C06" w:rsidRDefault="00AD0C06" w:rsidP="007134BE">
      <w:pPr>
        <w:pStyle w:val="Prrafodelista"/>
        <w:numPr>
          <w:ilvl w:val="0"/>
          <w:numId w:val="13"/>
        </w:numPr>
        <w:rPr>
          <w:rFonts w:cs="Arial"/>
          <w:lang w:val="es-CO"/>
        </w:rPr>
      </w:pPr>
    </w:p>
    <w:p w14:paraId="16FD99E1" w14:textId="77777777" w:rsidR="00AD0C06" w:rsidRDefault="00AD0C06" w:rsidP="00031774">
      <w:pPr>
        <w:rPr>
          <w:rFonts w:cs="Arial"/>
          <w:lang w:val="es-CO"/>
        </w:rPr>
      </w:pPr>
    </w:p>
    <w:p w14:paraId="4F80F1A6" w14:textId="527C0B88" w:rsidR="00AD0C06" w:rsidRPr="00AD0C06" w:rsidRDefault="00AD0C06" w:rsidP="00DC59E7">
      <w:pPr>
        <w:ind w:left="284"/>
        <w:rPr>
          <w:rFonts w:cs="Arial"/>
          <w:i/>
          <w:iCs/>
          <w:sz w:val="20"/>
          <w:szCs w:val="16"/>
          <w:lang w:val="es-CO"/>
        </w:rPr>
      </w:pPr>
      <w:r>
        <w:rPr>
          <w:rFonts w:cs="Arial"/>
          <w:i/>
          <w:iCs/>
          <w:sz w:val="20"/>
          <w:szCs w:val="16"/>
          <w:lang w:val="es-CO"/>
        </w:rPr>
        <w:t>“</w:t>
      </w:r>
      <w:r w:rsidRPr="00AD0C06">
        <w:rPr>
          <w:rFonts w:cs="Arial"/>
          <w:i/>
          <w:iCs/>
          <w:sz w:val="20"/>
          <w:szCs w:val="16"/>
          <w:lang w:val="es-CO"/>
        </w:rPr>
        <w:t>Art. 4: Tasa de descuento aplicable</w:t>
      </w:r>
    </w:p>
    <w:p w14:paraId="7EEEE3B6" w14:textId="77777777" w:rsidR="00AD0C06" w:rsidRPr="00AD0C06" w:rsidRDefault="00AD0C06" w:rsidP="00DC59E7">
      <w:pPr>
        <w:ind w:left="284"/>
        <w:rPr>
          <w:rFonts w:cs="Arial"/>
          <w:i/>
          <w:iCs/>
          <w:sz w:val="20"/>
          <w:szCs w:val="16"/>
          <w:lang w:val="es-CO"/>
        </w:rPr>
      </w:pPr>
    </w:p>
    <w:p w14:paraId="486176C4" w14:textId="77777777" w:rsidR="00AD0C06" w:rsidRDefault="00AD0C06" w:rsidP="00DC59E7">
      <w:pPr>
        <w:ind w:left="284"/>
        <w:rPr>
          <w:rFonts w:cs="Arial"/>
          <w:i/>
          <w:iCs/>
          <w:sz w:val="20"/>
          <w:szCs w:val="16"/>
          <w:lang w:val="es-CO"/>
        </w:rPr>
      </w:pPr>
      <w:r w:rsidRPr="00AD0C06">
        <w:rPr>
          <w:rFonts w:cs="Arial"/>
          <w:i/>
          <w:iCs/>
          <w:sz w:val="20"/>
          <w:szCs w:val="16"/>
          <w:lang w:val="es-CO"/>
        </w:rPr>
        <w:t>Como consecuencia de los factores descritos en el comentario No. 1, la tasa de descuento consultada es inadecuadamente baja cuando se la compara con las tasas de retorno para proyectos de inversión en SISFV. En la coyuntura actual, es posible obtener tasas nominales de retorno superiores al 15% EA en instrumentos pasivos sin riesgo.</w:t>
      </w:r>
    </w:p>
    <w:p w14:paraId="10A6D95F" w14:textId="77777777" w:rsidR="00AD0C06" w:rsidRPr="00AD0C06" w:rsidRDefault="00AD0C06" w:rsidP="00DC59E7">
      <w:pPr>
        <w:ind w:left="284"/>
        <w:rPr>
          <w:rFonts w:cs="Arial"/>
          <w:i/>
          <w:iCs/>
          <w:sz w:val="20"/>
          <w:szCs w:val="16"/>
          <w:lang w:val="es-CO"/>
        </w:rPr>
      </w:pPr>
    </w:p>
    <w:p w14:paraId="4D62E693" w14:textId="26528B59" w:rsidR="00031774" w:rsidRPr="00AD0C06" w:rsidRDefault="00AD0C06" w:rsidP="00DC59E7">
      <w:pPr>
        <w:ind w:left="284"/>
        <w:rPr>
          <w:rFonts w:cs="Arial"/>
          <w:i/>
          <w:iCs/>
          <w:lang w:val="es-CO"/>
        </w:rPr>
      </w:pPr>
      <w:r w:rsidRPr="00AD0C06">
        <w:rPr>
          <w:rFonts w:cs="Arial"/>
          <w:i/>
          <w:iCs/>
          <w:sz w:val="20"/>
          <w:szCs w:val="16"/>
          <w:lang w:val="es-CO"/>
        </w:rPr>
        <w:t>Todo lo anterior ha implicado que actualmente estos proyectos de SISFV puedan acceder a una financiación entre 16%-20%, lo que hace improbable lograr su cierre financiero bajo tarifas calculadas con una tasa de descuento del 10.93%.</w:t>
      </w:r>
      <w:r>
        <w:rPr>
          <w:rFonts w:cs="Arial"/>
          <w:i/>
          <w:iCs/>
          <w:sz w:val="20"/>
          <w:szCs w:val="16"/>
          <w:lang w:val="es-CO"/>
        </w:rPr>
        <w:t>”</w:t>
      </w:r>
    </w:p>
    <w:p w14:paraId="1C887842" w14:textId="77777777" w:rsidR="00AD0C06" w:rsidRDefault="00AD0C06" w:rsidP="00AD0C06">
      <w:pPr>
        <w:rPr>
          <w:rFonts w:cs="Arial"/>
          <w:lang w:val="es-CO"/>
        </w:rPr>
      </w:pPr>
    </w:p>
    <w:p w14:paraId="7DFC757B" w14:textId="77777777" w:rsidR="00AD0C06" w:rsidRPr="00AD0C06" w:rsidRDefault="00AD0C06" w:rsidP="007134BE">
      <w:pPr>
        <w:pStyle w:val="Prrafodelista"/>
        <w:numPr>
          <w:ilvl w:val="0"/>
          <w:numId w:val="16"/>
        </w:numPr>
        <w:rPr>
          <w:rFonts w:cs="Arial"/>
          <w:lang w:val="es-CO"/>
        </w:rPr>
      </w:pPr>
    </w:p>
    <w:p w14:paraId="43F882C0" w14:textId="77777777" w:rsidR="00AD0C06" w:rsidRDefault="00AD0C06" w:rsidP="00AD0C06">
      <w:pPr>
        <w:rPr>
          <w:rFonts w:cs="Arial"/>
          <w:lang w:val="es-CO"/>
        </w:rPr>
      </w:pPr>
    </w:p>
    <w:p w14:paraId="32D270C8" w14:textId="702909B2" w:rsidR="00DD0FEA" w:rsidRDefault="00DD0FEA" w:rsidP="00DD0FEA">
      <w:pPr>
        <w:rPr>
          <w:lang w:val="es-CO"/>
        </w:rPr>
      </w:pPr>
      <w:r>
        <w:rPr>
          <w:lang w:val="es-CO"/>
        </w:rPr>
        <w:t>En cuanto a este comentario se debe aclarar que la tasa de descuento para las diferentes actividades que son reguladas por la CREG se determina de acuerdo con la metodología definida en la resolución CREG 004 de 2021. Ver respuesta al comentario 9.</w:t>
      </w:r>
    </w:p>
    <w:p w14:paraId="5A9DF1B1" w14:textId="77777777" w:rsidR="00AD0C06" w:rsidRDefault="00AD0C06" w:rsidP="00AD0C06">
      <w:pPr>
        <w:rPr>
          <w:rFonts w:cs="Arial"/>
          <w:lang w:val="es-CO"/>
        </w:rPr>
      </w:pPr>
    </w:p>
    <w:p w14:paraId="5CACE884" w14:textId="77777777" w:rsidR="00AD0C06" w:rsidRPr="00AD0C06" w:rsidRDefault="00AD0C06" w:rsidP="007134BE">
      <w:pPr>
        <w:pStyle w:val="Prrafodelista"/>
        <w:numPr>
          <w:ilvl w:val="0"/>
          <w:numId w:val="13"/>
        </w:numPr>
        <w:rPr>
          <w:rFonts w:cs="Arial"/>
          <w:lang w:val="es-CO"/>
        </w:rPr>
      </w:pPr>
    </w:p>
    <w:p w14:paraId="50CDA43A" w14:textId="77777777" w:rsidR="00AD0C06" w:rsidRDefault="00AD0C06" w:rsidP="00AD0C06">
      <w:pPr>
        <w:rPr>
          <w:rFonts w:cs="Arial"/>
          <w:lang w:val="es-CO"/>
        </w:rPr>
      </w:pPr>
    </w:p>
    <w:p w14:paraId="102D90FE" w14:textId="036C38D5" w:rsidR="00AD0C06" w:rsidRPr="00AD0C06" w:rsidRDefault="00AD0C06" w:rsidP="00DC59E7">
      <w:pPr>
        <w:ind w:left="284"/>
        <w:rPr>
          <w:rFonts w:cs="Arial"/>
          <w:i/>
          <w:iCs/>
          <w:sz w:val="20"/>
          <w:szCs w:val="16"/>
          <w:lang w:val="es-CO"/>
        </w:rPr>
      </w:pPr>
      <w:r>
        <w:rPr>
          <w:rFonts w:cs="Arial"/>
          <w:i/>
          <w:iCs/>
          <w:sz w:val="20"/>
          <w:szCs w:val="16"/>
          <w:lang w:val="es-CO"/>
        </w:rPr>
        <w:t>“</w:t>
      </w:r>
      <w:r w:rsidRPr="00AD0C06">
        <w:rPr>
          <w:rFonts w:cs="Arial"/>
          <w:i/>
          <w:iCs/>
          <w:sz w:val="20"/>
          <w:szCs w:val="16"/>
          <w:lang w:val="es-CO"/>
        </w:rPr>
        <w:t>Art. 5: Vigencia de la tasa de descuento</w:t>
      </w:r>
    </w:p>
    <w:p w14:paraId="4E462B8A" w14:textId="77777777" w:rsidR="00AD0C06" w:rsidRPr="00AD0C06" w:rsidRDefault="00AD0C06" w:rsidP="00DC59E7">
      <w:pPr>
        <w:ind w:left="284"/>
        <w:rPr>
          <w:rFonts w:cs="Arial"/>
          <w:i/>
          <w:iCs/>
          <w:sz w:val="20"/>
          <w:szCs w:val="16"/>
          <w:lang w:val="es-CO"/>
        </w:rPr>
      </w:pPr>
    </w:p>
    <w:p w14:paraId="38CAFE30" w14:textId="77777777" w:rsidR="00AD0C06" w:rsidRDefault="00AD0C06" w:rsidP="00DC59E7">
      <w:pPr>
        <w:ind w:left="284"/>
        <w:rPr>
          <w:rFonts w:cs="Arial"/>
          <w:i/>
          <w:iCs/>
          <w:sz w:val="20"/>
          <w:szCs w:val="16"/>
          <w:lang w:val="es-CO"/>
        </w:rPr>
      </w:pPr>
      <w:r w:rsidRPr="00AD0C06">
        <w:rPr>
          <w:rFonts w:cs="Arial"/>
          <w:i/>
          <w:iCs/>
          <w:sz w:val="20"/>
          <w:szCs w:val="16"/>
          <w:lang w:val="es-CO"/>
        </w:rPr>
        <w:t>El Art. 4 de la Resolución CREG 004 de 2021 hace referencia a los ajustes de tasa de descuento que serían necesarios en la eventualidad de cambios de tasa impositiva, con el fin de mantener los incentivos a la inversión apropiadamente calibrados ante reformas tributarias.</w:t>
      </w:r>
    </w:p>
    <w:p w14:paraId="4BD34F19" w14:textId="77777777" w:rsidR="00AD0C06" w:rsidRPr="00AD0C06" w:rsidRDefault="00AD0C06" w:rsidP="00DC59E7">
      <w:pPr>
        <w:ind w:left="284"/>
        <w:rPr>
          <w:rFonts w:cs="Arial"/>
          <w:i/>
          <w:iCs/>
          <w:sz w:val="20"/>
          <w:szCs w:val="16"/>
          <w:lang w:val="es-CO"/>
        </w:rPr>
      </w:pPr>
    </w:p>
    <w:p w14:paraId="5E863999" w14:textId="77777777" w:rsidR="00AD0C06" w:rsidRDefault="00AD0C06" w:rsidP="00DC59E7">
      <w:pPr>
        <w:ind w:left="284"/>
        <w:rPr>
          <w:rFonts w:cs="Arial"/>
          <w:i/>
          <w:iCs/>
          <w:sz w:val="20"/>
          <w:szCs w:val="16"/>
          <w:lang w:val="es-CO"/>
        </w:rPr>
      </w:pPr>
      <w:r w:rsidRPr="00AD0C06">
        <w:rPr>
          <w:rFonts w:cs="Arial"/>
          <w:i/>
          <w:iCs/>
          <w:sz w:val="20"/>
          <w:szCs w:val="16"/>
          <w:lang w:val="es-CO"/>
        </w:rPr>
        <w:t>Dada la coyuntura actual de altas tasas de interés en financiación, es posible anticipar que la evolución de los indicadores macroeconómicos y financieros en el corto y mediano plazo (y no solo la tasa impositiva) va a ser el factor determinante de la correcta calibración de las tasas de descuento para que se mantengan los incentivos adecuados a la inversión.</w:t>
      </w:r>
    </w:p>
    <w:p w14:paraId="64EC03E9" w14:textId="77777777" w:rsidR="00AD0C06" w:rsidRPr="00AD0C06" w:rsidRDefault="00AD0C06" w:rsidP="00DC59E7">
      <w:pPr>
        <w:ind w:left="284"/>
        <w:rPr>
          <w:rFonts w:cs="Arial"/>
          <w:i/>
          <w:iCs/>
          <w:sz w:val="20"/>
          <w:szCs w:val="16"/>
          <w:lang w:val="es-CO"/>
        </w:rPr>
      </w:pPr>
    </w:p>
    <w:p w14:paraId="25F9121E" w14:textId="77152D37" w:rsidR="00AD0C06" w:rsidRPr="00AD0C06" w:rsidRDefault="00AD0C06" w:rsidP="00DC59E7">
      <w:pPr>
        <w:ind w:left="284"/>
        <w:rPr>
          <w:rFonts w:cs="Arial"/>
          <w:i/>
          <w:iCs/>
          <w:lang w:val="es-CO"/>
        </w:rPr>
      </w:pPr>
      <w:r w:rsidRPr="00AD0C06">
        <w:rPr>
          <w:rFonts w:cs="Arial"/>
          <w:i/>
          <w:iCs/>
          <w:sz w:val="20"/>
          <w:szCs w:val="16"/>
          <w:lang w:val="es-CO"/>
        </w:rPr>
        <w:t>Sugerimos a la Comisión que considere la posibilidad de recalcular la tasa de descuento con una frecuencia preestablecida y anunciada (digamos cada seis meses), o con un evento disparador objetivo (</w:t>
      </w:r>
      <w:proofErr w:type="spellStart"/>
      <w:r w:rsidRPr="00AD0C06">
        <w:rPr>
          <w:rFonts w:cs="Arial"/>
          <w:i/>
          <w:iCs/>
          <w:sz w:val="20"/>
          <w:szCs w:val="16"/>
          <w:lang w:val="es-CO"/>
        </w:rPr>
        <w:t>e.g</w:t>
      </w:r>
      <w:proofErr w:type="spellEnd"/>
      <w:r w:rsidRPr="00AD0C06">
        <w:rPr>
          <w:rFonts w:cs="Arial"/>
          <w:i/>
          <w:iCs/>
          <w:sz w:val="20"/>
          <w:szCs w:val="16"/>
          <w:lang w:val="es-CO"/>
        </w:rPr>
        <w:t>. una variación del riesgo país que supere un umbral dado). Alternativamente, que la indexe a la tasa de riesgo país explícitamente.</w:t>
      </w:r>
      <w:r>
        <w:rPr>
          <w:rFonts w:cs="Arial"/>
          <w:i/>
          <w:iCs/>
          <w:sz w:val="20"/>
          <w:szCs w:val="16"/>
          <w:lang w:val="es-CO"/>
        </w:rPr>
        <w:t>”</w:t>
      </w:r>
    </w:p>
    <w:p w14:paraId="2775CEF2" w14:textId="77777777" w:rsidR="00AD0C06" w:rsidRDefault="00AD0C06" w:rsidP="00AD0C06">
      <w:pPr>
        <w:rPr>
          <w:rFonts w:cs="Arial"/>
          <w:lang w:val="es-CO"/>
        </w:rPr>
      </w:pPr>
    </w:p>
    <w:p w14:paraId="0981C163" w14:textId="77777777" w:rsidR="00AD0C06" w:rsidRPr="00AD0C06" w:rsidRDefault="00AD0C06" w:rsidP="007134BE">
      <w:pPr>
        <w:pStyle w:val="Prrafodelista"/>
        <w:numPr>
          <w:ilvl w:val="0"/>
          <w:numId w:val="16"/>
        </w:numPr>
        <w:rPr>
          <w:rFonts w:cs="Arial"/>
          <w:lang w:val="es-CO"/>
        </w:rPr>
      </w:pPr>
    </w:p>
    <w:p w14:paraId="5FB8981F" w14:textId="77777777" w:rsidR="00AD0C06" w:rsidRDefault="00AD0C06" w:rsidP="00AD0C06">
      <w:pPr>
        <w:rPr>
          <w:rFonts w:cs="Arial"/>
          <w:lang w:val="es-CO"/>
        </w:rPr>
      </w:pPr>
    </w:p>
    <w:p w14:paraId="065AA0D6" w14:textId="77777777" w:rsidR="00091143" w:rsidRDefault="00091143" w:rsidP="00091143">
      <w:pPr>
        <w:rPr>
          <w:rFonts w:cs="Arial"/>
          <w:lang w:val="es-CO"/>
        </w:rPr>
      </w:pPr>
      <w:r>
        <w:rPr>
          <w:rFonts w:cs="Arial"/>
          <w:lang w:val="es-CO"/>
        </w:rPr>
        <w:t>Ver respuesta al comentario 15.</w:t>
      </w:r>
    </w:p>
    <w:p w14:paraId="3DF86E7F" w14:textId="77777777" w:rsidR="00AD0C06" w:rsidRDefault="00AD0C06" w:rsidP="00AD0C06">
      <w:pPr>
        <w:rPr>
          <w:rFonts w:cs="Arial"/>
          <w:lang w:val="es-CO"/>
        </w:rPr>
      </w:pPr>
    </w:p>
    <w:p w14:paraId="5166668A" w14:textId="77777777" w:rsidR="00AD0C06" w:rsidRPr="00AD0C06" w:rsidRDefault="00AD0C06" w:rsidP="007134BE">
      <w:pPr>
        <w:pStyle w:val="Prrafodelista"/>
        <w:numPr>
          <w:ilvl w:val="0"/>
          <w:numId w:val="13"/>
        </w:numPr>
        <w:rPr>
          <w:rFonts w:cs="Arial"/>
          <w:lang w:val="es-CO"/>
        </w:rPr>
      </w:pPr>
    </w:p>
    <w:p w14:paraId="71781962" w14:textId="77777777" w:rsidR="00AD0C06" w:rsidRDefault="00AD0C06" w:rsidP="00AD0C06">
      <w:pPr>
        <w:rPr>
          <w:rFonts w:cs="Arial"/>
          <w:lang w:val="es-CO"/>
        </w:rPr>
      </w:pPr>
    </w:p>
    <w:p w14:paraId="31916FAF" w14:textId="6FC89E44" w:rsidR="00AD0C06" w:rsidRPr="00AD0C06" w:rsidRDefault="00AD0C06" w:rsidP="00DC59E7">
      <w:pPr>
        <w:ind w:left="284"/>
        <w:rPr>
          <w:rFonts w:cs="Arial"/>
          <w:i/>
          <w:iCs/>
          <w:sz w:val="20"/>
          <w:szCs w:val="16"/>
          <w:lang w:val="es-CO"/>
        </w:rPr>
      </w:pPr>
      <w:r>
        <w:rPr>
          <w:rFonts w:cs="Arial"/>
          <w:i/>
          <w:iCs/>
          <w:sz w:val="20"/>
          <w:szCs w:val="16"/>
          <w:lang w:val="es-CO"/>
        </w:rPr>
        <w:t>“</w:t>
      </w:r>
      <w:r w:rsidRPr="00AD0C06">
        <w:rPr>
          <w:rFonts w:cs="Arial"/>
          <w:i/>
          <w:iCs/>
          <w:sz w:val="20"/>
          <w:szCs w:val="16"/>
          <w:lang w:val="es-CO"/>
        </w:rPr>
        <w:t>Comentario general sobre vigencia de las tarifas</w:t>
      </w:r>
    </w:p>
    <w:p w14:paraId="5BC8D5C8" w14:textId="77777777" w:rsidR="00AD0C06" w:rsidRPr="00AD0C06" w:rsidRDefault="00AD0C06" w:rsidP="00DC59E7">
      <w:pPr>
        <w:ind w:left="284"/>
        <w:rPr>
          <w:rFonts w:cs="Arial"/>
          <w:i/>
          <w:iCs/>
          <w:sz w:val="20"/>
          <w:szCs w:val="16"/>
          <w:lang w:val="es-CO"/>
        </w:rPr>
      </w:pPr>
    </w:p>
    <w:p w14:paraId="37A4FEBB" w14:textId="77777777" w:rsidR="00AD0C06" w:rsidRDefault="00AD0C06" w:rsidP="00DC59E7">
      <w:pPr>
        <w:ind w:left="284"/>
        <w:rPr>
          <w:rFonts w:cs="Arial"/>
          <w:i/>
          <w:iCs/>
          <w:sz w:val="20"/>
          <w:szCs w:val="16"/>
          <w:lang w:val="es-CO"/>
        </w:rPr>
      </w:pPr>
      <w:r w:rsidRPr="00AD0C06">
        <w:rPr>
          <w:rFonts w:cs="Arial"/>
          <w:i/>
          <w:iCs/>
          <w:sz w:val="20"/>
          <w:szCs w:val="16"/>
          <w:lang w:val="es-CO"/>
        </w:rPr>
        <w:t>En el caso particular de las tarifas asociadas a la Resolución 101 026 de 2022, vemos indefiniciones operativas en la aplicación práctica de las condiciones de vigencia.</w:t>
      </w:r>
    </w:p>
    <w:p w14:paraId="2398FA0D" w14:textId="77777777" w:rsidR="00AD0C06" w:rsidRPr="00AD0C06" w:rsidRDefault="00AD0C06" w:rsidP="00DC59E7">
      <w:pPr>
        <w:ind w:left="284"/>
        <w:rPr>
          <w:rFonts w:cs="Arial"/>
          <w:i/>
          <w:iCs/>
          <w:sz w:val="20"/>
          <w:szCs w:val="16"/>
          <w:lang w:val="es-CO"/>
        </w:rPr>
      </w:pPr>
    </w:p>
    <w:p w14:paraId="4FCD1570" w14:textId="77777777" w:rsidR="00AD0C06" w:rsidRDefault="00AD0C06" w:rsidP="00DC59E7">
      <w:pPr>
        <w:ind w:left="284"/>
        <w:rPr>
          <w:rFonts w:cs="Arial"/>
          <w:i/>
          <w:iCs/>
          <w:sz w:val="20"/>
          <w:szCs w:val="16"/>
          <w:lang w:val="es-CO"/>
        </w:rPr>
      </w:pPr>
      <w:r w:rsidRPr="00AD0C06">
        <w:rPr>
          <w:rFonts w:cs="Arial"/>
          <w:i/>
          <w:iCs/>
          <w:sz w:val="20"/>
          <w:szCs w:val="16"/>
          <w:lang w:val="es-CO"/>
        </w:rPr>
        <w:t>La estabilidad tarifaria prevista en el Art. 126 de la Ley 142 de 1994 se aplica a las metodologías tarifarias y a los cargos establecidos. A manera de ilustración, la metodología de remuneración de distribución de energía eléctrica debe permanecer por al menos cinco años a partir de su expedición, y además los cargos particulares de un OR también tienen estabilidad por cinco años a partir del momento en que son establecidos por la CREG. Típicamente, los cargos particulares se determinan con posterioridad, a veces años después del inicio de vigencia de la correspondiente metodología.</w:t>
      </w:r>
    </w:p>
    <w:p w14:paraId="0A0E9C48" w14:textId="77777777" w:rsidR="00AD0C06" w:rsidRPr="00AD0C06" w:rsidRDefault="00AD0C06" w:rsidP="00DC59E7">
      <w:pPr>
        <w:ind w:left="284"/>
        <w:rPr>
          <w:rFonts w:cs="Arial"/>
          <w:i/>
          <w:iCs/>
          <w:sz w:val="20"/>
          <w:szCs w:val="16"/>
          <w:lang w:val="es-CO"/>
        </w:rPr>
      </w:pPr>
    </w:p>
    <w:p w14:paraId="09BC4ACC" w14:textId="77777777" w:rsidR="00AD0C06" w:rsidRDefault="00AD0C06" w:rsidP="00DC59E7">
      <w:pPr>
        <w:ind w:left="284"/>
        <w:rPr>
          <w:rFonts w:cs="Arial"/>
          <w:i/>
          <w:iCs/>
          <w:sz w:val="20"/>
          <w:szCs w:val="16"/>
          <w:lang w:val="es-CO"/>
        </w:rPr>
      </w:pPr>
      <w:r w:rsidRPr="00AD0C06">
        <w:rPr>
          <w:rFonts w:cs="Arial"/>
          <w:i/>
          <w:iCs/>
          <w:sz w:val="20"/>
          <w:szCs w:val="16"/>
          <w:lang w:val="es-CO"/>
        </w:rPr>
        <w:t>Adicionalmente, los cargos particulares en distribución se determinan para un mercado, definido en términos de alguna forma de infraestructura de red que delimita un conjunto de usuarios (actuales o potenciales) a los que les aplica el cargo.</w:t>
      </w:r>
    </w:p>
    <w:p w14:paraId="04E25ADE" w14:textId="77777777" w:rsidR="00AD0C06" w:rsidRPr="00AD0C06" w:rsidRDefault="00AD0C06" w:rsidP="00DC59E7">
      <w:pPr>
        <w:ind w:left="284"/>
        <w:rPr>
          <w:rFonts w:cs="Arial"/>
          <w:i/>
          <w:iCs/>
          <w:sz w:val="20"/>
          <w:szCs w:val="16"/>
          <w:lang w:val="es-CO"/>
        </w:rPr>
      </w:pPr>
    </w:p>
    <w:p w14:paraId="178E372C" w14:textId="77777777" w:rsidR="00AD0C06" w:rsidRDefault="00AD0C06" w:rsidP="00DC59E7">
      <w:pPr>
        <w:ind w:left="284"/>
        <w:rPr>
          <w:rFonts w:cs="Arial"/>
          <w:i/>
          <w:iCs/>
          <w:sz w:val="20"/>
          <w:szCs w:val="16"/>
          <w:lang w:val="es-CO"/>
        </w:rPr>
      </w:pPr>
      <w:r w:rsidRPr="00AD0C06">
        <w:rPr>
          <w:rFonts w:cs="Arial"/>
          <w:i/>
          <w:iCs/>
          <w:sz w:val="20"/>
          <w:szCs w:val="16"/>
          <w:lang w:val="es-CO"/>
        </w:rPr>
        <w:t>En contraste con lo anterior, en el caso de las SISFV no existe la aprobación de cargos particulares por parte de la Comisión (con la fecha cierta que dé inicio al periodo de vigencia) y no hay una delimitación evidente de un mercado porque la naturaleza de los usuarios es que están aislados y son dispersos. Si bien es posible en algunos casos identificar grupos de usuarios que dan viabilidad a una fase inicial de un proyecto, usuarios adicionales se irán incorporando a medida que muestren interés, sin restricción alguna asociada a la preexistencia de una infraestructura de red física. Esta es la naturaleza de la prestación del servicio a través de SISFV y es precisamente lo que entendemos que se desea promover para agilizar la expansión de cobertura en zonas aisladas dispersas.</w:t>
      </w:r>
    </w:p>
    <w:p w14:paraId="66EA51D8" w14:textId="77777777" w:rsidR="00AD0C06" w:rsidRPr="00AD0C06" w:rsidRDefault="00AD0C06" w:rsidP="00DC59E7">
      <w:pPr>
        <w:ind w:left="284"/>
        <w:rPr>
          <w:rFonts w:cs="Arial"/>
          <w:i/>
          <w:iCs/>
          <w:sz w:val="20"/>
          <w:szCs w:val="16"/>
          <w:lang w:val="es-CO"/>
        </w:rPr>
      </w:pPr>
    </w:p>
    <w:p w14:paraId="45E75C44" w14:textId="77777777" w:rsidR="00AD0C06" w:rsidRDefault="00AD0C06" w:rsidP="00DC59E7">
      <w:pPr>
        <w:ind w:left="284"/>
        <w:rPr>
          <w:rFonts w:cs="Arial"/>
          <w:i/>
          <w:iCs/>
          <w:sz w:val="20"/>
          <w:szCs w:val="16"/>
          <w:lang w:val="es-CO"/>
        </w:rPr>
      </w:pPr>
      <w:r w:rsidRPr="00AD0C06">
        <w:rPr>
          <w:rFonts w:cs="Arial"/>
          <w:i/>
          <w:iCs/>
          <w:sz w:val="20"/>
          <w:szCs w:val="16"/>
          <w:lang w:val="es-CO"/>
        </w:rPr>
        <w:t>La consecuencia es que, si bien hay un inicio claro de vigencia de la metodología tarifaria en la Res. CREG 101 026, no existe un momento de inicio claro de vigencia de los cargos aplicables a un usuario particular en el caso de las SISFV.</w:t>
      </w:r>
    </w:p>
    <w:p w14:paraId="7053E30D" w14:textId="77777777" w:rsidR="00AD0C06" w:rsidRPr="00AD0C06" w:rsidRDefault="00AD0C06" w:rsidP="00DC59E7">
      <w:pPr>
        <w:ind w:left="284"/>
        <w:rPr>
          <w:rFonts w:cs="Arial"/>
          <w:i/>
          <w:iCs/>
          <w:sz w:val="20"/>
          <w:szCs w:val="16"/>
          <w:lang w:val="es-CO"/>
        </w:rPr>
      </w:pPr>
    </w:p>
    <w:p w14:paraId="57CB68E7" w14:textId="77777777" w:rsidR="00AD0C06" w:rsidRDefault="00AD0C06" w:rsidP="00DC59E7">
      <w:pPr>
        <w:ind w:left="284"/>
        <w:rPr>
          <w:rFonts w:cs="Arial"/>
          <w:i/>
          <w:iCs/>
          <w:sz w:val="20"/>
          <w:szCs w:val="16"/>
          <w:lang w:val="es-CO"/>
        </w:rPr>
      </w:pPr>
      <w:r w:rsidRPr="00AD0C06">
        <w:rPr>
          <w:rFonts w:cs="Arial"/>
          <w:i/>
          <w:iCs/>
          <w:sz w:val="20"/>
          <w:szCs w:val="16"/>
          <w:lang w:val="es-CO"/>
        </w:rPr>
        <w:t>Una interpretación sería que la estabilidad solo se cuenta asociada a la metodología y no a la fecha en que se instala una SISFV a un usuario específico. Esto puede tener consecuencias indeseadas: a medida que se acerca el final del periodo de vigencia mínima de la metodología tarifaria, los prestadores del servicio podrían empezar a suspender la implementación de soluciones adicionales, a la espera de los cambios que pudiere traer la nueva metodología.</w:t>
      </w:r>
    </w:p>
    <w:p w14:paraId="2440C362" w14:textId="77777777" w:rsidR="00AD0C06" w:rsidRPr="00AD0C06" w:rsidRDefault="00AD0C06" w:rsidP="00DC59E7">
      <w:pPr>
        <w:ind w:left="284"/>
        <w:rPr>
          <w:rFonts w:cs="Arial"/>
          <w:i/>
          <w:iCs/>
          <w:sz w:val="20"/>
          <w:szCs w:val="16"/>
          <w:lang w:val="es-CO"/>
        </w:rPr>
      </w:pPr>
    </w:p>
    <w:p w14:paraId="54433779" w14:textId="77777777" w:rsidR="00AD0C06" w:rsidRDefault="00AD0C06" w:rsidP="00DC59E7">
      <w:pPr>
        <w:ind w:left="284"/>
        <w:rPr>
          <w:rFonts w:cs="Arial"/>
          <w:i/>
          <w:iCs/>
          <w:sz w:val="20"/>
          <w:szCs w:val="16"/>
          <w:lang w:val="es-CO"/>
        </w:rPr>
      </w:pPr>
      <w:r w:rsidRPr="00AD0C06">
        <w:rPr>
          <w:rFonts w:cs="Arial"/>
          <w:i/>
          <w:iCs/>
          <w:sz w:val="20"/>
          <w:szCs w:val="16"/>
          <w:lang w:val="es-CO"/>
        </w:rPr>
        <w:t>Por otro lado, asociar la estabilidad a la fecha de inicio de servicio a un usuario de SISFV específico puede resultar, en la práctica, una interpretación que dificulte la supervisión y la verificación para las autoridades. (Sin embargo, si se implementa una manera de hacer este seguimiento, podría aprovecharse para tratar de subsanar el riesgo descrito en el comentario No. 3, aplicando la tasa de descuento calculada con alguna regla transparente al momento de inicio de servicio de cada SISFV).</w:t>
      </w:r>
    </w:p>
    <w:p w14:paraId="4A0331BD" w14:textId="77777777" w:rsidR="00AD0C06" w:rsidRPr="00AD0C06" w:rsidRDefault="00AD0C06" w:rsidP="00DC59E7">
      <w:pPr>
        <w:ind w:left="284"/>
        <w:rPr>
          <w:rFonts w:cs="Arial"/>
          <w:i/>
          <w:iCs/>
          <w:sz w:val="20"/>
          <w:szCs w:val="16"/>
          <w:lang w:val="es-CO"/>
        </w:rPr>
      </w:pPr>
    </w:p>
    <w:p w14:paraId="23D85578" w14:textId="2DC5A92E" w:rsidR="00AD0C06" w:rsidRPr="00AD0C06" w:rsidRDefault="00AD0C06" w:rsidP="00DC59E7">
      <w:pPr>
        <w:ind w:left="284"/>
        <w:rPr>
          <w:rFonts w:cs="Arial"/>
          <w:i/>
          <w:iCs/>
          <w:sz w:val="20"/>
          <w:szCs w:val="16"/>
          <w:lang w:val="es-CO"/>
        </w:rPr>
      </w:pPr>
      <w:r w:rsidRPr="00AD0C06">
        <w:rPr>
          <w:rFonts w:cs="Arial"/>
          <w:i/>
          <w:iCs/>
          <w:sz w:val="20"/>
          <w:szCs w:val="16"/>
          <w:lang w:val="es-CO"/>
        </w:rPr>
        <w:t>Sugerimos a la Comisión dar claridad o eventualmente regular la manera correcta de interpretar la aplicación de la estabilidad tarifaria en el caso de SISFV a las que aplica la Resolución CREG 101 026 de 2022.</w:t>
      </w:r>
      <w:r>
        <w:rPr>
          <w:rFonts w:cs="Arial"/>
          <w:i/>
          <w:iCs/>
          <w:sz w:val="20"/>
          <w:szCs w:val="16"/>
          <w:lang w:val="es-CO"/>
        </w:rPr>
        <w:t>”</w:t>
      </w:r>
    </w:p>
    <w:p w14:paraId="083794C0" w14:textId="77777777" w:rsidR="00AD0C06" w:rsidRDefault="00AD0C06" w:rsidP="00AD0C06">
      <w:pPr>
        <w:rPr>
          <w:rFonts w:cs="Arial"/>
          <w:lang w:val="es-CO"/>
        </w:rPr>
      </w:pPr>
    </w:p>
    <w:p w14:paraId="593C0C46" w14:textId="77777777" w:rsidR="00AD0C06" w:rsidRPr="00AD0C06" w:rsidRDefault="00AD0C06" w:rsidP="007134BE">
      <w:pPr>
        <w:pStyle w:val="Prrafodelista"/>
        <w:numPr>
          <w:ilvl w:val="0"/>
          <w:numId w:val="16"/>
        </w:numPr>
        <w:rPr>
          <w:rFonts w:cs="Arial"/>
          <w:lang w:val="es-CO"/>
        </w:rPr>
      </w:pPr>
    </w:p>
    <w:p w14:paraId="50EF32A2" w14:textId="77777777" w:rsidR="00AD0C06" w:rsidRDefault="00AD0C06" w:rsidP="00AD0C06">
      <w:pPr>
        <w:rPr>
          <w:rFonts w:cs="Arial"/>
          <w:lang w:val="es-CO"/>
        </w:rPr>
      </w:pPr>
    </w:p>
    <w:p w14:paraId="356BC52A" w14:textId="300C6A03" w:rsidR="00070D38" w:rsidRPr="00070D38" w:rsidRDefault="00070D38" w:rsidP="00070D38">
      <w:pPr>
        <w:rPr>
          <w:rFonts w:cs="Arial"/>
          <w:lang w:val="es-CO"/>
        </w:rPr>
      </w:pPr>
      <w:r w:rsidRPr="00070D38">
        <w:rPr>
          <w:rFonts w:cs="Arial"/>
          <w:lang w:val="es-CO"/>
        </w:rPr>
        <w:t xml:space="preserve">La metodología estará vigente a partir del mes siguiente </w:t>
      </w:r>
      <w:r w:rsidR="00C72242">
        <w:rPr>
          <w:rFonts w:cs="Arial"/>
          <w:lang w:val="es-CO"/>
        </w:rPr>
        <w:t xml:space="preserve">a </w:t>
      </w:r>
      <w:r w:rsidRPr="00070D38">
        <w:rPr>
          <w:rFonts w:cs="Arial"/>
          <w:lang w:val="es-CO"/>
        </w:rPr>
        <w:t xml:space="preserve">la fecha de publicación de la resolución por la cual se apruebe la tasa de descuento. Los cargos que se determinen en aplicación de la </w:t>
      </w:r>
      <w:r w:rsidR="00C72242">
        <w:rPr>
          <w:rFonts w:cs="Arial"/>
          <w:lang w:val="es-CO"/>
        </w:rPr>
        <w:t xml:space="preserve">resolución CREG </w:t>
      </w:r>
      <w:r w:rsidRPr="00070D38">
        <w:rPr>
          <w:rFonts w:cs="Arial"/>
          <w:lang w:val="es-CO"/>
        </w:rPr>
        <w:t>101 026 estarán vigentes hasta la definición de un nuevo marco tarifario para la prestación del servicio mediante SISFV.</w:t>
      </w:r>
    </w:p>
    <w:p w14:paraId="6B1C657B" w14:textId="77777777" w:rsidR="00AD0C06" w:rsidRDefault="00AD0C06" w:rsidP="00AD0C06">
      <w:pPr>
        <w:rPr>
          <w:rFonts w:cs="Arial"/>
          <w:lang w:val="es-CO"/>
        </w:rPr>
      </w:pPr>
    </w:p>
    <w:p w14:paraId="2C3D11FC" w14:textId="42344A9C" w:rsidR="00031774" w:rsidRPr="007134BE" w:rsidRDefault="00031774" w:rsidP="002F0764">
      <w:pPr>
        <w:pStyle w:val="Ttulo2"/>
        <w:numPr>
          <w:ilvl w:val="1"/>
          <w:numId w:val="7"/>
        </w:numPr>
        <w:rPr>
          <w:lang w:val="es-CO"/>
        </w:rPr>
      </w:pPr>
      <w:bookmarkStart w:id="23" w:name="_Toc147137562"/>
      <w:r w:rsidRPr="007134BE">
        <w:rPr>
          <w:lang w:val="es-CO"/>
        </w:rPr>
        <w:t>Asociación de Energías Renovables Colombia, SER Colombia</w:t>
      </w:r>
      <w:bookmarkEnd w:id="23"/>
    </w:p>
    <w:p w14:paraId="5459A428" w14:textId="77777777" w:rsidR="00031774" w:rsidRPr="007134BE" w:rsidRDefault="00031774" w:rsidP="007134BE">
      <w:pPr>
        <w:pStyle w:val="Prrafodelista"/>
        <w:numPr>
          <w:ilvl w:val="0"/>
          <w:numId w:val="13"/>
        </w:numPr>
        <w:rPr>
          <w:rFonts w:cs="Arial"/>
          <w:i/>
          <w:iCs/>
          <w:lang w:val="es-CO"/>
        </w:rPr>
      </w:pPr>
    </w:p>
    <w:p w14:paraId="008D94CB" w14:textId="77777777" w:rsidR="00031774" w:rsidRPr="007134BE" w:rsidRDefault="00031774" w:rsidP="00031774">
      <w:pPr>
        <w:ind w:left="284"/>
        <w:rPr>
          <w:rFonts w:cs="Arial"/>
          <w:i/>
          <w:iCs/>
        </w:rPr>
      </w:pPr>
    </w:p>
    <w:p w14:paraId="409BE0D5" w14:textId="65DCB5AC" w:rsidR="00031774" w:rsidRPr="007134BE" w:rsidRDefault="00AD0C06" w:rsidP="00AD0C06">
      <w:pPr>
        <w:autoSpaceDE w:val="0"/>
        <w:autoSpaceDN w:val="0"/>
        <w:adjustRightInd w:val="0"/>
        <w:ind w:left="284"/>
        <w:contextualSpacing w:val="0"/>
        <w:rPr>
          <w:rFonts w:cs="Arial"/>
          <w:i/>
          <w:iCs/>
          <w:sz w:val="20"/>
          <w:szCs w:val="16"/>
        </w:rPr>
      </w:pPr>
      <w:r w:rsidRPr="007134BE">
        <w:rPr>
          <w:rFonts w:cs="Arial"/>
          <w:i/>
          <w:iCs/>
          <w:color w:val="000000"/>
          <w:sz w:val="20"/>
          <w:lang w:val="es-CO" w:eastAsia="es-CO"/>
        </w:rPr>
        <w:t>“</w:t>
      </w:r>
      <w:r w:rsidRPr="00AD0C06">
        <w:rPr>
          <w:rFonts w:cs="Arial"/>
          <w:i/>
          <w:iCs/>
          <w:color w:val="000000"/>
          <w:sz w:val="20"/>
          <w:lang w:val="es-CO" w:eastAsia="es-CO"/>
        </w:rPr>
        <w:t xml:space="preserve">Algunos indicadores macroeconómicos como la evolución de la inflación y la tasa de cambio, así como algunas medidas de política pública comerciales y monetarias adoptadas, y las medidas y reformas adicionales anunciadas por el Gobierno son constantemente internalizadas por los mercados y se reflejan en las tasas de interés disponibles en el mercado para financiación. Prueba de ellos es que las condiciones de financiación de cualquier tipo de proyecto han cambiado de manera relevante desde el año pasado. Lo anterior, sumado a que los eventos geopolíticos y la crisis logística han causado incrementos en los costos de los insumos y servicios importados. Así </w:t>
      </w:r>
      <w:r w:rsidRPr="007134BE">
        <w:rPr>
          <w:rFonts w:cs="Arial"/>
          <w:i/>
          <w:iCs/>
          <w:sz w:val="20"/>
          <w:lang w:val="es-CO" w:eastAsia="es-CO"/>
        </w:rPr>
        <w:t>mismo, la devaluación a la cual se ha enfrentado el peso colombiano sumado a los pocos dispersos usuarios potenciales de SISFVI (lo que dificulta la asimilación de los costos fijos) denota que la tasa planteada, bajo la coyuntura actual es muy baja cuando compararla con las tasas de retorno para proyectos de inversión en SISFV. Una tasa de descuento de 10.93% hace casi imposible el cierre financiero de un proyecto que está accediendo a tasas de financiación superiores al 16%.”</w:t>
      </w:r>
    </w:p>
    <w:p w14:paraId="30AE8202" w14:textId="77777777" w:rsidR="00D7100E" w:rsidRPr="007134BE" w:rsidRDefault="00D7100E" w:rsidP="00031774">
      <w:pPr>
        <w:ind w:left="284"/>
        <w:rPr>
          <w:rFonts w:cs="Arial"/>
          <w:i/>
          <w:iCs/>
        </w:rPr>
      </w:pPr>
    </w:p>
    <w:p w14:paraId="70436411" w14:textId="77777777" w:rsidR="00D7100E" w:rsidRPr="007134BE" w:rsidRDefault="00D7100E" w:rsidP="007134BE">
      <w:pPr>
        <w:pStyle w:val="Prrafodelista"/>
        <w:numPr>
          <w:ilvl w:val="0"/>
          <w:numId w:val="16"/>
        </w:numPr>
        <w:rPr>
          <w:rFonts w:cs="Arial"/>
          <w:i/>
          <w:iCs/>
        </w:rPr>
      </w:pPr>
    </w:p>
    <w:p w14:paraId="40ED737C" w14:textId="77777777" w:rsidR="00D7100E" w:rsidRPr="007134BE" w:rsidRDefault="00D7100E" w:rsidP="00031774">
      <w:pPr>
        <w:ind w:left="284"/>
        <w:rPr>
          <w:rFonts w:cs="Arial"/>
          <w:i/>
          <w:iCs/>
        </w:rPr>
      </w:pPr>
    </w:p>
    <w:p w14:paraId="0E898C44" w14:textId="7D638FD9" w:rsidR="00AD0C06" w:rsidRPr="00402594" w:rsidRDefault="00402594" w:rsidP="00402594">
      <w:pPr>
        <w:rPr>
          <w:rFonts w:cs="Arial"/>
        </w:rPr>
      </w:pPr>
      <w:r>
        <w:rPr>
          <w:rFonts w:cs="Arial"/>
        </w:rPr>
        <w:t xml:space="preserve">Ver respuesta al comentario </w:t>
      </w:r>
      <w:r w:rsidR="00B76F04">
        <w:rPr>
          <w:rFonts w:cs="Arial"/>
        </w:rPr>
        <w:t>9</w:t>
      </w:r>
      <w:r>
        <w:rPr>
          <w:rFonts w:cs="Arial"/>
        </w:rPr>
        <w:t>.</w:t>
      </w:r>
    </w:p>
    <w:p w14:paraId="1DA4C20E" w14:textId="77777777" w:rsidR="007134BE" w:rsidRDefault="007134BE" w:rsidP="00031774">
      <w:pPr>
        <w:ind w:left="284"/>
        <w:rPr>
          <w:rFonts w:cs="Arial"/>
          <w:i/>
          <w:iCs/>
        </w:rPr>
      </w:pPr>
    </w:p>
    <w:p w14:paraId="49528022" w14:textId="77777777" w:rsidR="007134BE" w:rsidRPr="007134BE" w:rsidRDefault="007134BE" w:rsidP="007134BE">
      <w:pPr>
        <w:pStyle w:val="Prrafodelista"/>
        <w:numPr>
          <w:ilvl w:val="0"/>
          <w:numId w:val="13"/>
        </w:numPr>
        <w:rPr>
          <w:rFonts w:cs="Arial"/>
          <w:i/>
          <w:iCs/>
        </w:rPr>
      </w:pPr>
    </w:p>
    <w:p w14:paraId="41B74078" w14:textId="77777777" w:rsidR="00AD0C06" w:rsidRPr="007134BE" w:rsidRDefault="00AD0C06" w:rsidP="00031774">
      <w:pPr>
        <w:ind w:left="284"/>
        <w:rPr>
          <w:rFonts w:cs="Arial"/>
          <w:i/>
          <w:iCs/>
        </w:rPr>
      </w:pPr>
    </w:p>
    <w:p w14:paraId="606944E3" w14:textId="37C4FD28" w:rsidR="00AD0C06" w:rsidRPr="007134BE" w:rsidRDefault="007134BE" w:rsidP="00C5287A">
      <w:pPr>
        <w:ind w:left="284"/>
        <w:rPr>
          <w:rFonts w:cs="Arial"/>
          <w:i/>
          <w:iCs/>
        </w:rPr>
      </w:pPr>
      <w:r w:rsidRPr="007134BE">
        <w:rPr>
          <w:i/>
          <w:iCs/>
          <w:sz w:val="20"/>
        </w:rPr>
        <w:lastRenderedPageBreak/>
        <w:t>“En el mismo sentido, considerando las condiciones cambiantes en el sector financiero producto de los índices macroeconómicos sugerimos que la fecha de cálculo para la estimación de cada una de las variables para el cálculo de la tasa de descuento sea como máximo el 31 de diciembre de 2022.”</w:t>
      </w:r>
    </w:p>
    <w:p w14:paraId="67972E0D" w14:textId="77777777" w:rsidR="00AD0C06" w:rsidRPr="007134BE" w:rsidRDefault="00AD0C06" w:rsidP="00031774">
      <w:pPr>
        <w:ind w:left="284"/>
        <w:rPr>
          <w:rFonts w:cs="Arial"/>
          <w:i/>
          <w:iCs/>
        </w:rPr>
      </w:pPr>
    </w:p>
    <w:p w14:paraId="0064B6EA" w14:textId="77777777" w:rsidR="00AD0C06" w:rsidRPr="007134BE" w:rsidRDefault="00AD0C06" w:rsidP="007134BE">
      <w:pPr>
        <w:pStyle w:val="Prrafodelista"/>
        <w:numPr>
          <w:ilvl w:val="0"/>
          <w:numId w:val="16"/>
        </w:numPr>
        <w:rPr>
          <w:rFonts w:cs="Arial"/>
          <w:i/>
          <w:iCs/>
        </w:rPr>
      </w:pPr>
    </w:p>
    <w:p w14:paraId="7B1916D6" w14:textId="77777777" w:rsidR="00AD0C06" w:rsidRDefault="00AD0C06" w:rsidP="00031774">
      <w:pPr>
        <w:ind w:left="284"/>
        <w:rPr>
          <w:rFonts w:cs="Arial"/>
          <w:i/>
          <w:iCs/>
        </w:rPr>
      </w:pPr>
    </w:p>
    <w:p w14:paraId="5B1AABDD" w14:textId="77777777" w:rsidR="00A72249" w:rsidRPr="00402594" w:rsidRDefault="00A72249" w:rsidP="00A72249">
      <w:pPr>
        <w:rPr>
          <w:rFonts w:cs="Arial"/>
        </w:rPr>
      </w:pPr>
      <w:r>
        <w:rPr>
          <w:rFonts w:cs="Arial"/>
        </w:rPr>
        <w:t>Ver respuesta al comentario 9.</w:t>
      </w:r>
    </w:p>
    <w:p w14:paraId="516CD25F" w14:textId="77777777" w:rsidR="007134BE" w:rsidRDefault="007134BE" w:rsidP="00031774">
      <w:pPr>
        <w:ind w:left="284"/>
        <w:rPr>
          <w:rFonts w:cs="Arial"/>
          <w:i/>
          <w:iCs/>
        </w:rPr>
      </w:pPr>
    </w:p>
    <w:p w14:paraId="6B79BC55" w14:textId="77777777" w:rsidR="007134BE" w:rsidRPr="007134BE" w:rsidRDefault="007134BE" w:rsidP="007134BE">
      <w:pPr>
        <w:pStyle w:val="Prrafodelista"/>
        <w:numPr>
          <w:ilvl w:val="0"/>
          <w:numId w:val="13"/>
        </w:numPr>
        <w:rPr>
          <w:rFonts w:cs="Arial"/>
          <w:i/>
          <w:iCs/>
        </w:rPr>
      </w:pPr>
    </w:p>
    <w:p w14:paraId="2E41AFC4" w14:textId="77777777" w:rsidR="007134BE" w:rsidRDefault="007134BE" w:rsidP="00031774">
      <w:pPr>
        <w:ind w:left="284"/>
        <w:rPr>
          <w:sz w:val="23"/>
          <w:szCs w:val="23"/>
        </w:rPr>
      </w:pPr>
    </w:p>
    <w:p w14:paraId="272E266C" w14:textId="39F5EFE3" w:rsidR="007134BE" w:rsidRPr="004901B8" w:rsidRDefault="007134BE" w:rsidP="00C5287A">
      <w:pPr>
        <w:ind w:left="284"/>
        <w:rPr>
          <w:rFonts w:cs="Arial"/>
          <w:i/>
          <w:iCs/>
          <w:sz w:val="20"/>
          <w:szCs w:val="16"/>
        </w:rPr>
      </w:pPr>
      <w:r>
        <w:rPr>
          <w:i/>
          <w:iCs/>
          <w:sz w:val="20"/>
        </w:rPr>
        <w:t>“</w:t>
      </w:r>
      <w:r w:rsidRPr="007134BE">
        <w:rPr>
          <w:i/>
          <w:iCs/>
          <w:sz w:val="20"/>
        </w:rPr>
        <w:t xml:space="preserve">Por su parte, sobre la vigencia de la tasa de descuento si bien entendemos que solo se realizarán ajustes en la eventualidad de cambios de tasa impositiva, de acuerdo con la Resolución 004 de 2021, consideramos que una correcta calibración de las tasas de descuento es el elemento clave </w:t>
      </w:r>
      <w:r w:rsidRPr="004901B8">
        <w:rPr>
          <w:i/>
          <w:iCs/>
          <w:sz w:val="20"/>
        </w:rPr>
        <w:t>para que se mantengan los incentivos adecuados a la inversión. Por lo tanto, amablemente solicitamos a la Comisión que la tasa de descuento sea revisada y/o recalculada con algún tipo de periodicidad establecida o al menos sea indexada a la tasa de riesgo país explícitamente.”</w:t>
      </w:r>
    </w:p>
    <w:p w14:paraId="72F3FFCF" w14:textId="77777777" w:rsidR="007134BE" w:rsidRPr="004901B8" w:rsidRDefault="007134BE" w:rsidP="007134BE">
      <w:pPr>
        <w:ind w:left="360"/>
        <w:rPr>
          <w:rFonts w:cs="Arial"/>
          <w:i/>
          <w:iCs/>
          <w:sz w:val="20"/>
          <w:szCs w:val="16"/>
        </w:rPr>
      </w:pPr>
    </w:p>
    <w:p w14:paraId="25726E6A" w14:textId="77777777" w:rsidR="007134BE" w:rsidRPr="004901B8" w:rsidRDefault="007134BE" w:rsidP="007134BE">
      <w:pPr>
        <w:pStyle w:val="Prrafodelista"/>
        <w:numPr>
          <w:ilvl w:val="0"/>
          <w:numId w:val="16"/>
        </w:numPr>
        <w:rPr>
          <w:rFonts w:cs="Arial"/>
          <w:i/>
          <w:iCs/>
        </w:rPr>
      </w:pPr>
    </w:p>
    <w:p w14:paraId="50798202" w14:textId="77777777" w:rsidR="00AD0C06" w:rsidRDefault="00AD0C06" w:rsidP="00031774">
      <w:pPr>
        <w:ind w:left="284"/>
        <w:rPr>
          <w:rFonts w:cs="Arial"/>
          <w:i/>
          <w:iCs/>
        </w:rPr>
      </w:pPr>
    </w:p>
    <w:p w14:paraId="608EBBEA" w14:textId="23434838" w:rsidR="00324545" w:rsidRPr="004901B8" w:rsidRDefault="00333D52" w:rsidP="00333D52">
      <w:pPr>
        <w:rPr>
          <w:rFonts w:cs="Arial"/>
          <w:i/>
          <w:iCs/>
        </w:rPr>
      </w:pPr>
      <w:r>
        <w:rPr>
          <w:rFonts w:cs="Arial"/>
        </w:rPr>
        <w:t>Ver respuesta al comentario 15.</w:t>
      </w:r>
    </w:p>
    <w:p w14:paraId="53C8C745" w14:textId="77777777" w:rsidR="00324545" w:rsidRPr="004901B8" w:rsidRDefault="00324545" w:rsidP="00031774">
      <w:pPr>
        <w:ind w:left="284"/>
        <w:rPr>
          <w:rFonts w:cs="Arial"/>
          <w:i/>
          <w:iCs/>
        </w:rPr>
      </w:pPr>
    </w:p>
    <w:p w14:paraId="3B1F1E49" w14:textId="77777777" w:rsidR="00324545" w:rsidRPr="004901B8" w:rsidRDefault="00324545" w:rsidP="00324545">
      <w:pPr>
        <w:pStyle w:val="Prrafodelista"/>
        <w:numPr>
          <w:ilvl w:val="0"/>
          <w:numId w:val="13"/>
        </w:numPr>
        <w:rPr>
          <w:rFonts w:cs="Arial"/>
          <w:i/>
          <w:iCs/>
        </w:rPr>
      </w:pPr>
    </w:p>
    <w:p w14:paraId="75D9C35A" w14:textId="77777777" w:rsidR="00324545" w:rsidRPr="004901B8" w:rsidRDefault="00324545" w:rsidP="00031774">
      <w:pPr>
        <w:ind w:left="284"/>
        <w:rPr>
          <w:sz w:val="23"/>
          <w:szCs w:val="23"/>
        </w:rPr>
      </w:pPr>
    </w:p>
    <w:p w14:paraId="5FC3AA85" w14:textId="725DA62D" w:rsidR="00324545" w:rsidRPr="004901B8" w:rsidRDefault="00324545" w:rsidP="00324545">
      <w:pPr>
        <w:ind w:left="284"/>
        <w:rPr>
          <w:rFonts w:cs="Arial"/>
          <w:i/>
          <w:iCs/>
        </w:rPr>
      </w:pPr>
      <w:r w:rsidRPr="004901B8">
        <w:rPr>
          <w:i/>
          <w:iCs/>
          <w:sz w:val="20"/>
        </w:rPr>
        <w:t xml:space="preserve">“Así mismo, no se conoce el cálculo del WACC, ni los valores de las diferentes variables, ni la fuente utilizada para el cálculo </w:t>
      </w:r>
      <w:proofErr w:type="gramStart"/>
      <w:r w:rsidRPr="004901B8">
        <w:rPr>
          <w:i/>
          <w:iCs/>
          <w:sz w:val="20"/>
        </w:rPr>
        <w:t>del beta</w:t>
      </w:r>
      <w:proofErr w:type="gramEnd"/>
      <w:r w:rsidRPr="004901B8">
        <w:rPr>
          <w:i/>
          <w:iCs/>
          <w:sz w:val="20"/>
        </w:rPr>
        <w:t>. Es importante que la CREG publique el cálculo por variable y si es posible la memoria de cálculo con las series de datos utilizadas ya que no son públicas.”</w:t>
      </w:r>
    </w:p>
    <w:p w14:paraId="43B599EC" w14:textId="77777777" w:rsidR="00324545" w:rsidRPr="004901B8" w:rsidRDefault="00324545" w:rsidP="00031774">
      <w:pPr>
        <w:ind w:left="284"/>
        <w:rPr>
          <w:rFonts w:cs="Arial"/>
          <w:i/>
          <w:iCs/>
        </w:rPr>
      </w:pPr>
    </w:p>
    <w:p w14:paraId="7EE947E3" w14:textId="77777777" w:rsidR="00324545" w:rsidRPr="004901B8" w:rsidRDefault="00324545" w:rsidP="00324545">
      <w:pPr>
        <w:pStyle w:val="Prrafodelista"/>
        <w:numPr>
          <w:ilvl w:val="0"/>
          <w:numId w:val="16"/>
        </w:numPr>
        <w:rPr>
          <w:rFonts w:cs="Arial"/>
          <w:i/>
          <w:iCs/>
        </w:rPr>
      </w:pPr>
    </w:p>
    <w:p w14:paraId="26E262A1" w14:textId="77777777" w:rsidR="00324545" w:rsidRPr="004901B8" w:rsidRDefault="00324545" w:rsidP="00324545"/>
    <w:p w14:paraId="39DA6D6D" w14:textId="611DD66F" w:rsidR="00324545" w:rsidRPr="004901B8" w:rsidRDefault="00563F50" w:rsidP="00324545">
      <w:r>
        <w:t>La memoria de cálculo fue publicada en la página web de la Comisión.</w:t>
      </w:r>
    </w:p>
    <w:p w14:paraId="1697CBD1" w14:textId="77777777" w:rsidR="00324545" w:rsidRPr="004901B8" w:rsidRDefault="00324545" w:rsidP="00031774">
      <w:pPr>
        <w:ind w:left="284"/>
        <w:rPr>
          <w:rFonts w:cs="Arial"/>
          <w:i/>
          <w:iCs/>
        </w:rPr>
      </w:pPr>
    </w:p>
    <w:p w14:paraId="1EA25B83" w14:textId="77777777" w:rsidR="00324545" w:rsidRPr="004901B8" w:rsidRDefault="00324545" w:rsidP="00324545">
      <w:pPr>
        <w:pStyle w:val="Prrafodelista"/>
        <w:numPr>
          <w:ilvl w:val="0"/>
          <w:numId w:val="13"/>
        </w:numPr>
        <w:rPr>
          <w:rFonts w:cs="Arial"/>
          <w:i/>
          <w:iCs/>
        </w:rPr>
      </w:pPr>
    </w:p>
    <w:p w14:paraId="035C9ADE" w14:textId="77777777" w:rsidR="00324545" w:rsidRPr="004901B8" w:rsidRDefault="00324545" w:rsidP="00031774">
      <w:pPr>
        <w:ind w:left="284"/>
        <w:rPr>
          <w:rFonts w:cs="Arial"/>
          <w:i/>
          <w:iCs/>
        </w:rPr>
      </w:pPr>
    </w:p>
    <w:p w14:paraId="3A45547F" w14:textId="67A448BF" w:rsidR="00324545" w:rsidRPr="004901B8" w:rsidRDefault="00324545" w:rsidP="00C5287A">
      <w:pPr>
        <w:ind w:left="284"/>
        <w:rPr>
          <w:i/>
          <w:iCs/>
          <w:sz w:val="20"/>
        </w:rPr>
      </w:pPr>
      <w:r w:rsidRPr="004901B8">
        <w:rPr>
          <w:i/>
          <w:iCs/>
          <w:sz w:val="20"/>
        </w:rPr>
        <w:t>“Finalmente, sugerimos a la Comisión dar claridad o eventualmente regular la manera correcta de interpretar la aplicación de la estabilidad tarifaria en el caso de SISFV a las que aplica la Resolución CREG 101 026 de 2022, lo anterior, en concordancia con la estabilidad tarifaria prevista en el Art. 126 de la Ley 142 de 1994.”</w:t>
      </w:r>
    </w:p>
    <w:p w14:paraId="58171319" w14:textId="77777777" w:rsidR="00324545" w:rsidRPr="004901B8" w:rsidRDefault="00324545" w:rsidP="00031774">
      <w:pPr>
        <w:ind w:left="284"/>
        <w:rPr>
          <w:i/>
          <w:iCs/>
          <w:sz w:val="23"/>
          <w:szCs w:val="23"/>
        </w:rPr>
      </w:pPr>
    </w:p>
    <w:p w14:paraId="4A1CADAD" w14:textId="77777777" w:rsidR="00324545" w:rsidRPr="004901B8" w:rsidRDefault="00324545" w:rsidP="00324545">
      <w:pPr>
        <w:pStyle w:val="Prrafodelista"/>
        <w:numPr>
          <w:ilvl w:val="0"/>
          <w:numId w:val="16"/>
        </w:numPr>
        <w:rPr>
          <w:sz w:val="23"/>
          <w:szCs w:val="23"/>
        </w:rPr>
      </w:pPr>
    </w:p>
    <w:p w14:paraId="2AF23A3A" w14:textId="338D9801" w:rsidR="00324545" w:rsidRDefault="00324545" w:rsidP="00324545"/>
    <w:p w14:paraId="3262A8A5" w14:textId="01081D95" w:rsidR="00324545" w:rsidRPr="004901B8" w:rsidRDefault="004831EC" w:rsidP="00324545">
      <w:pPr>
        <w:rPr>
          <w:rFonts w:cs="Arial"/>
          <w:i/>
          <w:iCs/>
        </w:rPr>
      </w:pPr>
      <w:r>
        <w:t>Ver respuesta a comentario 26.</w:t>
      </w:r>
    </w:p>
    <w:p w14:paraId="4777AC78" w14:textId="77777777" w:rsidR="00324545" w:rsidRPr="004901B8" w:rsidRDefault="00324545" w:rsidP="00324545">
      <w:pPr>
        <w:rPr>
          <w:rFonts w:cs="Arial"/>
          <w:i/>
          <w:iCs/>
        </w:rPr>
      </w:pPr>
    </w:p>
    <w:p w14:paraId="35B1A092" w14:textId="56EF2E12" w:rsidR="00D7100E" w:rsidRDefault="00D7100E" w:rsidP="002F0764">
      <w:pPr>
        <w:pStyle w:val="Ttulo1"/>
        <w:numPr>
          <w:ilvl w:val="0"/>
          <w:numId w:val="7"/>
        </w:numPr>
      </w:pPr>
      <w:bookmarkStart w:id="24" w:name="_Toc147137563"/>
      <w:r w:rsidRPr="004901B8">
        <w:t>COMENTARIOS REALZADOS A LA RESOLUCIÓN CREG 701 009 DE 2029</w:t>
      </w:r>
      <w:bookmarkEnd w:id="24"/>
    </w:p>
    <w:p w14:paraId="60031457" w14:textId="77777777" w:rsidR="00DD7B4F" w:rsidRDefault="00DD7B4F" w:rsidP="00DD7B4F"/>
    <w:p w14:paraId="4F26370C" w14:textId="77777777" w:rsidR="002A4964" w:rsidRPr="00106318" w:rsidRDefault="002A4964" w:rsidP="002A4964">
      <w:pPr>
        <w:pStyle w:val="Ttulo2"/>
        <w:numPr>
          <w:ilvl w:val="1"/>
          <w:numId w:val="7"/>
        </w:numPr>
      </w:pPr>
      <w:bookmarkStart w:id="25" w:name="_Toc147137564"/>
      <w:r>
        <w:t>Enel</w:t>
      </w:r>
      <w:r w:rsidRPr="00F90BAE">
        <w:t xml:space="preserve"> S.A. E</w:t>
      </w:r>
      <w:r>
        <w:t>.</w:t>
      </w:r>
      <w:r w:rsidRPr="00F90BAE">
        <w:t>S</w:t>
      </w:r>
      <w:r>
        <w:t>.</w:t>
      </w:r>
      <w:r w:rsidRPr="00F90BAE">
        <w:t>P.</w:t>
      </w:r>
      <w:bookmarkEnd w:id="25"/>
    </w:p>
    <w:p w14:paraId="46438594" w14:textId="77777777" w:rsidR="002A4964" w:rsidRDefault="002A4964" w:rsidP="0051446B">
      <w:pPr>
        <w:pStyle w:val="Prrafodelista"/>
        <w:numPr>
          <w:ilvl w:val="0"/>
          <w:numId w:val="13"/>
        </w:numPr>
      </w:pPr>
    </w:p>
    <w:p w14:paraId="68D14757" w14:textId="77777777" w:rsidR="002A4964" w:rsidRDefault="002A4964" w:rsidP="00C5287A">
      <w:pPr>
        <w:ind w:left="284"/>
      </w:pPr>
    </w:p>
    <w:p w14:paraId="4C89B7A9" w14:textId="23BAF2AF" w:rsidR="00A745FE" w:rsidRDefault="00A745FE" w:rsidP="00C5287A">
      <w:pPr>
        <w:autoSpaceDE w:val="0"/>
        <w:autoSpaceDN w:val="0"/>
        <w:adjustRightInd w:val="0"/>
        <w:ind w:left="284"/>
        <w:contextualSpacing w:val="0"/>
        <w:rPr>
          <w:rFonts w:cs="Arial"/>
          <w:i/>
          <w:iCs/>
          <w:color w:val="000000"/>
          <w:sz w:val="20"/>
          <w:lang w:val="es-CO" w:eastAsia="es-CO"/>
        </w:rPr>
      </w:pPr>
      <w:r>
        <w:rPr>
          <w:rFonts w:cs="Arial"/>
          <w:b/>
          <w:bCs/>
          <w:i/>
          <w:iCs/>
          <w:color w:val="000000"/>
          <w:sz w:val="20"/>
          <w:lang w:val="es-CO" w:eastAsia="es-CO"/>
        </w:rPr>
        <w:lastRenderedPageBreak/>
        <w:t>“</w:t>
      </w:r>
      <w:r w:rsidRPr="00A745FE">
        <w:rPr>
          <w:rFonts w:cs="Arial"/>
          <w:b/>
          <w:bCs/>
          <w:i/>
          <w:iCs/>
          <w:color w:val="000000"/>
          <w:sz w:val="20"/>
          <w:lang w:val="es-CO" w:eastAsia="es-CO"/>
        </w:rPr>
        <w:t>Fecha de corte</w:t>
      </w:r>
      <w:r w:rsidRPr="00A745FE">
        <w:rPr>
          <w:rFonts w:cs="Arial"/>
          <w:i/>
          <w:iCs/>
          <w:color w:val="000000"/>
          <w:sz w:val="20"/>
          <w:lang w:val="es-CO" w:eastAsia="es-CO"/>
        </w:rPr>
        <w:t xml:space="preserve">: la fecha de corte propuesta por la Comisión para para el cálculo de la tasa de retorno es el 30 de junio de 2022, no obstante, el valor tomado para el delta beta US_GICS55 y UK_GICS55 es a corte de 12/31/2021. El ultimo valor publicado por la plataforma KROLL, es de junio de 2022 el cual sugerimos usar para el </w:t>
      </w:r>
      <w:proofErr w:type="spellStart"/>
      <w:r w:rsidRPr="00A745FE">
        <w:rPr>
          <w:rFonts w:cs="Arial"/>
          <w:i/>
          <w:iCs/>
          <w:color w:val="000000"/>
          <w:sz w:val="20"/>
          <w:lang w:val="es-CO" w:eastAsia="es-CO"/>
        </w:rPr>
        <w:t>calculo</w:t>
      </w:r>
      <w:proofErr w:type="spellEnd"/>
      <w:r w:rsidRPr="00A745FE">
        <w:rPr>
          <w:rFonts w:cs="Arial"/>
          <w:i/>
          <w:iCs/>
          <w:color w:val="000000"/>
          <w:sz w:val="20"/>
          <w:lang w:val="es-CO" w:eastAsia="es-CO"/>
        </w:rPr>
        <w:t xml:space="preserve"> y de esta forma tener las variables a la misma fecha de corte. </w:t>
      </w:r>
    </w:p>
    <w:p w14:paraId="2559E9DE" w14:textId="77777777" w:rsidR="00505AC0" w:rsidRPr="00A745FE" w:rsidRDefault="00505AC0" w:rsidP="00C5287A">
      <w:pPr>
        <w:autoSpaceDE w:val="0"/>
        <w:autoSpaceDN w:val="0"/>
        <w:adjustRightInd w:val="0"/>
        <w:ind w:left="284"/>
        <w:contextualSpacing w:val="0"/>
        <w:rPr>
          <w:rFonts w:cs="Arial"/>
          <w:i/>
          <w:iCs/>
          <w:color w:val="000000"/>
          <w:sz w:val="20"/>
          <w:lang w:val="es-CO" w:eastAsia="es-CO"/>
        </w:rPr>
      </w:pPr>
    </w:p>
    <w:p w14:paraId="5D6795CC" w14:textId="77777777" w:rsidR="00505AC0" w:rsidRDefault="00A745FE" w:rsidP="00C5287A">
      <w:pPr>
        <w:autoSpaceDE w:val="0"/>
        <w:autoSpaceDN w:val="0"/>
        <w:adjustRightInd w:val="0"/>
        <w:ind w:left="284"/>
        <w:contextualSpacing w:val="0"/>
        <w:rPr>
          <w:rFonts w:cs="Arial"/>
          <w:i/>
          <w:iCs/>
          <w:color w:val="000000"/>
          <w:sz w:val="20"/>
          <w:lang w:val="es-CO" w:eastAsia="es-CO"/>
        </w:rPr>
      </w:pPr>
      <w:r w:rsidRPr="00A745FE">
        <w:rPr>
          <w:rFonts w:cs="Arial"/>
          <w:i/>
          <w:iCs/>
          <w:color w:val="000000"/>
          <w:sz w:val="20"/>
          <w:lang w:val="es-CO" w:eastAsia="es-CO"/>
        </w:rPr>
        <w:t>Sin perjuicio de lo anterior, sugerimos tener en cuenta que desde junio a diciembre del 2022 la devaluación del peso frente al dólar aumentó significativamente, alcanzando en promedio un 22% a diciembre frente a junio; por esta razón, es importante que la serie de datos del cálculo tome este período y así refleje en alguna medida el comportamiento de mercado actual y el que se espera en el mediano plazo.</w:t>
      </w:r>
    </w:p>
    <w:p w14:paraId="12A4F133" w14:textId="77777777" w:rsidR="00505AC0" w:rsidRDefault="00505AC0" w:rsidP="00C5287A">
      <w:pPr>
        <w:autoSpaceDE w:val="0"/>
        <w:autoSpaceDN w:val="0"/>
        <w:adjustRightInd w:val="0"/>
        <w:ind w:left="284"/>
        <w:contextualSpacing w:val="0"/>
        <w:rPr>
          <w:rFonts w:cs="Arial"/>
          <w:i/>
          <w:iCs/>
          <w:color w:val="000000"/>
          <w:sz w:val="20"/>
          <w:lang w:val="es-CO" w:eastAsia="es-CO"/>
        </w:rPr>
      </w:pPr>
    </w:p>
    <w:p w14:paraId="3036DA4B" w14:textId="77777777" w:rsidR="00505AC0" w:rsidRDefault="00A745FE" w:rsidP="00C5287A">
      <w:pPr>
        <w:autoSpaceDE w:val="0"/>
        <w:autoSpaceDN w:val="0"/>
        <w:adjustRightInd w:val="0"/>
        <w:ind w:left="284"/>
        <w:contextualSpacing w:val="0"/>
      </w:pPr>
      <w:r w:rsidRPr="00A745FE">
        <w:rPr>
          <w:rFonts w:cs="Arial"/>
          <w:i/>
          <w:iCs/>
          <w:color w:val="000000"/>
          <w:sz w:val="20"/>
          <w:lang w:val="es-CO" w:eastAsia="es-CO"/>
        </w:rPr>
        <w:t>Sobre esta actividad regulada, reiteramos nuestros comentarios sobre el mayor riesgo que enfrentan este tipo de proyectos; entre los cuales, se encuentra el riesgo de la tasa de cambio, el cual no se incorpora en este tipo de modelos de prestación de servicio donde el 100% de las unidades constructivas son importadas.</w:t>
      </w:r>
      <w:r w:rsidR="00505AC0" w:rsidRPr="00505AC0">
        <w:t xml:space="preserve"> </w:t>
      </w:r>
    </w:p>
    <w:p w14:paraId="04C233BD" w14:textId="77777777" w:rsidR="00505AC0" w:rsidRDefault="00505AC0" w:rsidP="00C5287A">
      <w:pPr>
        <w:autoSpaceDE w:val="0"/>
        <w:autoSpaceDN w:val="0"/>
        <w:adjustRightInd w:val="0"/>
        <w:ind w:left="284"/>
        <w:contextualSpacing w:val="0"/>
      </w:pPr>
    </w:p>
    <w:p w14:paraId="33FF04EF" w14:textId="43613F32" w:rsidR="002A4964" w:rsidRPr="00A745FE" w:rsidRDefault="00505AC0" w:rsidP="00C5287A">
      <w:pPr>
        <w:autoSpaceDE w:val="0"/>
        <w:autoSpaceDN w:val="0"/>
        <w:adjustRightInd w:val="0"/>
        <w:ind w:left="284"/>
        <w:contextualSpacing w:val="0"/>
        <w:rPr>
          <w:i/>
          <w:iCs/>
          <w:sz w:val="22"/>
          <w:szCs w:val="18"/>
        </w:rPr>
      </w:pPr>
      <w:r w:rsidRPr="00505AC0">
        <w:rPr>
          <w:rFonts w:cs="Arial"/>
          <w:i/>
          <w:iCs/>
          <w:color w:val="000000"/>
          <w:sz w:val="20"/>
          <w:lang w:val="es-CO" w:eastAsia="es-CO"/>
        </w:rPr>
        <w:t>Si bien entendemos que a la fecha el delta beta es la única variable no disponible a diciembre de 2022, se sugiere a la comisión que modifique la fecha de 30 junio de 2022 por 31 diciembre de 2022 para que se refleje el escenario más próximo al comportamiento de mercado y, por lo tanto, permita cubrir de manera eficiente y sostenible los costos de inversión de las SISFV.</w:t>
      </w:r>
      <w:r w:rsidR="00A745FE">
        <w:rPr>
          <w:rFonts w:cs="Arial"/>
          <w:i/>
          <w:iCs/>
          <w:color w:val="000000"/>
          <w:sz w:val="20"/>
          <w:lang w:val="es-CO" w:eastAsia="es-CO"/>
        </w:rPr>
        <w:t>”</w:t>
      </w:r>
    </w:p>
    <w:p w14:paraId="05BAC399" w14:textId="77777777" w:rsidR="00A745FE" w:rsidRDefault="00A745FE" w:rsidP="00DD7B4F"/>
    <w:p w14:paraId="68A65629" w14:textId="77777777" w:rsidR="00A745FE" w:rsidRDefault="00A745FE" w:rsidP="00A745FE">
      <w:pPr>
        <w:pStyle w:val="Prrafodelista"/>
        <w:numPr>
          <w:ilvl w:val="0"/>
          <w:numId w:val="16"/>
        </w:numPr>
      </w:pPr>
    </w:p>
    <w:p w14:paraId="0243DC01" w14:textId="77777777" w:rsidR="002A4964" w:rsidRDefault="002A4964" w:rsidP="00DD7B4F"/>
    <w:p w14:paraId="174277EB" w14:textId="230FBBC6" w:rsidR="004831EC" w:rsidRPr="004901B8" w:rsidRDefault="004831EC" w:rsidP="004831EC">
      <w:pPr>
        <w:rPr>
          <w:rFonts w:cs="Arial"/>
          <w:i/>
          <w:iCs/>
        </w:rPr>
      </w:pPr>
      <w:r>
        <w:t>Ver respuesta a comentario 9.</w:t>
      </w:r>
    </w:p>
    <w:p w14:paraId="546220EC" w14:textId="77777777" w:rsidR="00A745FE" w:rsidRDefault="00A745FE" w:rsidP="00DD7B4F"/>
    <w:p w14:paraId="6BEDF7A9" w14:textId="77777777" w:rsidR="00A745FE" w:rsidRDefault="00A745FE" w:rsidP="00505AC0">
      <w:pPr>
        <w:pStyle w:val="Prrafodelista"/>
        <w:numPr>
          <w:ilvl w:val="0"/>
          <w:numId w:val="13"/>
        </w:numPr>
      </w:pPr>
    </w:p>
    <w:p w14:paraId="32BF970A" w14:textId="77777777" w:rsidR="00A745FE" w:rsidRDefault="00A745FE" w:rsidP="00DD7B4F"/>
    <w:p w14:paraId="4326CA1D" w14:textId="4C6EDFEA" w:rsidR="00566742" w:rsidRPr="00566742" w:rsidRDefault="00566742" w:rsidP="00C5287A">
      <w:pPr>
        <w:autoSpaceDE w:val="0"/>
        <w:autoSpaceDN w:val="0"/>
        <w:adjustRightInd w:val="0"/>
        <w:ind w:left="284"/>
        <w:contextualSpacing w:val="0"/>
        <w:rPr>
          <w:rFonts w:cs="Arial"/>
          <w:i/>
          <w:iCs/>
          <w:color w:val="000000"/>
          <w:sz w:val="20"/>
          <w:lang w:val="es-CO" w:eastAsia="es-CO"/>
        </w:rPr>
      </w:pPr>
      <w:r w:rsidRPr="00566742">
        <w:rPr>
          <w:rFonts w:cs="Arial"/>
          <w:b/>
          <w:bCs/>
          <w:i/>
          <w:iCs/>
          <w:color w:val="000000"/>
          <w:sz w:val="20"/>
          <w:lang w:val="es-CO" w:eastAsia="es-CO"/>
        </w:rPr>
        <w:t xml:space="preserve">“Beta: </w:t>
      </w:r>
      <w:r w:rsidRPr="00566742">
        <w:rPr>
          <w:rFonts w:cs="Arial"/>
          <w:i/>
          <w:iCs/>
          <w:color w:val="000000"/>
          <w:sz w:val="20"/>
          <w:lang w:val="es-CO" w:eastAsia="es-CO"/>
        </w:rPr>
        <w:t xml:space="preserve">Aun considerando la clasificación de empresas en el segmento de energía renovables como referencia, sugerimos revisar y justificar la inclusión de esas empresas para el cálculo del parámetro beta porque el riesgo de ese conjunto de </w:t>
      </w:r>
      <w:proofErr w:type="gramStart"/>
      <w:r w:rsidRPr="00566742">
        <w:rPr>
          <w:rFonts w:cs="Arial"/>
          <w:i/>
          <w:iCs/>
          <w:color w:val="000000"/>
          <w:sz w:val="20"/>
          <w:lang w:val="es-CO" w:eastAsia="es-CO"/>
        </w:rPr>
        <w:t>empresas,</w:t>
      </w:r>
      <w:proofErr w:type="gramEnd"/>
      <w:r w:rsidRPr="00566742">
        <w:rPr>
          <w:rFonts w:cs="Arial"/>
          <w:i/>
          <w:iCs/>
          <w:color w:val="000000"/>
          <w:sz w:val="20"/>
          <w:lang w:val="es-CO" w:eastAsia="es-CO"/>
        </w:rPr>
        <w:t xml:space="preserve"> no necesariamente está asociado con la actividad de prestación del servicio a través de sistemas individuales solares fotovoltaicos. </w:t>
      </w:r>
    </w:p>
    <w:p w14:paraId="5656EF10" w14:textId="77777777" w:rsidR="00566742" w:rsidRPr="00566742" w:rsidRDefault="00566742" w:rsidP="00C5287A">
      <w:pPr>
        <w:autoSpaceDE w:val="0"/>
        <w:autoSpaceDN w:val="0"/>
        <w:adjustRightInd w:val="0"/>
        <w:ind w:left="284"/>
        <w:contextualSpacing w:val="0"/>
        <w:rPr>
          <w:rFonts w:cs="Arial"/>
          <w:i/>
          <w:iCs/>
          <w:color w:val="000000"/>
          <w:sz w:val="20"/>
          <w:lang w:val="es-CO" w:eastAsia="es-CO"/>
        </w:rPr>
      </w:pPr>
    </w:p>
    <w:p w14:paraId="4224A250" w14:textId="2007C39B" w:rsidR="00566742" w:rsidRPr="00566742" w:rsidRDefault="00566742" w:rsidP="00C5287A">
      <w:pPr>
        <w:autoSpaceDE w:val="0"/>
        <w:autoSpaceDN w:val="0"/>
        <w:adjustRightInd w:val="0"/>
        <w:ind w:left="284"/>
        <w:contextualSpacing w:val="0"/>
        <w:rPr>
          <w:rFonts w:cs="Arial"/>
          <w:i/>
          <w:iCs/>
          <w:color w:val="000000"/>
          <w:sz w:val="20"/>
          <w:lang w:val="es-CO" w:eastAsia="es-CO"/>
        </w:rPr>
      </w:pPr>
      <w:r w:rsidRPr="00566742">
        <w:rPr>
          <w:rFonts w:cs="Arial"/>
          <w:i/>
          <w:iCs/>
          <w:color w:val="000000"/>
          <w:sz w:val="20"/>
          <w:lang w:val="es-CO" w:eastAsia="es-CO"/>
        </w:rPr>
        <w:t xml:space="preserve">Además, los datos para grupo de empresas muestran una dispersión y variación alejada de la media. Una medida que sirve para identificar la dispersión de un grupo de datos es la desviación típica. Al calcular dicha medida para </w:t>
      </w:r>
      <w:proofErr w:type="gramStart"/>
      <w:r w:rsidRPr="00566742">
        <w:rPr>
          <w:rFonts w:cs="Arial"/>
          <w:i/>
          <w:iCs/>
          <w:color w:val="000000"/>
          <w:sz w:val="20"/>
          <w:lang w:val="es-CO" w:eastAsia="es-CO"/>
        </w:rPr>
        <w:t>el beta individual</w:t>
      </w:r>
      <w:proofErr w:type="gramEnd"/>
      <w:r w:rsidRPr="00566742">
        <w:rPr>
          <w:rFonts w:cs="Arial"/>
          <w:i/>
          <w:iCs/>
          <w:color w:val="000000"/>
          <w:sz w:val="20"/>
          <w:lang w:val="es-CO" w:eastAsia="es-CO"/>
        </w:rPr>
        <w:t xml:space="preserve"> de las empresas relacionadas (desviación=13), se encuentra que esta es superior al promedio del beta individual (-0,10). Se sugiere justificar la inclusión del grupo de empresas, de forma que representen características y riesgos similares a las del tipo de proyecto que trata esta resolución.”</w:t>
      </w:r>
    </w:p>
    <w:p w14:paraId="78E0DBE9" w14:textId="77777777" w:rsidR="00566742" w:rsidRDefault="00566742" w:rsidP="00566742">
      <w:pPr>
        <w:autoSpaceDE w:val="0"/>
        <w:autoSpaceDN w:val="0"/>
        <w:adjustRightInd w:val="0"/>
        <w:contextualSpacing w:val="0"/>
        <w:jc w:val="left"/>
        <w:rPr>
          <w:rFonts w:cs="Arial"/>
          <w:color w:val="000000"/>
          <w:sz w:val="22"/>
          <w:szCs w:val="22"/>
          <w:lang w:val="es-CO" w:eastAsia="es-CO"/>
        </w:rPr>
      </w:pPr>
    </w:p>
    <w:p w14:paraId="6F83BE62" w14:textId="77777777" w:rsidR="00566742" w:rsidRPr="00566742" w:rsidRDefault="00566742" w:rsidP="00566742">
      <w:pPr>
        <w:pStyle w:val="Prrafodelista"/>
        <w:numPr>
          <w:ilvl w:val="0"/>
          <w:numId w:val="16"/>
        </w:numPr>
        <w:autoSpaceDE w:val="0"/>
        <w:autoSpaceDN w:val="0"/>
        <w:adjustRightInd w:val="0"/>
        <w:contextualSpacing w:val="0"/>
        <w:jc w:val="left"/>
        <w:rPr>
          <w:rFonts w:cs="Arial"/>
          <w:color w:val="000000"/>
          <w:sz w:val="22"/>
          <w:szCs w:val="22"/>
          <w:lang w:val="es-CO" w:eastAsia="es-CO"/>
        </w:rPr>
      </w:pPr>
    </w:p>
    <w:p w14:paraId="14756A61" w14:textId="77777777" w:rsidR="00566742" w:rsidRDefault="00566742" w:rsidP="00566742">
      <w:pPr>
        <w:autoSpaceDE w:val="0"/>
        <w:autoSpaceDN w:val="0"/>
        <w:adjustRightInd w:val="0"/>
        <w:contextualSpacing w:val="0"/>
        <w:jc w:val="left"/>
        <w:rPr>
          <w:rFonts w:cs="Arial"/>
          <w:b/>
          <w:bCs/>
          <w:color w:val="000000"/>
          <w:sz w:val="22"/>
          <w:szCs w:val="22"/>
          <w:lang w:val="es-CO" w:eastAsia="es-CO"/>
        </w:rPr>
      </w:pPr>
    </w:p>
    <w:p w14:paraId="2E499004" w14:textId="4DE49FC4" w:rsidR="007B33E9" w:rsidRDefault="008455F6" w:rsidP="00602DC9">
      <w:pPr>
        <w:rPr>
          <w:rFonts w:cs="Arial"/>
          <w:b/>
          <w:bCs/>
          <w:color w:val="000000"/>
          <w:sz w:val="22"/>
          <w:szCs w:val="22"/>
          <w:lang w:val="es-CO" w:eastAsia="es-CO"/>
        </w:rPr>
      </w:pPr>
      <w:r>
        <w:rPr>
          <w:rFonts w:cs="Arial"/>
        </w:rPr>
        <w:t xml:space="preserve">El código de actividad propuesto corresponde a </w:t>
      </w:r>
      <w:r w:rsidRPr="007E4CDE">
        <w:rPr>
          <w:rFonts w:cs="Arial"/>
        </w:rPr>
        <w:t>productores independientes de energía y electricidad renovable</w:t>
      </w:r>
      <w:r>
        <w:rPr>
          <w:rFonts w:cs="Arial"/>
        </w:rPr>
        <w:t>. Se considera que con la aplicación de lo dispuesto en el parágrafo 4 de</w:t>
      </w:r>
      <w:r w:rsidRPr="005B3A2D">
        <w:rPr>
          <w:rFonts w:cs="Arial"/>
        </w:rPr>
        <w:t>l artículo 2 de la Resolución CREG 004 de 2021</w:t>
      </w:r>
      <w:r>
        <w:rPr>
          <w:rFonts w:cs="Arial"/>
        </w:rPr>
        <w:t>, se pueden seleccionar una clasificación con mayor nivel de desagregación que pudiera representar mejor la actividad regulada.</w:t>
      </w:r>
      <w:r w:rsidR="00602DC9">
        <w:rPr>
          <w:rFonts w:cs="Arial"/>
        </w:rPr>
        <w:t xml:space="preserve"> Vale la pena </w:t>
      </w:r>
      <w:r w:rsidR="00602DC9" w:rsidRPr="00951A3B">
        <w:rPr>
          <w:rFonts w:cs="Arial"/>
          <w:szCs w:val="24"/>
        </w:rPr>
        <w:t xml:space="preserve">mencionar que </w:t>
      </w:r>
      <w:r w:rsidR="007B33E9" w:rsidRPr="00951A3B">
        <w:rPr>
          <w:rFonts w:cs="Arial"/>
          <w:color w:val="000000"/>
          <w:szCs w:val="24"/>
          <w:lang w:val="es-CO" w:eastAsia="es-CO"/>
        </w:rPr>
        <w:t>l</w:t>
      </w:r>
      <w:r w:rsidR="007B33E9" w:rsidRPr="007B33E9">
        <w:rPr>
          <w:rFonts w:cs="Arial"/>
          <w:color w:val="000000"/>
          <w:szCs w:val="24"/>
          <w:lang w:val="es-CO" w:eastAsia="es-CO"/>
        </w:rPr>
        <w:t xml:space="preserve">a </w:t>
      </w:r>
      <w:r w:rsidR="007B33E9" w:rsidRPr="00951A3B">
        <w:rPr>
          <w:rFonts w:cs="Arial"/>
          <w:color w:val="000000"/>
          <w:szCs w:val="24"/>
          <w:lang w:val="es-CO" w:eastAsia="es-CO"/>
        </w:rPr>
        <w:t>Co</w:t>
      </w:r>
      <w:r w:rsidR="00311E7B" w:rsidRPr="00951A3B">
        <w:rPr>
          <w:rFonts w:cs="Arial"/>
          <w:color w:val="000000"/>
          <w:szCs w:val="24"/>
          <w:lang w:val="es-CO" w:eastAsia="es-CO"/>
        </w:rPr>
        <w:t>m</w:t>
      </w:r>
      <w:r w:rsidR="007B33E9" w:rsidRPr="00951A3B">
        <w:rPr>
          <w:rFonts w:cs="Arial"/>
          <w:color w:val="000000"/>
          <w:szCs w:val="24"/>
          <w:lang w:val="es-CO" w:eastAsia="es-CO"/>
        </w:rPr>
        <w:t xml:space="preserve">isión </w:t>
      </w:r>
      <w:r w:rsidR="00EC62E4" w:rsidRPr="00951A3B">
        <w:rPr>
          <w:rFonts w:cs="Arial"/>
          <w:color w:val="000000"/>
          <w:szCs w:val="24"/>
          <w:lang w:val="es-CO" w:eastAsia="es-CO"/>
        </w:rPr>
        <w:t xml:space="preserve">utiliza la información </w:t>
      </w:r>
      <w:r w:rsidR="00607969" w:rsidRPr="00951A3B">
        <w:rPr>
          <w:rFonts w:cs="Arial"/>
          <w:color w:val="000000"/>
          <w:szCs w:val="24"/>
          <w:lang w:val="es-CO" w:eastAsia="es-CO"/>
        </w:rPr>
        <w:t xml:space="preserve">correspondiente a la canasta de las empresas </w:t>
      </w:r>
      <w:r w:rsidR="00602DC9" w:rsidRPr="00951A3B">
        <w:rPr>
          <w:rFonts w:cs="Arial"/>
          <w:color w:val="000000"/>
          <w:szCs w:val="24"/>
          <w:lang w:val="es-CO" w:eastAsia="es-CO"/>
        </w:rPr>
        <w:t>sin ninguna modificaci</w:t>
      </w:r>
      <w:r w:rsidR="00951A3B" w:rsidRPr="00951A3B">
        <w:rPr>
          <w:rFonts w:cs="Arial"/>
          <w:color w:val="000000"/>
          <w:szCs w:val="24"/>
          <w:lang w:val="es-CO" w:eastAsia="es-CO"/>
        </w:rPr>
        <w:t xml:space="preserve">ón </w:t>
      </w:r>
      <w:r w:rsidR="00607969" w:rsidRPr="00951A3B">
        <w:rPr>
          <w:rFonts w:cs="Arial"/>
          <w:color w:val="000000"/>
          <w:szCs w:val="24"/>
          <w:lang w:val="es-CO" w:eastAsia="es-CO"/>
        </w:rPr>
        <w:t>de acuerdo</w:t>
      </w:r>
      <w:r w:rsidR="00602DC9" w:rsidRPr="00951A3B">
        <w:rPr>
          <w:rFonts w:cs="Arial"/>
          <w:color w:val="000000"/>
          <w:szCs w:val="24"/>
          <w:lang w:val="es-CO" w:eastAsia="es-CO"/>
        </w:rPr>
        <w:t xml:space="preserve"> con la fuente de información, en este caso Bloomberg</w:t>
      </w:r>
      <w:r w:rsidR="00951A3B" w:rsidRPr="00951A3B">
        <w:rPr>
          <w:rFonts w:cs="Arial"/>
          <w:color w:val="000000"/>
          <w:szCs w:val="24"/>
          <w:lang w:val="es-CO" w:eastAsia="es-CO"/>
        </w:rPr>
        <w:t>.</w:t>
      </w:r>
      <w:r w:rsidR="00951A3B">
        <w:rPr>
          <w:rFonts w:cs="Arial"/>
          <w:b/>
          <w:bCs/>
          <w:color w:val="000000"/>
          <w:sz w:val="22"/>
          <w:szCs w:val="22"/>
          <w:lang w:val="es-CO" w:eastAsia="es-CO"/>
        </w:rPr>
        <w:t xml:space="preserve"> </w:t>
      </w:r>
    </w:p>
    <w:p w14:paraId="4411E4B2" w14:textId="77777777" w:rsidR="00E74B60" w:rsidRDefault="00E74B60" w:rsidP="00602DC9">
      <w:pPr>
        <w:rPr>
          <w:rFonts w:cs="Arial"/>
          <w:b/>
          <w:bCs/>
          <w:color w:val="000000"/>
          <w:sz w:val="22"/>
          <w:szCs w:val="22"/>
          <w:lang w:val="es-CO" w:eastAsia="es-CO"/>
        </w:rPr>
      </w:pPr>
    </w:p>
    <w:p w14:paraId="1A9A4EB5" w14:textId="77777777" w:rsidR="00E74B60" w:rsidRPr="00E74B60" w:rsidRDefault="00E74B60" w:rsidP="00E74B60">
      <w:pPr>
        <w:pStyle w:val="Prrafodelista"/>
        <w:numPr>
          <w:ilvl w:val="0"/>
          <w:numId w:val="13"/>
        </w:numPr>
        <w:rPr>
          <w:rFonts w:cs="Arial"/>
          <w:b/>
          <w:bCs/>
          <w:color w:val="000000"/>
          <w:sz w:val="22"/>
          <w:szCs w:val="22"/>
          <w:lang w:val="es-CO" w:eastAsia="es-CO"/>
        </w:rPr>
      </w:pPr>
    </w:p>
    <w:p w14:paraId="005814D0" w14:textId="77777777" w:rsidR="00E74B60" w:rsidRPr="00E74B60" w:rsidRDefault="00E74B60" w:rsidP="00E74B60">
      <w:pPr>
        <w:autoSpaceDE w:val="0"/>
        <w:autoSpaceDN w:val="0"/>
        <w:adjustRightInd w:val="0"/>
        <w:contextualSpacing w:val="0"/>
        <w:jc w:val="left"/>
        <w:rPr>
          <w:rFonts w:ascii="Symbol" w:hAnsi="Symbol" w:cs="Symbol"/>
          <w:color w:val="000000"/>
          <w:szCs w:val="24"/>
          <w:lang w:val="es-CO" w:eastAsia="es-CO"/>
        </w:rPr>
      </w:pPr>
    </w:p>
    <w:p w14:paraId="4E23280F" w14:textId="03D54F9B" w:rsidR="00E74B60" w:rsidRPr="00E74B60" w:rsidRDefault="00E74B60" w:rsidP="00E74B60">
      <w:pPr>
        <w:autoSpaceDE w:val="0"/>
        <w:autoSpaceDN w:val="0"/>
        <w:adjustRightInd w:val="0"/>
        <w:ind w:left="284"/>
        <w:contextualSpacing w:val="0"/>
        <w:rPr>
          <w:rFonts w:cs="Arial"/>
          <w:i/>
          <w:iCs/>
          <w:color w:val="000000"/>
          <w:sz w:val="22"/>
          <w:szCs w:val="22"/>
          <w:lang w:val="es-CO" w:eastAsia="es-CO"/>
        </w:rPr>
      </w:pPr>
      <w:r>
        <w:rPr>
          <w:rFonts w:cs="Arial"/>
          <w:b/>
          <w:bCs/>
          <w:i/>
          <w:iCs/>
          <w:color w:val="000000"/>
          <w:sz w:val="22"/>
          <w:szCs w:val="22"/>
          <w:lang w:val="es-CO" w:eastAsia="es-CO"/>
        </w:rPr>
        <w:lastRenderedPageBreak/>
        <w:t>“</w:t>
      </w:r>
      <w:proofErr w:type="spellStart"/>
      <w:r w:rsidRPr="00E74B60">
        <w:rPr>
          <w:rFonts w:cs="Arial"/>
          <w:b/>
          <w:bCs/>
          <w:i/>
          <w:iCs/>
          <w:color w:val="000000"/>
          <w:sz w:val="22"/>
          <w:szCs w:val="22"/>
          <w:lang w:val="es-CO" w:eastAsia="es-CO"/>
        </w:rPr>
        <w:t>Curva_CO_USD</w:t>
      </w:r>
      <w:proofErr w:type="spellEnd"/>
      <w:r w:rsidRPr="00E74B60">
        <w:rPr>
          <w:rFonts w:cs="Arial"/>
          <w:b/>
          <w:bCs/>
          <w:i/>
          <w:iCs/>
          <w:color w:val="000000"/>
          <w:sz w:val="22"/>
          <w:szCs w:val="22"/>
          <w:lang w:val="es-CO" w:eastAsia="es-CO"/>
        </w:rPr>
        <w:t xml:space="preserve">: </w:t>
      </w:r>
      <w:r w:rsidRPr="00E74B60">
        <w:rPr>
          <w:rFonts w:cs="Arial"/>
          <w:i/>
          <w:iCs/>
          <w:color w:val="000000"/>
          <w:sz w:val="22"/>
          <w:szCs w:val="22"/>
          <w:lang w:val="es-CO" w:eastAsia="es-CO"/>
        </w:rPr>
        <w:t>agradecemos a la comisión aclarar los valores del archivo “</w:t>
      </w:r>
      <w:proofErr w:type="spellStart"/>
      <w:r w:rsidRPr="00E74B60">
        <w:rPr>
          <w:rFonts w:cs="Arial"/>
          <w:i/>
          <w:iCs/>
          <w:color w:val="000000"/>
          <w:sz w:val="22"/>
          <w:szCs w:val="22"/>
          <w:lang w:val="es-CO" w:eastAsia="es-CO"/>
        </w:rPr>
        <w:t>SISFV_TD_Memoria_de_calculo</w:t>
      </w:r>
      <w:proofErr w:type="spellEnd"/>
      <w:r w:rsidRPr="00E74B60">
        <w:rPr>
          <w:rFonts w:cs="Arial"/>
          <w:i/>
          <w:iCs/>
          <w:color w:val="000000"/>
          <w:sz w:val="22"/>
          <w:szCs w:val="22"/>
          <w:lang w:val="es-CO" w:eastAsia="es-CO"/>
        </w:rPr>
        <w:t xml:space="preserve">” hoja TES, variable </w:t>
      </w:r>
      <w:proofErr w:type="spellStart"/>
      <w:r w:rsidRPr="00E74B60">
        <w:rPr>
          <w:rFonts w:cs="Arial"/>
          <w:i/>
          <w:iCs/>
          <w:color w:val="000000"/>
          <w:sz w:val="22"/>
          <w:szCs w:val="22"/>
          <w:lang w:val="es-CO" w:eastAsia="es-CO"/>
        </w:rPr>
        <w:t>Curva_CO_USD</w:t>
      </w:r>
      <w:proofErr w:type="spellEnd"/>
      <w:r w:rsidRPr="00E74B60">
        <w:rPr>
          <w:rFonts w:cs="Arial"/>
          <w:i/>
          <w:iCs/>
          <w:color w:val="000000"/>
          <w:sz w:val="22"/>
          <w:szCs w:val="22"/>
          <w:lang w:val="es-CO" w:eastAsia="es-CO"/>
        </w:rPr>
        <w:t xml:space="preserve">, curva está registrada en las columnas J y P, </w:t>
      </w:r>
      <w:proofErr w:type="gramStart"/>
      <w:r w:rsidRPr="00E74B60">
        <w:rPr>
          <w:rFonts w:cs="Arial"/>
          <w:i/>
          <w:iCs/>
          <w:color w:val="000000"/>
          <w:sz w:val="22"/>
          <w:szCs w:val="22"/>
          <w:lang w:val="es-CO" w:eastAsia="es-CO"/>
        </w:rPr>
        <w:t>y</w:t>
      </w:r>
      <w:proofErr w:type="gramEnd"/>
      <w:r w:rsidRPr="00E74B60">
        <w:rPr>
          <w:rFonts w:cs="Arial"/>
          <w:i/>
          <w:iCs/>
          <w:color w:val="000000"/>
          <w:sz w:val="22"/>
          <w:szCs w:val="22"/>
          <w:lang w:val="es-CO" w:eastAsia="es-CO"/>
        </w:rPr>
        <w:t xml:space="preserve"> además, especificar si esta es la información entregada por PRECIA como la curva “la curva cero cupón Colombia en USD (plazo de 3650 días)”, nominal periodo vencido. De no ser así, agradecemos explicar si hay un </w:t>
      </w:r>
      <w:proofErr w:type="spellStart"/>
      <w:r w:rsidRPr="00E74B60">
        <w:rPr>
          <w:rFonts w:cs="Arial"/>
          <w:i/>
          <w:iCs/>
          <w:color w:val="000000"/>
          <w:sz w:val="22"/>
          <w:szCs w:val="22"/>
          <w:lang w:val="es-CO" w:eastAsia="es-CO"/>
        </w:rPr>
        <w:t>calculo</w:t>
      </w:r>
      <w:proofErr w:type="spellEnd"/>
      <w:r w:rsidRPr="00E74B60">
        <w:rPr>
          <w:rFonts w:cs="Arial"/>
          <w:i/>
          <w:iCs/>
          <w:color w:val="000000"/>
          <w:sz w:val="22"/>
          <w:szCs w:val="22"/>
          <w:lang w:val="es-CO" w:eastAsia="es-CO"/>
        </w:rPr>
        <w:t xml:space="preserve"> intermedio y cual es.</w:t>
      </w:r>
      <w:r>
        <w:rPr>
          <w:rFonts w:cs="Arial"/>
          <w:i/>
          <w:iCs/>
          <w:color w:val="000000"/>
          <w:sz w:val="22"/>
          <w:szCs w:val="22"/>
          <w:lang w:val="es-CO" w:eastAsia="es-CO"/>
        </w:rPr>
        <w:t>”</w:t>
      </w:r>
      <w:r w:rsidRPr="00E74B60">
        <w:rPr>
          <w:rFonts w:cs="Arial"/>
          <w:i/>
          <w:iCs/>
          <w:color w:val="000000"/>
          <w:sz w:val="22"/>
          <w:szCs w:val="22"/>
          <w:lang w:val="es-CO" w:eastAsia="es-CO"/>
        </w:rPr>
        <w:t xml:space="preserve"> </w:t>
      </w:r>
    </w:p>
    <w:p w14:paraId="675F5745" w14:textId="77777777" w:rsidR="00E74B60" w:rsidRPr="00E74B60" w:rsidRDefault="00E74B60" w:rsidP="00E74B60">
      <w:pPr>
        <w:pStyle w:val="Prrafodelista"/>
        <w:numPr>
          <w:ilvl w:val="0"/>
          <w:numId w:val="16"/>
        </w:numPr>
        <w:rPr>
          <w:rFonts w:cs="Arial"/>
          <w:b/>
          <w:bCs/>
          <w:color w:val="000000"/>
          <w:sz w:val="22"/>
          <w:szCs w:val="22"/>
          <w:lang w:val="es-CO" w:eastAsia="es-CO"/>
        </w:rPr>
      </w:pPr>
    </w:p>
    <w:p w14:paraId="2D86EBB6" w14:textId="77777777" w:rsidR="007B33E9" w:rsidRDefault="007B33E9" w:rsidP="00E74B60">
      <w:pPr>
        <w:autoSpaceDE w:val="0"/>
        <w:autoSpaceDN w:val="0"/>
        <w:adjustRightInd w:val="0"/>
        <w:contextualSpacing w:val="0"/>
        <w:jc w:val="left"/>
        <w:rPr>
          <w:rFonts w:cs="Arial"/>
          <w:b/>
          <w:bCs/>
          <w:color w:val="000000"/>
          <w:sz w:val="22"/>
          <w:szCs w:val="22"/>
          <w:lang w:val="es-CO" w:eastAsia="es-CO"/>
        </w:rPr>
      </w:pPr>
    </w:p>
    <w:p w14:paraId="68D2B85C" w14:textId="1310A132" w:rsidR="003B263B" w:rsidRPr="003B263B" w:rsidRDefault="003B263B" w:rsidP="003B263B">
      <w:pPr>
        <w:rPr>
          <w:lang w:val="es-CO" w:eastAsia="es-CO"/>
        </w:rPr>
      </w:pPr>
      <w:r w:rsidRPr="003B263B">
        <w:rPr>
          <w:lang w:val="es-CO" w:eastAsia="es-CO"/>
        </w:rPr>
        <w:t xml:space="preserve">Por política de PRECIA no es posible publicar la información. No obstante, la información publicada es sujeta de un cálculo intermedio efectuado por la CREG </w:t>
      </w:r>
      <w:r w:rsidR="00F976BD">
        <w:rPr>
          <w:lang w:val="es-CO" w:eastAsia="es-CO"/>
        </w:rPr>
        <w:t>teniendo en cuenta</w:t>
      </w:r>
      <w:r w:rsidRPr="003B263B">
        <w:rPr>
          <w:lang w:val="es-CO" w:eastAsia="es-CO"/>
        </w:rPr>
        <w:t xml:space="preserve"> que de acuerdo con la </w:t>
      </w:r>
      <w:r w:rsidR="00110674">
        <w:rPr>
          <w:lang w:val="es-CO" w:eastAsia="es-CO"/>
        </w:rPr>
        <w:t xml:space="preserve">Resolución CREG </w:t>
      </w:r>
      <w:r w:rsidRPr="003B263B">
        <w:rPr>
          <w:lang w:val="es-CO" w:eastAsia="es-CO"/>
        </w:rPr>
        <w:t>004 de 2021 la tasa debe expresarse en términos efectivos anuales y la entregada por PRECIA se encuentra en términos nominales periodo vencido.</w:t>
      </w:r>
    </w:p>
    <w:p w14:paraId="417F9052" w14:textId="77777777" w:rsidR="00E74B60" w:rsidRDefault="00E74B60" w:rsidP="00E74B60">
      <w:pPr>
        <w:autoSpaceDE w:val="0"/>
        <w:autoSpaceDN w:val="0"/>
        <w:adjustRightInd w:val="0"/>
        <w:contextualSpacing w:val="0"/>
        <w:jc w:val="left"/>
        <w:rPr>
          <w:rFonts w:cs="Arial"/>
          <w:b/>
          <w:bCs/>
          <w:color w:val="000000"/>
          <w:sz w:val="22"/>
          <w:szCs w:val="22"/>
          <w:lang w:val="es-CO" w:eastAsia="es-CO"/>
        </w:rPr>
      </w:pPr>
    </w:p>
    <w:p w14:paraId="4169EDB5" w14:textId="77777777" w:rsidR="00566742" w:rsidRPr="00566742" w:rsidRDefault="00566742" w:rsidP="00566742">
      <w:pPr>
        <w:pStyle w:val="Prrafodelista"/>
        <w:numPr>
          <w:ilvl w:val="0"/>
          <w:numId w:val="13"/>
        </w:numPr>
        <w:autoSpaceDE w:val="0"/>
        <w:autoSpaceDN w:val="0"/>
        <w:adjustRightInd w:val="0"/>
        <w:contextualSpacing w:val="0"/>
        <w:jc w:val="left"/>
        <w:rPr>
          <w:rFonts w:cs="Arial"/>
          <w:b/>
          <w:bCs/>
          <w:color w:val="000000"/>
          <w:sz w:val="22"/>
          <w:szCs w:val="22"/>
          <w:lang w:val="es-CO" w:eastAsia="es-CO"/>
        </w:rPr>
      </w:pPr>
    </w:p>
    <w:p w14:paraId="48D4B922" w14:textId="77777777" w:rsidR="00566742" w:rsidRDefault="00566742" w:rsidP="00566742">
      <w:pPr>
        <w:autoSpaceDE w:val="0"/>
        <w:autoSpaceDN w:val="0"/>
        <w:adjustRightInd w:val="0"/>
        <w:contextualSpacing w:val="0"/>
        <w:jc w:val="left"/>
        <w:rPr>
          <w:rFonts w:cs="Arial"/>
          <w:b/>
          <w:bCs/>
          <w:color w:val="000000"/>
          <w:sz w:val="22"/>
          <w:szCs w:val="22"/>
          <w:lang w:val="es-CO" w:eastAsia="es-CO"/>
        </w:rPr>
      </w:pPr>
    </w:p>
    <w:p w14:paraId="65616730" w14:textId="371D90E4" w:rsidR="00566742" w:rsidRPr="00566742" w:rsidRDefault="00566742" w:rsidP="00C5287A">
      <w:pPr>
        <w:autoSpaceDE w:val="0"/>
        <w:autoSpaceDN w:val="0"/>
        <w:adjustRightInd w:val="0"/>
        <w:ind w:left="284"/>
        <w:contextualSpacing w:val="0"/>
        <w:jc w:val="left"/>
        <w:rPr>
          <w:rFonts w:cs="Arial"/>
          <w:i/>
          <w:iCs/>
          <w:color w:val="000000"/>
          <w:sz w:val="20"/>
          <w:lang w:val="es-CO" w:eastAsia="es-CO"/>
        </w:rPr>
      </w:pPr>
      <w:r>
        <w:rPr>
          <w:rFonts w:cs="Arial"/>
          <w:b/>
          <w:bCs/>
          <w:i/>
          <w:iCs/>
          <w:color w:val="000000"/>
          <w:sz w:val="20"/>
          <w:lang w:val="es-CO" w:eastAsia="es-CO"/>
        </w:rPr>
        <w:t>“</w:t>
      </w:r>
      <w:r w:rsidRPr="00566742">
        <w:rPr>
          <w:rFonts w:cs="Arial"/>
          <w:b/>
          <w:bCs/>
          <w:i/>
          <w:iCs/>
          <w:color w:val="000000"/>
          <w:sz w:val="20"/>
          <w:lang w:val="es-CO" w:eastAsia="es-CO"/>
        </w:rPr>
        <w:t xml:space="preserve">Ponderador: </w:t>
      </w:r>
      <w:r w:rsidRPr="00566742">
        <w:rPr>
          <w:rFonts w:cs="Arial"/>
          <w:i/>
          <w:iCs/>
          <w:color w:val="000000"/>
          <w:sz w:val="20"/>
          <w:lang w:val="es-CO" w:eastAsia="es-CO"/>
        </w:rPr>
        <w:t xml:space="preserve">del cálculo publicado por la comisión para las variables </w:t>
      </w:r>
      <w:proofErr w:type="spellStart"/>
      <w:r w:rsidRPr="00566742">
        <w:rPr>
          <w:rFonts w:cs="Arial"/>
          <w:i/>
          <w:iCs/>
          <w:color w:val="000000"/>
          <w:sz w:val="20"/>
          <w:lang w:val="es-CO" w:eastAsia="es-CO"/>
        </w:rPr>
        <w:t>DEVt</w:t>
      </w:r>
      <w:proofErr w:type="spellEnd"/>
      <w:r w:rsidRPr="00566742">
        <w:rPr>
          <w:rFonts w:cs="Arial"/>
          <w:i/>
          <w:iCs/>
          <w:color w:val="000000"/>
          <w:sz w:val="20"/>
          <w:lang w:val="es-CO" w:eastAsia="es-CO"/>
        </w:rPr>
        <w:t xml:space="preserve"> y π_</w:t>
      </w:r>
      <w:proofErr w:type="spellStart"/>
      <w:r w:rsidRPr="00566742">
        <w:rPr>
          <w:rFonts w:cs="Arial"/>
          <w:i/>
          <w:iCs/>
          <w:color w:val="000000"/>
          <w:sz w:val="20"/>
          <w:lang w:val="es-CO" w:eastAsia="es-CO"/>
        </w:rPr>
        <w:t>copτ</w:t>
      </w:r>
      <w:proofErr w:type="spellEnd"/>
      <w:r w:rsidRPr="00566742">
        <w:rPr>
          <w:rFonts w:cs="Arial"/>
          <w:i/>
          <w:iCs/>
          <w:color w:val="000000"/>
          <w:sz w:val="20"/>
          <w:lang w:val="es-CO" w:eastAsia="es-CO"/>
        </w:rPr>
        <w:t xml:space="preserve">, no es claro </w:t>
      </w:r>
      <w:proofErr w:type="spellStart"/>
      <w:r w:rsidRPr="00566742">
        <w:rPr>
          <w:rFonts w:cs="Arial"/>
          <w:i/>
          <w:iCs/>
          <w:color w:val="000000"/>
          <w:sz w:val="20"/>
          <w:lang w:val="es-CO" w:eastAsia="es-CO"/>
        </w:rPr>
        <w:t>como</w:t>
      </w:r>
      <w:proofErr w:type="spellEnd"/>
      <w:r w:rsidRPr="00566742">
        <w:rPr>
          <w:rFonts w:cs="Arial"/>
          <w:i/>
          <w:iCs/>
          <w:color w:val="000000"/>
          <w:sz w:val="20"/>
          <w:lang w:val="es-CO" w:eastAsia="es-CO"/>
        </w:rPr>
        <w:t xml:space="preserve"> se pasa del </w:t>
      </w:r>
      <w:proofErr w:type="spellStart"/>
      <w:r w:rsidRPr="00566742">
        <w:rPr>
          <w:rFonts w:cs="Arial"/>
          <w:i/>
          <w:iCs/>
          <w:color w:val="000000"/>
          <w:sz w:val="20"/>
          <w:lang w:val="es-CO" w:eastAsia="es-CO"/>
        </w:rPr>
        <w:t>calculo</w:t>
      </w:r>
      <w:proofErr w:type="spellEnd"/>
      <w:r w:rsidRPr="00566742">
        <w:rPr>
          <w:rFonts w:cs="Arial"/>
          <w:i/>
          <w:iCs/>
          <w:color w:val="000000"/>
          <w:sz w:val="20"/>
          <w:lang w:val="es-CO" w:eastAsia="es-CO"/>
        </w:rPr>
        <w:t xml:space="preserve"> del ponderador del archivo publicado en la resolución CREG 004 de 2021 del artículo 2, donde n es el número de datos disponibles e i = -1 es el dato más reciente, al valor del archivo “</w:t>
      </w:r>
      <w:proofErr w:type="spellStart"/>
      <w:r w:rsidRPr="00566742">
        <w:rPr>
          <w:rFonts w:cs="Arial"/>
          <w:i/>
          <w:iCs/>
          <w:color w:val="000000"/>
          <w:sz w:val="20"/>
          <w:lang w:val="es-CO" w:eastAsia="es-CO"/>
        </w:rPr>
        <w:t>SISFV_TD_Memoria_de_calculo</w:t>
      </w:r>
      <w:proofErr w:type="spellEnd"/>
      <w:r w:rsidRPr="00566742">
        <w:rPr>
          <w:rFonts w:cs="Arial"/>
          <w:i/>
          <w:iCs/>
          <w:color w:val="000000"/>
          <w:sz w:val="20"/>
          <w:lang w:val="es-CO" w:eastAsia="es-CO"/>
        </w:rPr>
        <w:t>”, hoja TES, columnas F y M. Agradecemos a la comisión aclarar y ampliar el cálculo.</w:t>
      </w:r>
      <w:r>
        <w:rPr>
          <w:rFonts w:cs="Arial"/>
          <w:i/>
          <w:iCs/>
          <w:color w:val="000000"/>
          <w:sz w:val="20"/>
          <w:lang w:val="es-CO" w:eastAsia="es-CO"/>
        </w:rPr>
        <w:t>”</w:t>
      </w:r>
    </w:p>
    <w:p w14:paraId="2B73C634" w14:textId="77777777" w:rsidR="00A745FE" w:rsidRPr="00566742" w:rsidRDefault="00A745FE" w:rsidP="00DD7B4F">
      <w:pPr>
        <w:rPr>
          <w:lang w:val="es-CO"/>
        </w:rPr>
      </w:pPr>
    </w:p>
    <w:p w14:paraId="42FA981D" w14:textId="77777777" w:rsidR="00505AC0" w:rsidRDefault="00505AC0" w:rsidP="00505AC0">
      <w:pPr>
        <w:pStyle w:val="Prrafodelista"/>
        <w:numPr>
          <w:ilvl w:val="0"/>
          <w:numId w:val="16"/>
        </w:numPr>
      </w:pPr>
    </w:p>
    <w:p w14:paraId="5942498C" w14:textId="77777777" w:rsidR="00A745FE" w:rsidRDefault="00A745FE" w:rsidP="00DD7B4F"/>
    <w:p w14:paraId="12BD60B8" w14:textId="77777777" w:rsidR="00244E91" w:rsidRDefault="00244E91" w:rsidP="00244E91">
      <w:r>
        <w:t>Para el cálculo de la variable Dev</w:t>
      </w:r>
      <w:r w:rsidRPr="001D257C">
        <w:rPr>
          <w:rFonts w:ascii="Symbol" w:hAnsi="Symbol"/>
          <w:vertAlign w:val="subscript"/>
        </w:rPr>
        <w:t>t</w:t>
      </w:r>
      <w:r>
        <w:t xml:space="preserve"> se debe usar la siguiente expresión:</w:t>
      </w:r>
    </w:p>
    <w:p w14:paraId="0ED8F824" w14:textId="77777777" w:rsidR="00244E91" w:rsidRDefault="00244E91" w:rsidP="00244E91"/>
    <w:p w14:paraId="06343097" w14:textId="77777777" w:rsidR="00244E91" w:rsidRPr="001D257C" w:rsidRDefault="00244E91" w:rsidP="00244E91">
      <w:pPr>
        <w:rPr>
          <w:rFonts w:eastAsiaTheme="minorEastAsia"/>
        </w:rPr>
      </w:pPr>
      <m:oMathPara>
        <m:oMath>
          <m:r>
            <w:rPr>
              <w:rFonts w:ascii="Cambria Math" w:hAnsi="Cambria Math"/>
            </w:rPr>
            <m:t>De</m:t>
          </m:r>
          <m:sSub>
            <m:sSubPr>
              <m:ctrlPr>
                <w:rPr>
                  <w:rFonts w:ascii="Cambria Math" w:hAnsi="Cambria Math"/>
                  <w:i/>
                </w:rPr>
              </m:ctrlPr>
            </m:sSubPr>
            <m:e>
              <m:r>
                <w:rPr>
                  <w:rFonts w:ascii="Cambria Math" w:hAnsi="Cambria Math"/>
                </w:rPr>
                <m:t>v</m:t>
              </m:r>
            </m:e>
            <m:sub>
              <m:r>
                <w:rPr>
                  <w:rFonts w:ascii="Cambria Math" w:hAnsi="Cambria Math"/>
                </w:rPr>
                <m:t>τ</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d>
                    <m:dPr>
                      <m:ctrlPr>
                        <w:rPr>
                          <w:rFonts w:ascii="Cambria Math" w:hAnsi="Cambria Math"/>
                          <w:i/>
                        </w:rPr>
                      </m:ctrlPr>
                    </m:dPr>
                    <m:e>
                      <m:r>
                        <w:rPr>
                          <w:rFonts w:ascii="Cambria Math" w:hAnsi="Cambria Math"/>
                        </w:rPr>
                        <m:t>n+1</m:t>
                      </m:r>
                    </m:e>
                  </m:d>
                  <m:r>
                    <w:rPr>
                      <w:rFonts w:ascii="Cambria Math" w:hAnsi="Cambria Math"/>
                    </w:rPr>
                    <m:t>+i</m:t>
                  </m:r>
                </m:num>
                <m:den>
                  <m:f>
                    <m:fPr>
                      <m:type m:val="skw"/>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n+1</m:t>
                          </m:r>
                        </m:e>
                      </m:d>
                    </m:num>
                    <m:den>
                      <m:r>
                        <w:rPr>
                          <w:rFonts w:ascii="Cambria Math" w:hAnsi="Cambria Math"/>
                        </w:rPr>
                        <m:t>2</m:t>
                      </m:r>
                    </m:den>
                  </m:f>
                </m:den>
              </m:f>
              <m:r>
                <w:rPr>
                  <w:rFonts w:ascii="Cambria Math" w:hAnsi="Cambria Math"/>
                </w:rPr>
                <m:t>De</m:t>
              </m:r>
              <m:sSub>
                <m:sSubPr>
                  <m:ctrlPr>
                    <w:rPr>
                      <w:rFonts w:ascii="Cambria Math" w:hAnsi="Cambria Math"/>
                      <w:i/>
                    </w:rPr>
                  </m:ctrlPr>
                </m:sSubPr>
                <m:e>
                  <m:r>
                    <w:rPr>
                      <w:rFonts w:ascii="Cambria Math" w:hAnsi="Cambria Math"/>
                    </w:rPr>
                    <m:t>v</m:t>
                  </m:r>
                </m:e>
                <m:sub>
                  <m:r>
                    <w:rPr>
                      <w:rFonts w:ascii="Cambria Math" w:hAnsi="Cambria Math"/>
                    </w:rPr>
                    <m:t>i</m:t>
                  </m:r>
                </m:sub>
              </m:sSub>
            </m:e>
          </m:nary>
        </m:oMath>
      </m:oMathPara>
    </w:p>
    <w:p w14:paraId="1B38B7BF" w14:textId="77777777" w:rsidR="00244E91" w:rsidRDefault="00244E91" w:rsidP="00244E91">
      <w:pPr>
        <w:rPr>
          <w:rFonts w:eastAsiaTheme="minorEastAsia"/>
        </w:rPr>
      </w:pPr>
    </w:p>
    <w:p w14:paraId="69EDD846" w14:textId="77777777" w:rsidR="00244E91" w:rsidRDefault="00244E91" w:rsidP="00244E91">
      <w:pPr>
        <w:rPr>
          <w:rFonts w:eastAsiaTheme="minorEastAsia"/>
        </w:rPr>
      </w:pPr>
      <w:r>
        <w:rPr>
          <w:rFonts w:eastAsiaTheme="minorEastAsia"/>
        </w:rPr>
        <w:t>En el archivo de memoria de cálculo, cuando se menciona ponderador, se hace referencia a la expresión:</w:t>
      </w:r>
    </w:p>
    <w:p w14:paraId="648EF6FB" w14:textId="77777777" w:rsidR="00244E91" w:rsidRDefault="00244E91" w:rsidP="00244E91">
      <w:pPr>
        <w:rPr>
          <w:rFonts w:eastAsiaTheme="minorEastAsia"/>
        </w:rPr>
      </w:pPr>
    </w:p>
    <w:p w14:paraId="5BA5D732" w14:textId="77777777" w:rsidR="00244E91" w:rsidRDefault="000300F0" w:rsidP="00244E91">
      <w:pPr>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n</m:t>
                  </m:r>
                  <m:r>
                    <w:rPr>
                      <w:rFonts w:ascii="Cambria Math" w:hAnsi="Cambria Math"/>
                    </w:rPr>
                    <m:t>+1</m:t>
                  </m:r>
                </m:e>
              </m:d>
              <m:r>
                <w:rPr>
                  <w:rFonts w:ascii="Cambria Math" w:hAnsi="Cambria Math"/>
                </w:rPr>
                <m:t>+</m:t>
              </m:r>
              <m:r>
                <w:rPr>
                  <w:rFonts w:ascii="Cambria Math" w:hAnsi="Cambria Math"/>
                </w:rPr>
                <m:t>i</m:t>
              </m:r>
            </m:num>
            <m:den>
              <m:f>
                <m:fPr>
                  <m:type m:val="skw"/>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m:t>
                      </m:r>
                      <m:r>
                        <w:rPr>
                          <w:rFonts w:ascii="Cambria Math" w:hAnsi="Cambria Math"/>
                        </w:rPr>
                        <m:t>+1</m:t>
                      </m:r>
                    </m:e>
                  </m:d>
                </m:num>
                <m:den>
                  <m:r>
                    <w:rPr>
                      <w:rFonts w:ascii="Cambria Math" w:hAnsi="Cambria Math"/>
                    </w:rPr>
                    <m:t>2</m:t>
                  </m:r>
                </m:den>
              </m:f>
            </m:den>
          </m:f>
        </m:oMath>
      </m:oMathPara>
    </w:p>
    <w:p w14:paraId="043D751B" w14:textId="77777777" w:rsidR="00244E91" w:rsidRDefault="00244E91" w:rsidP="00244E91">
      <w:pPr>
        <w:rPr>
          <w:rFonts w:eastAsiaTheme="minorEastAsia"/>
        </w:rPr>
      </w:pPr>
    </w:p>
    <w:p w14:paraId="44C23B6A" w14:textId="77777777" w:rsidR="00244E91" w:rsidRDefault="00244E91" w:rsidP="00244E91">
      <w:r>
        <w:rPr>
          <w:rFonts w:eastAsiaTheme="minorEastAsia"/>
        </w:rPr>
        <w:t xml:space="preserve">Teniendo, para el caso de su comentario un </w:t>
      </w:r>
      <m:oMath>
        <m:r>
          <w:rPr>
            <w:rFonts w:ascii="Cambria Math" w:hAnsi="Cambria Math"/>
          </w:rPr>
          <m:t>n=1,219</m:t>
        </m:r>
      </m:oMath>
      <w:r>
        <w:rPr>
          <w:rFonts w:eastAsiaTheme="minorEastAsia"/>
        </w:rPr>
        <w:t>, s</w:t>
      </w:r>
      <w:r>
        <w:t>e tendría que:</w:t>
      </w:r>
    </w:p>
    <w:p w14:paraId="6A6E2A98" w14:textId="77777777" w:rsidR="00244E91" w:rsidRDefault="00244E91" w:rsidP="00244E91"/>
    <w:p w14:paraId="1F65084D" w14:textId="77777777" w:rsidR="00244E91" w:rsidRDefault="000300F0" w:rsidP="00244E91">
      <m:oMathPara>
        <m:oMath>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m:t>
                  </m:r>
                  <m:r>
                    <w:rPr>
                      <w:rFonts w:ascii="Cambria Math" w:hAnsi="Cambria Math"/>
                    </w:rPr>
                    <m:t>+1</m:t>
                  </m:r>
                </m:e>
              </m:d>
            </m:num>
            <m:den>
              <m:r>
                <w:rPr>
                  <w:rFonts w:ascii="Cambria Math" w:hAnsi="Cambria Math"/>
                </w:rPr>
                <m:t>2</m:t>
              </m:r>
            </m:den>
          </m:f>
          <m:r>
            <w:rPr>
              <w:rFonts w:ascii="Cambria Math" w:hAnsi="Cambria Math"/>
            </w:rPr>
            <m:t>=743,590</m:t>
          </m:r>
        </m:oMath>
      </m:oMathPara>
    </w:p>
    <w:p w14:paraId="01FC27DA" w14:textId="77777777" w:rsidR="00244E91" w:rsidRDefault="00244E91" w:rsidP="00244E91"/>
    <w:p w14:paraId="41917A50" w14:textId="77777777" w:rsidR="00244E91" w:rsidRDefault="00244E91" w:rsidP="00244E91">
      <w:r>
        <w:t>Resultado que es igual a haber sumado todos los números desde 1 hasta 1,219. Con este resultado, por ejemplo, para i=-1, que es el dato más reciente, se tiene que el ponderador sería igual a:</w:t>
      </w:r>
    </w:p>
    <w:p w14:paraId="031022B9" w14:textId="77777777" w:rsidR="00244E91" w:rsidRDefault="00244E91" w:rsidP="00244E91"/>
    <w:p w14:paraId="050E17AD" w14:textId="77777777" w:rsidR="00244E91" w:rsidRDefault="000300F0" w:rsidP="00244E91">
      <m:oMathPara>
        <m:oMath>
          <m:f>
            <m:fPr>
              <m:ctrlPr>
                <w:rPr>
                  <w:rFonts w:ascii="Cambria Math" w:hAnsi="Cambria Math"/>
                  <w:i/>
                </w:rPr>
              </m:ctrlPr>
            </m:fPr>
            <m:num>
              <m:d>
                <m:dPr>
                  <m:ctrlPr>
                    <w:rPr>
                      <w:rFonts w:ascii="Cambria Math" w:hAnsi="Cambria Math"/>
                      <w:i/>
                    </w:rPr>
                  </m:ctrlPr>
                </m:dPr>
                <m:e>
                  <m:r>
                    <w:rPr>
                      <w:rFonts w:ascii="Cambria Math" w:hAnsi="Cambria Math"/>
                    </w:rPr>
                    <m:t>n</m:t>
                  </m:r>
                  <m:r>
                    <w:rPr>
                      <w:rFonts w:ascii="Cambria Math" w:hAnsi="Cambria Math"/>
                    </w:rPr>
                    <m:t>+1</m:t>
                  </m:r>
                </m:e>
              </m:d>
              <m:r>
                <w:rPr>
                  <w:rFonts w:ascii="Cambria Math" w:hAnsi="Cambria Math"/>
                </w:rPr>
                <m:t>+</m:t>
              </m:r>
              <m:r>
                <w:rPr>
                  <w:rFonts w:ascii="Cambria Math" w:hAnsi="Cambria Math"/>
                </w:rPr>
                <m:t>i</m:t>
              </m:r>
            </m:num>
            <m:den>
              <m:f>
                <m:fPr>
                  <m:type m:val="skw"/>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m:t>
                      </m:r>
                      <m:r>
                        <w:rPr>
                          <w:rFonts w:ascii="Cambria Math" w:hAnsi="Cambria Math"/>
                        </w:rPr>
                        <m:t>+1</m:t>
                      </m:r>
                    </m:e>
                  </m:d>
                </m:num>
                <m:den>
                  <m:r>
                    <w:rPr>
                      <w:rFonts w:ascii="Cambria Math" w:hAnsi="Cambria Math"/>
                    </w:rPr>
                    <m:t>2</m:t>
                  </m:r>
                </m:den>
              </m:f>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1,219+1</m:t>
                  </m:r>
                </m:e>
              </m:d>
              <m:r>
                <w:rPr>
                  <w:rFonts w:ascii="Cambria Math" w:hAnsi="Cambria Math"/>
                </w:rPr>
                <m:t>-1</m:t>
              </m:r>
            </m:num>
            <m:den>
              <m:r>
                <w:rPr>
                  <w:rFonts w:ascii="Cambria Math" w:hAnsi="Cambria Math"/>
                </w:rPr>
                <m:t>743,590</m:t>
              </m:r>
            </m:den>
          </m:f>
          <m:r>
            <w:rPr>
              <w:rFonts w:ascii="Cambria Math" w:hAnsi="Cambria Math"/>
            </w:rPr>
            <m:t>=</m:t>
          </m:r>
          <m:f>
            <m:fPr>
              <m:ctrlPr>
                <w:rPr>
                  <w:rFonts w:ascii="Cambria Math" w:hAnsi="Cambria Math"/>
                  <w:i/>
                </w:rPr>
              </m:ctrlPr>
            </m:fPr>
            <m:num>
              <m:r>
                <w:rPr>
                  <w:rFonts w:ascii="Cambria Math" w:hAnsi="Cambria Math"/>
                </w:rPr>
                <m:t>1219</m:t>
              </m:r>
            </m:num>
            <m:den>
              <m:r>
                <w:rPr>
                  <w:rFonts w:ascii="Cambria Math" w:hAnsi="Cambria Math"/>
                </w:rPr>
                <m:t>743,590</m:t>
              </m:r>
            </m:den>
          </m:f>
          <m:r>
            <w:rPr>
              <w:rFonts w:ascii="Cambria Math" w:hAnsi="Cambria Math"/>
            </w:rPr>
            <m:t>=0.001639=0.1639%</m:t>
          </m:r>
        </m:oMath>
      </m:oMathPara>
    </w:p>
    <w:p w14:paraId="08AEEC57" w14:textId="77777777" w:rsidR="00244E91" w:rsidRDefault="00244E91" w:rsidP="00244E91"/>
    <w:p w14:paraId="5445416A" w14:textId="77777777" w:rsidR="00505AC0" w:rsidRDefault="00505AC0" w:rsidP="00566742">
      <w:pPr>
        <w:pStyle w:val="Prrafodelista"/>
        <w:numPr>
          <w:ilvl w:val="0"/>
          <w:numId w:val="13"/>
        </w:numPr>
      </w:pPr>
    </w:p>
    <w:p w14:paraId="09935962" w14:textId="77777777" w:rsidR="00505AC0" w:rsidRDefault="00505AC0" w:rsidP="00DD7B4F"/>
    <w:p w14:paraId="193B135E" w14:textId="198B6B61" w:rsidR="00505AC0" w:rsidRPr="00314CA8" w:rsidRDefault="00314CA8" w:rsidP="00314CA8">
      <w:pPr>
        <w:ind w:left="426"/>
        <w:rPr>
          <w:i/>
          <w:iCs/>
          <w:sz w:val="22"/>
          <w:szCs w:val="18"/>
        </w:rPr>
      </w:pPr>
      <w:r>
        <w:rPr>
          <w:i/>
          <w:iCs/>
          <w:sz w:val="20"/>
        </w:rPr>
        <w:t>“</w:t>
      </w:r>
      <w:r w:rsidRPr="00314CA8">
        <w:rPr>
          <w:i/>
          <w:iCs/>
          <w:sz w:val="20"/>
        </w:rPr>
        <w:t>De otra parte, reiteramos nuestros comentarios sobre la metodología de remuneración para la Soluciones Individuales Solares Fotovoltaicas, SISFV, en esta no se considera el riesgo por la falta de estandarización de los equipos. Al respecto, mencionamos que la constante innovación tecnológica y el dinamismo del mercado, pueden sugerir alternativas como remuneración en $/Wp, potencia nominal mínima expresada en vatios pico, del tipo de configuración de los módulos solares fotovoltaicos. En este sentido, sugerimos a la Comisión considerar estas alternativas con el fin de lograr una mejor adaptación al contexto de mercado.</w:t>
      </w:r>
      <w:r>
        <w:rPr>
          <w:i/>
          <w:iCs/>
          <w:sz w:val="20"/>
        </w:rPr>
        <w:t>”</w:t>
      </w:r>
    </w:p>
    <w:p w14:paraId="1B50554D" w14:textId="77777777" w:rsidR="00505AC0" w:rsidRDefault="00505AC0" w:rsidP="00DD7B4F"/>
    <w:p w14:paraId="60560396" w14:textId="77777777" w:rsidR="00566742" w:rsidRDefault="00566742" w:rsidP="00566742">
      <w:pPr>
        <w:pStyle w:val="Prrafodelista"/>
        <w:numPr>
          <w:ilvl w:val="0"/>
          <w:numId w:val="16"/>
        </w:numPr>
      </w:pPr>
    </w:p>
    <w:p w14:paraId="5B7F1FF9" w14:textId="77777777" w:rsidR="00505AC0" w:rsidRDefault="00505AC0" w:rsidP="00DD7B4F">
      <w:pPr>
        <w:rPr>
          <w:sz w:val="20"/>
        </w:rPr>
      </w:pPr>
    </w:p>
    <w:p w14:paraId="014A60EC" w14:textId="164D2B1F" w:rsidR="00314CA8" w:rsidRDefault="004F7960" w:rsidP="00DD7B4F">
      <w:r>
        <w:rPr>
          <w:sz w:val="20"/>
        </w:rPr>
        <w:t>Ver respuesta al comentario 17.</w:t>
      </w:r>
    </w:p>
    <w:p w14:paraId="750EBBBC" w14:textId="77777777" w:rsidR="00314CA8" w:rsidRDefault="00314CA8" w:rsidP="00DD7B4F"/>
    <w:p w14:paraId="72EBD5E2" w14:textId="77777777" w:rsidR="00314CA8" w:rsidRDefault="00314CA8" w:rsidP="00314CA8">
      <w:pPr>
        <w:pStyle w:val="Prrafodelista"/>
        <w:numPr>
          <w:ilvl w:val="0"/>
          <w:numId w:val="13"/>
        </w:numPr>
      </w:pPr>
    </w:p>
    <w:p w14:paraId="67CE7A3A" w14:textId="77777777" w:rsidR="00314CA8" w:rsidRDefault="00314CA8" w:rsidP="00DD7B4F"/>
    <w:p w14:paraId="2FF2C2A5" w14:textId="77777777" w:rsidR="008D29D4" w:rsidRPr="008D29D4" w:rsidRDefault="008D29D4" w:rsidP="008D29D4">
      <w:pPr>
        <w:ind w:left="426"/>
        <w:rPr>
          <w:i/>
          <w:iCs/>
          <w:sz w:val="20"/>
        </w:rPr>
      </w:pPr>
      <w:r w:rsidRPr="008D29D4">
        <w:rPr>
          <w:i/>
          <w:iCs/>
          <w:sz w:val="20"/>
        </w:rPr>
        <w:t>“Finalmente, la metodología desconoce los riesgos de atención de pocos usuarios aislados, en este tipo de esquemas, en particular, cuando el servicio es prestado por un operador de red del SIN. Dentro de la metodología de remuneración CREG 101 026 de 2022, el valor del AOM que depende del número de usuarios (</w:t>
      </w:r>
      <w:proofErr w:type="gramStart"/>
      <w:r w:rsidRPr="008D29D4">
        <w:rPr>
          <w:i/>
          <w:iCs/>
          <w:sz w:val="20"/>
        </w:rPr>
        <w:t>AMGCNU,m</w:t>
      </w:r>
      <w:proofErr w:type="gramEnd"/>
      <w:r w:rsidRPr="008D29D4">
        <w:rPr>
          <w:i/>
          <w:iCs/>
          <w:sz w:val="20"/>
        </w:rPr>
        <w:t>,0) toma los usuarios ZNI y SIN para definir la tarifa, distribuyendo los gastos de AOM en toda la red, lo cual no permite la sostenibilidad del modelo económico. Por ello, es necesario que la tarifa tenga en cuenta únicamente los usuarios ZNI, y de esta forma se reconozcan esquemas operativos de atención de usuarios diferenciales y se incorpore el riesgo de tener pocos usuarios y su mayor dispersión.”</w:t>
      </w:r>
    </w:p>
    <w:p w14:paraId="1F9752D3" w14:textId="77777777" w:rsidR="00314CA8" w:rsidRDefault="00314CA8" w:rsidP="00DD7B4F"/>
    <w:p w14:paraId="6349F621" w14:textId="77777777" w:rsidR="00314CA8" w:rsidRDefault="00314CA8" w:rsidP="00314CA8">
      <w:pPr>
        <w:pStyle w:val="Prrafodelista"/>
        <w:numPr>
          <w:ilvl w:val="0"/>
          <w:numId w:val="16"/>
        </w:numPr>
      </w:pPr>
    </w:p>
    <w:p w14:paraId="649CB8A9" w14:textId="77777777" w:rsidR="00314CA8" w:rsidRDefault="00314CA8" w:rsidP="00DD7B4F"/>
    <w:p w14:paraId="77FF69A0" w14:textId="77777777" w:rsidR="005E09B3" w:rsidRDefault="005E09B3" w:rsidP="005E09B3">
      <w:r>
        <w:rPr>
          <w:sz w:val="20"/>
        </w:rPr>
        <w:t>Ver respuesta al comentario 17.</w:t>
      </w:r>
    </w:p>
    <w:p w14:paraId="1B423D5E" w14:textId="77777777" w:rsidR="008D29D4" w:rsidRDefault="008D29D4" w:rsidP="00DD7B4F"/>
    <w:p w14:paraId="05C62CD2" w14:textId="08A78568" w:rsidR="00DD7B4F" w:rsidRDefault="00D77057" w:rsidP="00D77057">
      <w:pPr>
        <w:pStyle w:val="Ttulo2"/>
        <w:numPr>
          <w:ilvl w:val="1"/>
          <w:numId w:val="7"/>
        </w:numPr>
      </w:pPr>
      <w:bookmarkStart w:id="26" w:name="_Toc147137565"/>
      <w:r>
        <w:t>CELSIA</w:t>
      </w:r>
      <w:bookmarkEnd w:id="26"/>
    </w:p>
    <w:p w14:paraId="7BF06A41" w14:textId="77777777" w:rsidR="00D77057" w:rsidRDefault="00D77057" w:rsidP="00D77057">
      <w:pPr>
        <w:pStyle w:val="Prrafodelista"/>
        <w:numPr>
          <w:ilvl w:val="0"/>
          <w:numId w:val="13"/>
        </w:numPr>
      </w:pPr>
    </w:p>
    <w:p w14:paraId="37457DE1" w14:textId="77777777" w:rsidR="00D77057" w:rsidRDefault="00D77057" w:rsidP="00DD7B4F"/>
    <w:p w14:paraId="086CB392" w14:textId="5FFDEA30" w:rsidR="00857F26" w:rsidRDefault="006F1919" w:rsidP="00857F26">
      <w:pPr>
        <w:autoSpaceDE w:val="0"/>
        <w:autoSpaceDN w:val="0"/>
        <w:adjustRightInd w:val="0"/>
        <w:ind w:left="284"/>
        <w:contextualSpacing w:val="0"/>
        <w:rPr>
          <w:rFonts w:cs="Arial"/>
          <w:i/>
          <w:iCs/>
          <w:color w:val="000000"/>
          <w:sz w:val="20"/>
          <w:lang w:val="es-CO" w:eastAsia="es-CO"/>
        </w:rPr>
      </w:pPr>
      <w:r w:rsidRPr="006F1919">
        <w:rPr>
          <w:rFonts w:cs="Arial"/>
          <w:i/>
          <w:iCs/>
          <w:color w:val="000000"/>
          <w:sz w:val="20"/>
          <w:lang w:val="es-CO" w:eastAsia="es-CO"/>
        </w:rPr>
        <w:t>“</w:t>
      </w:r>
      <w:r w:rsidR="00857F26" w:rsidRPr="00857F26">
        <w:rPr>
          <w:rFonts w:cs="Arial"/>
          <w:i/>
          <w:iCs/>
          <w:color w:val="000000"/>
          <w:sz w:val="20"/>
          <w:lang w:val="es-CO" w:eastAsia="es-CO"/>
        </w:rPr>
        <w:t xml:space="preserve">Desde Celsia Colombia valoramos de manera positiva el interés del Estado por abordar la prestación del servicio de energía eléctrica en las Zonas No Interconectadas (ZNI), a través de fuentes de energías renovables que promuevan la autonomía y la seguridad energética. Consideramos que este servicio tiene el potencial de mejorar la calidad de vida de los habitantes de estas áreas aisladas, impulsando el desarrollo económico de los mismos. </w:t>
      </w:r>
    </w:p>
    <w:p w14:paraId="0B4B3AE2" w14:textId="77777777" w:rsidR="00857F26" w:rsidRPr="00857F26" w:rsidRDefault="00857F26" w:rsidP="00857F26">
      <w:pPr>
        <w:autoSpaceDE w:val="0"/>
        <w:autoSpaceDN w:val="0"/>
        <w:adjustRightInd w:val="0"/>
        <w:ind w:left="284"/>
        <w:contextualSpacing w:val="0"/>
        <w:rPr>
          <w:rFonts w:cs="Arial"/>
          <w:i/>
          <w:iCs/>
          <w:color w:val="000000"/>
          <w:sz w:val="20"/>
          <w:lang w:val="es-CO" w:eastAsia="es-CO"/>
        </w:rPr>
      </w:pPr>
    </w:p>
    <w:p w14:paraId="59A57A5C" w14:textId="20D03A0B" w:rsidR="00D77057" w:rsidRPr="00857F26" w:rsidRDefault="00857F26" w:rsidP="00857F26">
      <w:pPr>
        <w:ind w:left="284"/>
        <w:rPr>
          <w:i/>
          <w:iCs/>
          <w:sz w:val="20"/>
          <w:szCs w:val="16"/>
        </w:rPr>
      </w:pPr>
      <w:r w:rsidRPr="00857F26">
        <w:rPr>
          <w:rFonts w:cs="Arial"/>
          <w:i/>
          <w:iCs/>
          <w:color w:val="000000"/>
          <w:sz w:val="20"/>
          <w:lang w:val="es-CO" w:eastAsia="es-CO"/>
        </w:rPr>
        <w:t>La tasa de descuento desempeña un papel fundamental en la evaluación económica de proyectos. En el contexto de las ZNI, donde existen desafíos particulares debido a su ubicación remota y aislada, topografías complejas, baja densidad poblacional y brechas tecnológicas, es crucial contar con una tasa de descuento adecuada que refleje de manera precisa los riesgos y las condiciones específicas de estas zonas.</w:t>
      </w:r>
      <w:r w:rsidR="003F0132">
        <w:rPr>
          <w:rFonts w:cs="Arial"/>
          <w:i/>
          <w:iCs/>
          <w:color w:val="000000"/>
          <w:sz w:val="20"/>
          <w:lang w:val="es-CO" w:eastAsia="es-CO"/>
        </w:rPr>
        <w:t>”</w:t>
      </w:r>
    </w:p>
    <w:p w14:paraId="032B16C8" w14:textId="77777777" w:rsidR="004C385E" w:rsidRDefault="004C385E" w:rsidP="00DD7B4F"/>
    <w:p w14:paraId="40F3B964" w14:textId="77777777" w:rsidR="004C385E" w:rsidRDefault="004C385E" w:rsidP="004C385E">
      <w:pPr>
        <w:pStyle w:val="Prrafodelista"/>
        <w:numPr>
          <w:ilvl w:val="0"/>
          <w:numId w:val="16"/>
        </w:numPr>
      </w:pPr>
    </w:p>
    <w:p w14:paraId="2FBAD15C" w14:textId="77777777" w:rsidR="00D07074" w:rsidRDefault="00D07074" w:rsidP="00741DC6">
      <w:pPr>
        <w:ind w:left="360"/>
        <w:rPr>
          <w:sz w:val="20"/>
        </w:rPr>
      </w:pPr>
    </w:p>
    <w:p w14:paraId="4C7D6936" w14:textId="546EA732" w:rsidR="00741DC6" w:rsidRDefault="00741DC6" w:rsidP="00D07074">
      <w:r w:rsidRPr="00741DC6">
        <w:rPr>
          <w:sz w:val="20"/>
        </w:rPr>
        <w:t xml:space="preserve">Ver respuesta al comentario </w:t>
      </w:r>
      <w:r w:rsidR="008A2782">
        <w:rPr>
          <w:sz w:val="20"/>
        </w:rPr>
        <w:t>24</w:t>
      </w:r>
      <w:r w:rsidRPr="00741DC6">
        <w:rPr>
          <w:sz w:val="20"/>
        </w:rPr>
        <w:t>.</w:t>
      </w:r>
    </w:p>
    <w:p w14:paraId="0241251C" w14:textId="77777777" w:rsidR="00DD7B4F" w:rsidRDefault="00DD7B4F" w:rsidP="00DD7B4F"/>
    <w:p w14:paraId="08BD9EEC" w14:textId="77777777" w:rsidR="003F0132" w:rsidRPr="00475EE0" w:rsidRDefault="003F0132" w:rsidP="00475EE0">
      <w:pPr>
        <w:pStyle w:val="Prrafodelista"/>
        <w:numPr>
          <w:ilvl w:val="0"/>
          <w:numId w:val="13"/>
        </w:numPr>
        <w:autoSpaceDE w:val="0"/>
        <w:autoSpaceDN w:val="0"/>
        <w:adjustRightInd w:val="0"/>
        <w:contextualSpacing w:val="0"/>
        <w:jc w:val="left"/>
        <w:rPr>
          <w:rFonts w:cs="Arial"/>
          <w:color w:val="000000"/>
          <w:szCs w:val="24"/>
          <w:lang w:val="es-CO" w:eastAsia="es-CO"/>
        </w:rPr>
      </w:pPr>
    </w:p>
    <w:p w14:paraId="18F437DB" w14:textId="77777777" w:rsidR="008F2173" w:rsidRDefault="008F2173" w:rsidP="00475EE0">
      <w:pPr>
        <w:ind w:left="708"/>
        <w:rPr>
          <w:rFonts w:cs="Arial"/>
          <w:i/>
          <w:iCs/>
          <w:color w:val="000000"/>
          <w:sz w:val="20"/>
          <w:lang w:val="es-CO" w:eastAsia="es-CO"/>
        </w:rPr>
      </w:pPr>
    </w:p>
    <w:p w14:paraId="14A65B04" w14:textId="2BD760EC" w:rsidR="004C385E" w:rsidRPr="00475EE0" w:rsidRDefault="003F0132" w:rsidP="00A831D6">
      <w:pPr>
        <w:ind w:left="426"/>
        <w:rPr>
          <w:i/>
          <w:iCs/>
          <w:sz w:val="20"/>
          <w:szCs w:val="16"/>
        </w:rPr>
      </w:pPr>
      <w:r w:rsidRPr="00475EE0">
        <w:rPr>
          <w:rFonts w:cs="Arial"/>
          <w:i/>
          <w:iCs/>
          <w:color w:val="000000"/>
          <w:sz w:val="20"/>
          <w:lang w:val="es-CO" w:eastAsia="es-CO"/>
        </w:rPr>
        <w:lastRenderedPageBreak/>
        <w:t xml:space="preserve">Con relación al código GICS asignado (GICS55105020), asociado a </w:t>
      </w:r>
      <w:proofErr w:type="spellStart"/>
      <w:r w:rsidRPr="00475EE0">
        <w:rPr>
          <w:rFonts w:cs="Arial"/>
          <w:i/>
          <w:iCs/>
          <w:color w:val="000000"/>
          <w:sz w:val="20"/>
          <w:lang w:val="es-CO" w:eastAsia="es-CO"/>
        </w:rPr>
        <w:t>Renewable</w:t>
      </w:r>
      <w:proofErr w:type="spellEnd"/>
      <w:r w:rsidRPr="00475EE0">
        <w:rPr>
          <w:rFonts w:cs="Arial"/>
          <w:i/>
          <w:iCs/>
          <w:color w:val="000000"/>
          <w:sz w:val="20"/>
          <w:lang w:val="es-CO" w:eastAsia="es-CO"/>
        </w:rPr>
        <w:t xml:space="preserve"> </w:t>
      </w:r>
      <w:proofErr w:type="spellStart"/>
      <w:r w:rsidRPr="00475EE0">
        <w:rPr>
          <w:rFonts w:cs="Arial"/>
          <w:i/>
          <w:iCs/>
          <w:color w:val="000000"/>
          <w:sz w:val="20"/>
          <w:lang w:val="es-CO" w:eastAsia="es-CO"/>
        </w:rPr>
        <w:t>Electricity</w:t>
      </w:r>
      <w:proofErr w:type="spellEnd"/>
      <w:r w:rsidRPr="00475EE0">
        <w:rPr>
          <w:rFonts w:cs="Arial"/>
          <w:i/>
          <w:iCs/>
          <w:color w:val="000000"/>
          <w:sz w:val="20"/>
          <w:lang w:val="es-CO" w:eastAsia="es-CO"/>
        </w:rPr>
        <w:t>, consideramos que este no refleja las características de las industrias que pueden prestar el servicio en una ZNI en Colombia. Es importante tener en cuenta que estás empresas se enfrentan a condiciones sociales, culturales y económicas particulares. Clasificar la prestación del servicio en dichas zonas como si fuese la misma actividad que realizan las empresas de generación de electricidad renovable, puede resultar en una categorización inadecuada que no considera todos los riesgos de manera integral. La industria de las energías renovables no puede ser equiparada a una industria que presta sus servicios en una ZNI, donde existen desafíos únicos y condiciones diferentes.</w:t>
      </w:r>
    </w:p>
    <w:p w14:paraId="573E926E" w14:textId="77777777" w:rsidR="004C385E" w:rsidRPr="00475EE0" w:rsidRDefault="004C385E" w:rsidP="00A831D6">
      <w:pPr>
        <w:ind w:left="426"/>
        <w:rPr>
          <w:i/>
          <w:iCs/>
          <w:sz w:val="20"/>
          <w:szCs w:val="16"/>
        </w:rPr>
      </w:pPr>
    </w:p>
    <w:p w14:paraId="2E47BB5D" w14:textId="77777777" w:rsidR="00475EE0" w:rsidRPr="00475EE0" w:rsidRDefault="00475EE0" w:rsidP="00A831D6">
      <w:pPr>
        <w:autoSpaceDE w:val="0"/>
        <w:autoSpaceDN w:val="0"/>
        <w:adjustRightInd w:val="0"/>
        <w:ind w:left="426"/>
        <w:contextualSpacing w:val="0"/>
        <w:rPr>
          <w:rFonts w:cs="Arial"/>
          <w:i/>
          <w:iCs/>
          <w:color w:val="000000"/>
          <w:sz w:val="20"/>
          <w:lang w:val="es-CO" w:eastAsia="es-CO"/>
        </w:rPr>
      </w:pPr>
      <w:r w:rsidRPr="00475EE0">
        <w:rPr>
          <w:rFonts w:cs="Arial"/>
          <w:i/>
          <w:iCs/>
          <w:color w:val="000000"/>
          <w:sz w:val="20"/>
          <w:lang w:val="es-CO" w:eastAsia="es-CO"/>
        </w:rPr>
        <w:t xml:space="preserve">Adicionalmente, es importante tener en cuenta los riesgos asociados a las condiciones en las que un agente debe prestar el servicio y los requisitos contemplados en la Resolución CREG 101 026 de 2022, tales como: </w:t>
      </w:r>
    </w:p>
    <w:p w14:paraId="248E05C0" w14:textId="77777777" w:rsidR="00475EE0" w:rsidRPr="00475EE0" w:rsidRDefault="00475EE0" w:rsidP="00A831D6">
      <w:pPr>
        <w:autoSpaceDE w:val="0"/>
        <w:autoSpaceDN w:val="0"/>
        <w:adjustRightInd w:val="0"/>
        <w:ind w:left="426"/>
        <w:contextualSpacing w:val="0"/>
        <w:rPr>
          <w:rFonts w:cs="Arial"/>
          <w:i/>
          <w:iCs/>
          <w:color w:val="000000"/>
          <w:sz w:val="20"/>
          <w:lang w:val="es-CO" w:eastAsia="es-CO"/>
        </w:rPr>
      </w:pPr>
    </w:p>
    <w:p w14:paraId="10EB9F3A" w14:textId="77777777" w:rsidR="00475EE0" w:rsidRPr="00475EE0" w:rsidRDefault="00475EE0" w:rsidP="00A831D6">
      <w:pPr>
        <w:numPr>
          <w:ilvl w:val="0"/>
          <w:numId w:val="17"/>
        </w:numPr>
        <w:autoSpaceDE w:val="0"/>
        <w:autoSpaceDN w:val="0"/>
        <w:adjustRightInd w:val="0"/>
        <w:ind w:left="426"/>
        <w:contextualSpacing w:val="0"/>
        <w:rPr>
          <w:rFonts w:cs="Arial"/>
          <w:i/>
          <w:iCs/>
          <w:color w:val="000000"/>
          <w:sz w:val="20"/>
          <w:lang w:val="es-CO" w:eastAsia="es-CO"/>
        </w:rPr>
      </w:pPr>
      <w:r w:rsidRPr="00475EE0">
        <w:rPr>
          <w:rFonts w:cs="Arial"/>
          <w:b/>
          <w:bCs/>
          <w:i/>
          <w:iCs/>
          <w:color w:val="000000"/>
          <w:sz w:val="20"/>
          <w:lang w:val="es-CO" w:eastAsia="es-CO"/>
        </w:rPr>
        <w:t xml:space="preserve">i. Gestión de subsidios </w:t>
      </w:r>
    </w:p>
    <w:p w14:paraId="3A482FA4" w14:textId="77777777" w:rsidR="00475EE0" w:rsidRPr="00475EE0" w:rsidRDefault="00475EE0" w:rsidP="00A831D6">
      <w:pPr>
        <w:autoSpaceDE w:val="0"/>
        <w:autoSpaceDN w:val="0"/>
        <w:adjustRightInd w:val="0"/>
        <w:ind w:left="426"/>
        <w:contextualSpacing w:val="0"/>
        <w:rPr>
          <w:rFonts w:cs="Arial"/>
          <w:i/>
          <w:iCs/>
          <w:color w:val="000000"/>
          <w:sz w:val="20"/>
          <w:lang w:val="es-CO" w:eastAsia="es-CO"/>
        </w:rPr>
      </w:pPr>
    </w:p>
    <w:p w14:paraId="7E58698F" w14:textId="77777777" w:rsidR="00475EE0" w:rsidRPr="00475EE0" w:rsidRDefault="00475EE0" w:rsidP="00A831D6">
      <w:pPr>
        <w:autoSpaceDE w:val="0"/>
        <w:autoSpaceDN w:val="0"/>
        <w:adjustRightInd w:val="0"/>
        <w:ind w:left="426"/>
        <w:contextualSpacing w:val="0"/>
        <w:rPr>
          <w:rFonts w:cs="Arial"/>
          <w:i/>
          <w:iCs/>
          <w:color w:val="000000"/>
          <w:sz w:val="20"/>
          <w:lang w:val="es-CO" w:eastAsia="es-CO"/>
        </w:rPr>
      </w:pPr>
      <w:r w:rsidRPr="00475EE0">
        <w:rPr>
          <w:rFonts w:cs="Arial"/>
          <w:i/>
          <w:iCs/>
          <w:color w:val="000000"/>
          <w:sz w:val="20"/>
          <w:lang w:val="es-CO" w:eastAsia="es-CO"/>
        </w:rPr>
        <w:t xml:space="preserve">La gestión del prestador del servicio para el acceso a subsidios es una tarea compleja y desafiante, considerando que la tarifa establecida se compone principalmente por subsidios. En muchos casos, los retrasos en los giros de estos generan una carga financiera adicional para el prestador. </w:t>
      </w:r>
    </w:p>
    <w:p w14:paraId="20D6A1FD" w14:textId="77777777" w:rsidR="00475EE0" w:rsidRDefault="00475EE0" w:rsidP="00A831D6">
      <w:pPr>
        <w:autoSpaceDE w:val="0"/>
        <w:autoSpaceDN w:val="0"/>
        <w:adjustRightInd w:val="0"/>
        <w:ind w:left="426"/>
        <w:contextualSpacing w:val="0"/>
        <w:rPr>
          <w:rFonts w:cs="Arial"/>
          <w:i/>
          <w:iCs/>
          <w:color w:val="000000"/>
          <w:sz w:val="20"/>
          <w:lang w:val="es-CO" w:eastAsia="es-CO"/>
        </w:rPr>
      </w:pPr>
      <w:r w:rsidRPr="00475EE0">
        <w:rPr>
          <w:rFonts w:cs="Arial"/>
          <w:i/>
          <w:iCs/>
          <w:color w:val="000000"/>
          <w:sz w:val="20"/>
          <w:lang w:val="es-CO" w:eastAsia="es-CO"/>
        </w:rPr>
        <w:t xml:space="preserve">Un ejemplo de esta situación se evidencia en los subsidios a las tarifas de los usuarios conectados al Sistema Interconectado Nacional (SIN), donde el Fondo de Solidaridad para Subsidios y Redistribución de Ingresos (FSSRI), ha presentados déficits presupuestales importantes y retrasos en los giros, lo cual resulta en necesidades de capital de trabajo por parte de los prestadores. </w:t>
      </w:r>
    </w:p>
    <w:p w14:paraId="1A10FB1E" w14:textId="77777777" w:rsidR="00475EE0" w:rsidRPr="00475EE0" w:rsidRDefault="00475EE0" w:rsidP="00A831D6">
      <w:pPr>
        <w:autoSpaceDE w:val="0"/>
        <w:autoSpaceDN w:val="0"/>
        <w:adjustRightInd w:val="0"/>
        <w:ind w:left="426"/>
        <w:contextualSpacing w:val="0"/>
        <w:rPr>
          <w:rFonts w:cs="Arial"/>
          <w:i/>
          <w:iCs/>
          <w:color w:val="000000"/>
          <w:sz w:val="20"/>
          <w:lang w:val="es-CO" w:eastAsia="es-CO"/>
        </w:rPr>
      </w:pPr>
    </w:p>
    <w:p w14:paraId="6511374E" w14:textId="77777777" w:rsidR="00475EE0" w:rsidRPr="00475EE0" w:rsidRDefault="00475EE0" w:rsidP="00A831D6">
      <w:pPr>
        <w:numPr>
          <w:ilvl w:val="0"/>
          <w:numId w:val="18"/>
        </w:numPr>
        <w:autoSpaceDE w:val="0"/>
        <w:autoSpaceDN w:val="0"/>
        <w:adjustRightInd w:val="0"/>
        <w:ind w:left="426"/>
        <w:contextualSpacing w:val="0"/>
        <w:rPr>
          <w:rFonts w:cs="Arial"/>
          <w:i/>
          <w:iCs/>
          <w:color w:val="000000"/>
          <w:sz w:val="20"/>
          <w:lang w:val="es-CO" w:eastAsia="es-CO"/>
        </w:rPr>
      </w:pPr>
      <w:proofErr w:type="spellStart"/>
      <w:r w:rsidRPr="00475EE0">
        <w:rPr>
          <w:rFonts w:cs="Arial"/>
          <w:b/>
          <w:bCs/>
          <w:i/>
          <w:iCs/>
          <w:color w:val="000000"/>
          <w:sz w:val="20"/>
          <w:lang w:val="es-CO" w:eastAsia="es-CO"/>
        </w:rPr>
        <w:t>ii</w:t>
      </w:r>
      <w:proofErr w:type="spellEnd"/>
      <w:r w:rsidRPr="00475EE0">
        <w:rPr>
          <w:rFonts w:cs="Arial"/>
          <w:b/>
          <w:bCs/>
          <w:i/>
          <w:iCs/>
          <w:color w:val="000000"/>
          <w:sz w:val="20"/>
          <w:lang w:val="es-CO" w:eastAsia="es-CO"/>
        </w:rPr>
        <w:t xml:space="preserve">. Actividades asociadas a un prestador de servicios públicos </w:t>
      </w:r>
    </w:p>
    <w:p w14:paraId="6083A7B7" w14:textId="77777777" w:rsidR="00475EE0" w:rsidRPr="00475EE0" w:rsidRDefault="00475EE0" w:rsidP="00A831D6">
      <w:pPr>
        <w:autoSpaceDE w:val="0"/>
        <w:autoSpaceDN w:val="0"/>
        <w:adjustRightInd w:val="0"/>
        <w:ind w:left="426"/>
        <w:contextualSpacing w:val="0"/>
        <w:rPr>
          <w:rFonts w:cs="Arial"/>
          <w:i/>
          <w:iCs/>
          <w:color w:val="000000"/>
          <w:sz w:val="20"/>
          <w:lang w:val="es-CO" w:eastAsia="es-CO"/>
        </w:rPr>
      </w:pPr>
    </w:p>
    <w:p w14:paraId="35C60567" w14:textId="77777777" w:rsidR="00475EE0" w:rsidRPr="00475EE0" w:rsidRDefault="00475EE0" w:rsidP="00A831D6">
      <w:pPr>
        <w:autoSpaceDE w:val="0"/>
        <w:autoSpaceDN w:val="0"/>
        <w:adjustRightInd w:val="0"/>
        <w:ind w:left="426"/>
        <w:contextualSpacing w:val="0"/>
        <w:rPr>
          <w:rFonts w:cs="Arial"/>
          <w:i/>
          <w:iCs/>
          <w:color w:val="000000"/>
          <w:sz w:val="20"/>
          <w:lang w:val="es-CO" w:eastAsia="es-CO"/>
        </w:rPr>
      </w:pPr>
      <w:r w:rsidRPr="00475EE0">
        <w:rPr>
          <w:rFonts w:cs="Arial"/>
          <w:i/>
          <w:iCs/>
          <w:color w:val="000000"/>
          <w:sz w:val="20"/>
          <w:lang w:val="es-CO" w:eastAsia="es-CO"/>
        </w:rPr>
        <w:t xml:space="preserve">La Administración, Mantenimiento y Gestión Comercial (AMGC), que incluye los gastos incurridos por visitas de mantenimientos preventivos y/o correctivos a la SISFV, la administración comercial de los usuarios y de las actividades inherentes a la prestación del servicio, que exigen condiciones particulares y costos adicionales no comparables con los de un prestador del SIN. </w:t>
      </w:r>
    </w:p>
    <w:p w14:paraId="5E69C39E" w14:textId="5579EB76" w:rsidR="004C385E" w:rsidRPr="00475EE0" w:rsidRDefault="00475EE0" w:rsidP="00A831D6">
      <w:pPr>
        <w:ind w:left="426"/>
        <w:rPr>
          <w:i/>
          <w:iCs/>
          <w:sz w:val="20"/>
          <w:szCs w:val="16"/>
        </w:rPr>
      </w:pPr>
      <w:r w:rsidRPr="00475EE0">
        <w:rPr>
          <w:rFonts w:cs="Arial"/>
          <w:i/>
          <w:iCs/>
          <w:color w:val="000000"/>
          <w:sz w:val="20"/>
          <w:lang w:val="es-CO" w:eastAsia="es-CO"/>
        </w:rPr>
        <w:t>Una tasa de descuento adecuada ofrece señales que incentivan a los actores del sector eléctrico, a participar activamente en la inversión y el despliegue de proyectos renovables en las ZNI.</w:t>
      </w:r>
      <w:r>
        <w:rPr>
          <w:rFonts w:cs="Arial"/>
          <w:i/>
          <w:iCs/>
          <w:color w:val="000000"/>
          <w:sz w:val="20"/>
          <w:lang w:val="es-CO" w:eastAsia="es-CO"/>
        </w:rPr>
        <w:t>”</w:t>
      </w:r>
    </w:p>
    <w:p w14:paraId="7EDFC56D" w14:textId="77777777" w:rsidR="004C385E" w:rsidRDefault="004C385E" w:rsidP="00475EE0">
      <w:pPr>
        <w:pStyle w:val="Prrafodelista"/>
        <w:ind w:left="720"/>
      </w:pPr>
    </w:p>
    <w:p w14:paraId="24F1FBFF" w14:textId="77777777" w:rsidR="004C385E" w:rsidRDefault="004C385E" w:rsidP="004C385E">
      <w:pPr>
        <w:pStyle w:val="Prrafodelista"/>
        <w:numPr>
          <w:ilvl w:val="0"/>
          <w:numId w:val="16"/>
        </w:numPr>
      </w:pPr>
    </w:p>
    <w:p w14:paraId="13A2204F" w14:textId="77777777" w:rsidR="004C385E" w:rsidRDefault="004C385E" w:rsidP="004C385E"/>
    <w:p w14:paraId="16B4CBDF" w14:textId="2728478E" w:rsidR="004C385E" w:rsidRDefault="000B42A8" w:rsidP="004C385E">
      <w:r>
        <w:t>Ver respuestas a comentarios 9, 15 y 33.</w:t>
      </w:r>
    </w:p>
    <w:p w14:paraId="17DEA24C" w14:textId="77777777" w:rsidR="004C385E" w:rsidRDefault="004C385E" w:rsidP="004C385E"/>
    <w:p w14:paraId="7105647D" w14:textId="38CBD1A0" w:rsidR="004901B8" w:rsidRPr="004901B8" w:rsidRDefault="004901B8" w:rsidP="004901B8">
      <w:pPr>
        <w:pStyle w:val="Ttulo2"/>
        <w:numPr>
          <w:ilvl w:val="1"/>
          <w:numId w:val="7"/>
        </w:numPr>
        <w:rPr>
          <w:szCs w:val="20"/>
        </w:rPr>
      </w:pPr>
      <w:bookmarkStart w:id="27" w:name="_Toc147137566"/>
      <w:r w:rsidRPr="004901B8">
        <w:t>Empresas Públicas de Medellín</w:t>
      </w:r>
      <w:r w:rsidR="00FF3C24">
        <w:t>,</w:t>
      </w:r>
      <w:r w:rsidRPr="004901B8">
        <w:t xml:space="preserve"> EPM</w:t>
      </w:r>
      <w:bookmarkEnd w:id="27"/>
    </w:p>
    <w:p w14:paraId="247BC906" w14:textId="77777777" w:rsidR="00324545" w:rsidRPr="004901B8" w:rsidRDefault="00324545" w:rsidP="00324545">
      <w:pPr>
        <w:pStyle w:val="Prrafodelista"/>
        <w:numPr>
          <w:ilvl w:val="0"/>
          <w:numId w:val="13"/>
        </w:numPr>
      </w:pPr>
    </w:p>
    <w:p w14:paraId="74C114EC" w14:textId="77777777" w:rsidR="00324545" w:rsidRPr="004901B8" w:rsidRDefault="00324545" w:rsidP="00324545"/>
    <w:p w14:paraId="4C40CDB2" w14:textId="461409D4" w:rsidR="00324545" w:rsidRPr="004901B8" w:rsidRDefault="00324545" w:rsidP="00324545">
      <w:pPr>
        <w:ind w:left="360"/>
        <w:rPr>
          <w:i/>
          <w:iCs/>
        </w:rPr>
      </w:pPr>
      <w:r w:rsidRPr="004901B8">
        <w:rPr>
          <w:i/>
          <w:iCs/>
          <w:sz w:val="20"/>
          <w:szCs w:val="16"/>
        </w:rPr>
        <w:t xml:space="preserve">“Los parámetros utilizados para el </w:t>
      </w:r>
      <w:proofErr w:type="spellStart"/>
      <w:r w:rsidRPr="004901B8">
        <w:rPr>
          <w:i/>
          <w:iCs/>
          <w:sz w:val="20"/>
          <w:szCs w:val="16"/>
        </w:rPr>
        <w:t>calculo</w:t>
      </w:r>
      <w:proofErr w:type="spellEnd"/>
      <w:r w:rsidRPr="004901B8">
        <w:rPr>
          <w:i/>
          <w:iCs/>
          <w:sz w:val="20"/>
          <w:szCs w:val="16"/>
        </w:rPr>
        <w:t xml:space="preserve"> de la tasa de descuento para las soluciones cumplen con las resoluciones de procedimiento para el cálculo de la tasa de descuento.”</w:t>
      </w:r>
    </w:p>
    <w:p w14:paraId="6263D36B" w14:textId="77777777" w:rsidR="00324545" w:rsidRPr="004901B8" w:rsidRDefault="00324545" w:rsidP="00324545"/>
    <w:p w14:paraId="77655822" w14:textId="77777777" w:rsidR="00324545" w:rsidRPr="004901B8" w:rsidRDefault="00324545" w:rsidP="00DC6819">
      <w:pPr>
        <w:pStyle w:val="Prrafodelista"/>
        <w:numPr>
          <w:ilvl w:val="0"/>
          <w:numId w:val="16"/>
        </w:numPr>
      </w:pPr>
    </w:p>
    <w:p w14:paraId="7D638302" w14:textId="77777777" w:rsidR="00324545" w:rsidRPr="004901B8" w:rsidRDefault="00324545" w:rsidP="00324545"/>
    <w:p w14:paraId="11062920" w14:textId="2403403F" w:rsidR="00324545" w:rsidRDefault="00D108CF" w:rsidP="00324545">
      <w:pPr>
        <w:rPr>
          <w:lang w:val="es-CO"/>
        </w:rPr>
      </w:pPr>
      <w:r w:rsidRPr="00E72FF7">
        <w:rPr>
          <w:lang w:val="es-CO"/>
        </w:rPr>
        <w:t>Al respecto se debe mencionar que la tasa de descuento para las diferentes actividades que son reguladas por la CREG se determina de acuerdo con la metodología definida en la Resolución CREG 004 de 2021 y sus respectivas modificaciones.</w:t>
      </w:r>
    </w:p>
    <w:p w14:paraId="2D6F9A3A" w14:textId="77777777" w:rsidR="00D108CF" w:rsidRPr="004901B8" w:rsidRDefault="00D108CF" w:rsidP="00324545"/>
    <w:p w14:paraId="6F385CF0" w14:textId="77777777" w:rsidR="00324545" w:rsidRPr="004901B8" w:rsidRDefault="00324545" w:rsidP="00324545">
      <w:pPr>
        <w:pStyle w:val="Prrafodelista"/>
        <w:numPr>
          <w:ilvl w:val="0"/>
          <w:numId w:val="13"/>
        </w:numPr>
      </w:pPr>
    </w:p>
    <w:p w14:paraId="4F9FB468" w14:textId="77777777" w:rsidR="00324545" w:rsidRPr="004901B8" w:rsidRDefault="00324545" w:rsidP="00324545"/>
    <w:p w14:paraId="68070C3B" w14:textId="168ED2BD" w:rsidR="00324545" w:rsidRPr="004901B8" w:rsidRDefault="004901B8" w:rsidP="004901B8">
      <w:pPr>
        <w:ind w:left="284"/>
        <w:rPr>
          <w:i/>
          <w:iCs/>
        </w:rPr>
      </w:pPr>
      <w:r w:rsidRPr="004901B8">
        <w:rPr>
          <w:i/>
          <w:iCs/>
          <w:sz w:val="20"/>
          <w:szCs w:val="16"/>
        </w:rPr>
        <w:lastRenderedPageBreak/>
        <w:t>“</w:t>
      </w:r>
      <w:r w:rsidR="00324545" w:rsidRPr="004901B8">
        <w:rPr>
          <w:i/>
          <w:iCs/>
          <w:sz w:val="20"/>
          <w:szCs w:val="16"/>
        </w:rPr>
        <w:t xml:space="preserve">Consideramos </w:t>
      </w:r>
      <w:r w:rsidRPr="004901B8">
        <w:rPr>
          <w:i/>
          <w:iCs/>
          <w:sz w:val="20"/>
          <w:szCs w:val="16"/>
        </w:rPr>
        <w:t>se debe tomar una fecha de cálculo para la estimación de cada una de las variables más reciente, por que el 30 de junio de 2022 no tiene en cuenta todas las variaciones presentadas en deuda, inflación, devaluación, ponderadores de deuda y capital, entre otros.”</w:t>
      </w:r>
    </w:p>
    <w:p w14:paraId="01049833" w14:textId="77777777" w:rsidR="00324545" w:rsidRPr="004901B8" w:rsidRDefault="00324545" w:rsidP="00324545"/>
    <w:p w14:paraId="385AEF7F" w14:textId="77777777" w:rsidR="00DB4877" w:rsidRPr="004901B8" w:rsidRDefault="00DB4877" w:rsidP="00DC6819">
      <w:pPr>
        <w:pStyle w:val="Prrafodelista"/>
        <w:numPr>
          <w:ilvl w:val="0"/>
          <w:numId w:val="16"/>
        </w:numPr>
      </w:pPr>
    </w:p>
    <w:p w14:paraId="654D5DBF" w14:textId="77777777" w:rsidR="00DB4877" w:rsidRPr="004901B8" w:rsidRDefault="00DB4877" w:rsidP="00324545"/>
    <w:p w14:paraId="2FC7CB9A" w14:textId="5EB356D2" w:rsidR="00DB4877" w:rsidRPr="004901B8" w:rsidRDefault="00D108CF" w:rsidP="00324545">
      <w:r>
        <w:t>Ver respuestas a comentario 9.</w:t>
      </w:r>
    </w:p>
    <w:p w14:paraId="7CAFFF91" w14:textId="77777777" w:rsidR="00DB4877" w:rsidRPr="004901B8" w:rsidRDefault="00DB4877" w:rsidP="00324545"/>
    <w:p w14:paraId="61395172" w14:textId="77777777" w:rsidR="00DB4877" w:rsidRPr="004901B8" w:rsidRDefault="00DB4877" w:rsidP="00DB4877">
      <w:pPr>
        <w:pStyle w:val="Prrafodelista"/>
        <w:numPr>
          <w:ilvl w:val="0"/>
          <w:numId w:val="13"/>
        </w:numPr>
      </w:pPr>
    </w:p>
    <w:p w14:paraId="415AE3C9" w14:textId="77777777" w:rsidR="00DB4877" w:rsidRPr="004901B8" w:rsidRDefault="00DB4877" w:rsidP="00324545"/>
    <w:p w14:paraId="72816D24" w14:textId="3D126320" w:rsidR="00DB4877" w:rsidRPr="004901B8" w:rsidRDefault="004901B8" w:rsidP="004901B8">
      <w:pPr>
        <w:ind w:left="426"/>
        <w:rPr>
          <w:i/>
          <w:iCs/>
          <w:sz w:val="20"/>
          <w:szCs w:val="16"/>
        </w:rPr>
      </w:pPr>
      <w:r w:rsidRPr="004901B8">
        <w:rPr>
          <w:i/>
          <w:iCs/>
          <w:sz w:val="20"/>
          <w:szCs w:val="16"/>
        </w:rPr>
        <w:t>“Sugerimos que la fecha de cálculo para la estimación de cada una de las variables sea abril de 2023, ya que los datos a esta fecha presentan las condiciones más vigentes del mercado.”</w:t>
      </w:r>
    </w:p>
    <w:p w14:paraId="73CD829F" w14:textId="77777777" w:rsidR="00DB4877" w:rsidRPr="004901B8" w:rsidRDefault="00DB4877" w:rsidP="00324545"/>
    <w:p w14:paraId="142E0FBF" w14:textId="77777777" w:rsidR="00DB4877" w:rsidRPr="004901B8" w:rsidRDefault="00DB4877" w:rsidP="00DB4877">
      <w:pPr>
        <w:pStyle w:val="Prrafodelista"/>
        <w:numPr>
          <w:ilvl w:val="0"/>
          <w:numId w:val="16"/>
        </w:numPr>
      </w:pPr>
    </w:p>
    <w:p w14:paraId="27798B5D" w14:textId="77777777" w:rsidR="00DB4877" w:rsidRPr="004901B8" w:rsidRDefault="00DB4877" w:rsidP="00324545"/>
    <w:p w14:paraId="3BB3DDC0" w14:textId="77777777" w:rsidR="003917A0" w:rsidRPr="004901B8" w:rsidRDefault="003917A0" w:rsidP="003917A0">
      <w:r>
        <w:t>Ver respuestas a comentario 9.</w:t>
      </w:r>
    </w:p>
    <w:p w14:paraId="68094D49" w14:textId="77777777" w:rsidR="006B06B5" w:rsidRDefault="006B06B5" w:rsidP="00F609D0">
      <w:pPr>
        <w:rPr>
          <w:rFonts w:cs="Arial"/>
        </w:rPr>
      </w:pPr>
    </w:p>
    <w:p w14:paraId="7E1D4CD8" w14:textId="77777777" w:rsidR="006B06B5" w:rsidRPr="00EE086E" w:rsidRDefault="006B06B5" w:rsidP="00EE086E">
      <w:pPr>
        <w:pStyle w:val="Prrafodelista"/>
        <w:numPr>
          <w:ilvl w:val="0"/>
          <w:numId w:val="13"/>
        </w:numPr>
        <w:rPr>
          <w:rFonts w:cs="Arial"/>
        </w:rPr>
      </w:pPr>
    </w:p>
    <w:p w14:paraId="0474CCE7" w14:textId="77777777" w:rsidR="00EE086E" w:rsidRDefault="00EE086E" w:rsidP="006B06B5">
      <w:pPr>
        <w:rPr>
          <w:rFonts w:cs="Arial"/>
        </w:rPr>
      </w:pPr>
    </w:p>
    <w:p w14:paraId="720807AE" w14:textId="03B65202" w:rsidR="006B06B5" w:rsidRDefault="006B06B5" w:rsidP="00EE086E">
      <w:pPr>
        <w:ind w:left="284"/>
        <w:rPr>
          <w:rFonts w:cs="Arial"/>
          <w:i/>
          <w:iCs/>
          <w:sz w:val="20"/>
          <w:szCs w:val="16"/>
        </w:rPr>
      </w:pPr>
      <w:r w:rsidRPr="00EE086E">
        <w:rPr>
          <w:rFonts w:cs="Arial"/>
          <w:i/>
          <w:iCs/>
          <w:sz w:val="20"/>
          <w:szCs w:val="16"/>
        </w:rPr>
        <w:t xml:space="preserve">La Resolución CREG 101 026 de 2022 que define la fórmula tarifaria general para establecer la remuneración de la prestación del servicio de energía eléctrica mediante Soluciones Individuales Solares Fotovoltaicas-SISFV en Zonas No Interconectadas, en su artículo 20 establece que la fórmula tarifaria rige a partir del mes siguiente de la publicación en el diario oficial de la resolución que apruebe la tasa de descuento aplicable para determinar la remuneración. </w:t>
      </w:r>
    </w:p>
    <w:p w14:paraId="3FD59E0C" w14:textId="77777777" w:rsidR="00EE086E" w:rsidRPr="00EE086E" w:rsidRDefault="00EE086E" w:rsidP="00EE086E">
      <w:pPr>
        <w:ind w:left="284"/>
        <w:rPr>
          <w:rFonts w:cs="Arial"/>
          <w:i/>
          <w:iCs/>
          <w:sz w:val="20"/>
          <w:szCs w:val="16"/>
        </w:rPr>
      </w:pPr>
    </w:p>
    <w:p w14:paraId="391B9D97" w14:textId="011D1B6A" w:rsidR="006B06B5" w:rsidRDefault="006B06B5" w:rsidP="00EE086E">
      <w:pPr>
        <w:ind w:left="284"/>
        <w:rPr>
          <w:rFonts w:cs="Arial"/>
          <w:i/>
          <w:iCs/>
          <w:sz w:val="20"/>
          <w:szCs w:val="16"/>
        </w:rPr>
      </w:pPr>
      <w:r w:rsidRPr="00EE086E">
        <w:rPr>
          <w:rFonts w:cs="Arial"/>
          <w:i/>
          <w:iCs/>
          <w:sz w:val="20"/>
          <w:szCs w:val="16"/>
        </w:rPr>
        <w:t>La Comisión ha expedido dos proyectos de resolución 701 012 de 2022 y 701 009 de 2023, pero hasta el momento no ha emitido el acto administrativo definitivo con la tasa de descuento, por lo cual, no se ha podido dar aplicación a la Resolución 101 026 de 2022, lo cual afecta en últimas los proyectos que pueden llevar soluciones energéticas a áreas rezagadas del país, con la respectiva afectación sobre los potenciales usuarios</w:t>
      </w:r>
    </w:p>
    <w:p w14:paraId="35FA3805" w14:textId="77777777" w:rsidR="00EE086E" w:rsidRPr="00EE086E" w:rsidRDefault="00EE086E" w:rsidP="00EE086E">
      <w:pPr>
        <w:ind w:left="284"/>
        <w:rPr>
          <w:rFonts w:cs="Arial"/>
          <w:i/>
          <w:iCs/>
          <w:sz w:val="20"/>
          <w:szCs w:val="16"/>
        </w:rPr>
      </w:pPr>
    </w:p>
    <w:p w14:paraId="12A14018" w14:textId="77777777" w:rsidR="00DC550C" w:rsidRDefault="006B06B5" w:rsidP="00EE086E">
      <w:pPr>
        <w:ind w:left="284"/>
        <w:rPr>
          <w:rFonts w:cs="Arial"/>
          <w:sz w:val="20"/>
          <w:szCs w:val="16"/>
        </w:rPr>
      </w:pPr>
      <w:r w:rsidRPr="00EE086E">
        <w:rPr>
          <w:rFonts w:cs="Arial"/>
          <w:i/>
          <w:iCs/>
          <w:sz w:val="20"/>
          <w:szCs w:val="16"/>
        </w:rPr>
        <w:t>Agradecemos a la Comisión la expedición de la resolución para dar aplicación integral de SISFV en ZNI.</w:t>
      </w:r>
      <w:r w:rsidRPr="00EE086E">
        <w:rPr>
          <w:rFonts w:cs="Arial"/>
          <w:sz w:val="20"/>
          <w:szCs w:val="16"/>
        </w:rPr>
        <w:t xml:space="preserve"> </w:t>
      </w:r>
    </w:p>
    <w:p w14:paraId="25539F7F" w14:textId="77777777" w:rsidR="006D50E1" w:rsidRPr="006D50E1" w:rsidRDefault="006D50E1" w:rsidP="00EE086E">
      <w:pPr>
        <w:ind w:left="284"/>
        <w:rPr>
          <w:rFonts w:cs="Arial"/>
        </w:rPr>
      </w:pPr>
    </w:p>
    <w:p w14:paraId="372AEBAE" w14:textId="77777777" w:rsidR="006D50E1" w:rsidRPr="006D50E1" w:rsidRDefault="006D50E1" w:rsidP="006D50E1">
      <w:pPr>
        <w:pStyle w:val="Prrafodelista"/>
        <w:numPr>
          <w:ilvl w:val="0"/>
          <w:numId w:val="16"/>
        </w:numPr>
        <w:rPr>
          <w:rFonts w:cs="Arial"/>
        </w:rPr>
      </w:pPr>
    </w:p>
    <w:p w14:paraId="7E4B79B2" w14:textId="511D85F9" w:rsidR="006D50E1" w:rsidRDefault="006D50E1" w:rsidP="006D50E1">
      <w:pPr>
        <w:rPr>
          <w:rFonts w:cs="Arial"/>
        </w:rPr>
      </w:pPr>
    </w:p>
    <w:p w14:paraId="013B7B7E" w14:textId="0C0CB5A6" w:rsidR="006D50E1" w:rsidRPr="006D50E1" w:rsidRDefault="00F27738" w:rsidP="006C1C2E">
      <w:pPr>
        <w:rPr>
          <w:rFonts w:cs="Arial"/>
        </w:rPr>
      </w:pPr>
      <w:r>
        <w:rPr>
          <w:rFonts w:cs="Arial"/>
        </w:rPr>
        <w:t>L</w:t>
      </w:r>
      <w:r w:rsidRPr="00F27738">
        <w:rPr>
          <w:rFonts w:cs="Arial"/>
        </w:rPr>
        <w:t xml:space="preserve">a Comisión ha analizado los comentarios recibidos a las resoluciones </w:t>
      </w:r>
      <w:r>
        <w:rPr>
          <w:rFonts w:cs="Arial"/>
        </w:rPr>
        <w:t xml:space="preserve">mencionadas en el comentario </w:t>
      </w:r>
      <w:r w:rsidR="00312054">
        <w:rPr>
          <w:rFonts w:cs="Arial"/>
        </w:rPr>
        <w:t>y se encuentra</w:t>
      </w:r>
      <w:r w:rsidRPr="00F27738">
        <w:rPr>
          <w:rFonts w:cs="Arial"/>
        </w:rPr>
        <w:t xml:space="preserve"> adelantando los procedimientos necesarios para la expedición de la resolución definitiva para establecer la tasa de descuento para remuneración de la prestación del servicio de energía eléctrica mediante SISFV, momento en el cual </w:t>
      </w:r>
      <w:proofErr w:type="gramStart"/>
      <w:r w:rsidRPr="00F27738">
        <w:rPr>
          <w:rFonts w:cs="Arial"/>
        </w:rPr>
        <w:t>entrará en vigencia</w:t>
      </w:r>
      <w:proofErr w:type="gramEnd"/>
      <w:r w:rsidRPr="00F27738">
        <w:rPr>
          <w:rFonts w:cs="Arial"/>
        </w:rPr>
        <w:t xml:space="preserve"> la Resolución CREG 101 026 de 2022.</w:t>
      </w:r>
    </w:p>
    <w:p w14:paraId="26FF2A32" w14:textId="77777777" w:rsidR="00471D1A" w:rsidRDefault="00471D1A" w:rsidP="00471D1A">
      <w:pPr>
        <w:rPr>
          <w:rFonts w:cs="Arial"/>
          <w:sz w:val="20"/>
          <w:szCs w:val="16"/>
        </w:rPr>
      </w:pPr>
    </w:p>
    <w:p w14:paraId="0AFCB852" w14:textId="77777777" w:rsidR="006D50E1" w:rsidRDefault="006D50E1" w:rsidP="00900B70">
      <w:pPr>
        <w:pStyle w:val="Ttulo1"/>
        <w:tabs>
          <w:tab w:val="clear" w:pos="2556"/>
        </w:tabs>
        <w:spacing w:after="0"/>
        <w:ind w:left="0" w:firstLine="0"/>
        <w:jc w:val="center"/>
        <w:rPr>
          <w:rFonts w:cs="Arial"/>
          <w:highlight w:val="yellow"/>
        </w:rPr>
      </w:pPr>
      <w:bookmarkStart w:id="28" w:name="_Toc111542424"/>
      <w:bookmarkStart w:id="29" w:name="_Toc108543318"/>
      <w:bookmarkStart w:id="30" w:name="_Toc128128032"/>
      <w:bookmarkStart w:id="31" w:name="_Hlk136611316"/>
      <w:r>
        <w:rPr>
          <w:rFonts w:cs="Arial"/>
          <w:highlight w:val="yellow"/>
        </w:rPr>
        <w:br w:type="page"/>
      </w:r>
    </w:p>
    <w:p w14:paraId="45F2271C" w14:textId="629F0E84" w:rsidR="00900B70" w:rsidRPr="009C58E3" w:rsidRDefault="00900B70" w:rsidP="00900B70">
      <w:pPr>
        <w:pStyle w:val="Ttulo1"/>
        <w:tabs>
          <w:tab w:val="clear" w:pos="2556"/>
        </w:tabs>
        <w:spacing w:after="0"/>
        <w:ind w:left="0" w:firstLine="0"/>
        <w:jc w:val="center"/>
        <w:rPr>
          <w:rFonts w:cs="Arial"/>
        </w:rPr>
      </w:pPr>
      <w:bookmarkStart w:id="32" w:name="_Toc147137567"/>
      <w:r w:rsidRPr="009C58E3">
        <w:rPr>
          <w:rFonts w:cs="Arial"/>
        </w:rPr>
        <w:lastRenderedPageBreak/>
        <w:t xml:space="preserve">ANEXO 2. </w:t>
      </w:r>
      <w:bookmarkEnd w:id="28"/>
      <w:r w:rsidRPr="009C58E3">
        <w:rPr>
          <w:rFonts w:cs="Arial"/>
        </w:rPr>
        <w:t>DETERMINACIÓN DEL VALOR DE LA ESTRUCTURA DE CAPITAL Y DEL BETA DESAPALANCADO PARA EL CÓDIGO GICS 55105020</w:t>
      </w:r>
      <w:bookmarkEnd w:id="32"/>
    </w:p>
    <w:p w14:paraId="75D34432" w14:textId="77777777" w:rsidR="00900B70" w:rsidRPr="009C58E3" w:rsidRDefault="00900B70" w:rsidP="00900B70">
      <w:pPr>
        <w:rPr>
          <w:rFonts w:cs="Arial"/>
        </w:rPr>
      </w:pPr>
    </w:p>
    <w:p w14:paraId="44EC2900" w14:textId="77777777" w:rsidR="00900B70" w:rsidRPr="009C58E3" w:rsidRDefault="00900B70" w:rsidP="00900B70">
      <w:pPr>
        <w:rPr>
          <w:rFonts w:cs="Arial"/>
        </w:rPr>
      </w:pPr>
    </w:p>
    <w:p w14:paraId="32EDC223" w14:textId="71B82219" w:rsidR="00900B70" w:rsidRPr="00ED0D9F" w:rsidRDefault="00900B70" w:rsidP="00900B70">
      <w:pPr>
        <w:rPr>
          <w:rFonts w:cs="Arial"/>
        </w:rPr>
      </w:pPr>
      <w:r w:rsidRPr="009C58E3">
        <w:rPr>
          <w:rFonts w:cs="Arial"/>
        </w:rPr>
        <w:t xml:space="preserve">Aplicando el procedimiento descrito en el numeral 4.1 del Documento CREG 105 </w:t>
      </w:r>
      <w:r w:rsidR="00C369B7" w:rsidRPr="009C58E3">
        <w:rPr>
          <w:rFonts w:cs="Arial"/>
        </w:rPr>
        <w:t>002</w:t>
      </w:r>
      <w:r w:rsidRPr="009C58E3">
        <w:rPr>
          <w:rFonts w:cs="Arial"/>
        </w:rPr>
        <w:t xml:space="preserve"> de 2022 se tiene lo siguiente:</w:t>
      </w:r>
    </w:p>
    <w:p w14:paraId="663D8A16" w14:textId="77777777" w:rsidR="00900B70" w:rsidRPr="00ED0D9F" w:rsidRDefault="00900B70" w:rsidP="00900B70">
      <w:pPr>
        <w:rPr>
          <w:rFonts w:cs="Arial"/>
        </w:rPr>
      </w:pPr>
    </w:p>
    <w:p w14:paraId="61E751DF" w14:textId="77777777" w:rsidR="00900B70" w:rsidRDefault="00900B70" w:rsidP="00900B70">
      <w:pPr>
        <w:pStyle w:val="Descripcin"/>
        <w:rPr>
          <w:rFonts w:cs="Arial"/>
        </w:rPr>
      </w:pPr>
      <w:bookmarkStart w:id="33" w:name="_Toc142896784"/>
      <w:r>
        <w:t xml:space="preserve">Tabla </w:t>
      </w:r>
      <w:r>
        <w:fldChar w:fldCharType="begin"/>
      </w:r>
      <w:r>
        <w:instrText xml:space="preserve"> SEQ Tabla \* ARABIC </w:instrText>
      </w:r>
      <w:r>
        <w:fldChar w:fldCharType="separate"/>
      </w:r>
      <w:r>
        <w:rPr>
          <w:noProof/>
        </w:rPr>
        <w:t>3</w:t>
      </w:r>
      <w:r>
        <w:fldChar w:fldCharType="end"/>
      </w:r>
      <w:r>
        <w:t xml:space="preserve">. </w:t>
      </w:r>
      <w:r>
        <w:rPr>
          <w:rFonts w:cs="Arial"/>
        </w:rPr>
        <w:t>Canasta de empresas</w:t>
      </w:r>
      <w:bookmarkEnd w:id="33"/>
    </w:p>
    <w:tbl>
      <w:tblPr>
        <w:tblW w:w="7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2"/>
        <w:gridCol w:w="4627"/>
      </w:tblGrid>
      <w:tr w:rsidR="00DD6C35" w:rsidRPr="00DD6C35" w14:paraId="7373E322" w14:textId="77777777" w:rsidTr="000300F0">
        <w:trPr>
          <w:trHeight w:val="414"/>
          <w:jc w:val="center"/>
        </w:trPr>
        <w:tc>
          <w:tcPr>
            <w:tcW w:w="2562" w:type="dxa"/>
            <w:shd w:val="clear" w:color="000000" w:fill="44546A"/>
            <w:noWrap/>
            <w:vAlign w:val="center"/>
            <w:hideMark/>
          </w:tcPr>
          <w:p w14:paraId="0CB11470" w14:textId="77777777" w:rsidR="00DD6C35" w:rsidRPr="00DD6C35" w:rsidRDefault="00DD6C35" w:rsidP="00AC0DEB">
            <w:pPr>
              <w:contextualSpacing w:val="0"/>
              <w:jc w:val="center"/>
              <w:rPr>
                <w:rFonts w:cs="Arial"/>
                <w:b/>
                <w:bCs/>
                <w:color w:val="FFFFFF"/>
                <w:sz w:val="22"/>
                <w:szCs w:val="22"/>
                <w:lang w:val="es-CO" w:eastAsia="es-CO"/>
              </w:rPr>
            </w:pPr>
            <w:proofErr w:type="spellStart"/>
            <w:r w:rsidRPr="00DD6C35">
              <w:rPr>
                <w:rFonts w:cs="Arial"/>
                <w:b/>
                <w:bCs/>
                <w:color w:val="FFFFFF"/>
                <w:sz w:val="22"/>
                <w:szCs w:val="22"/>
                <w:lang w:val="es-CO" w:eastAsia="es-CO"/>
              </w:rPr>
              <w:t>Ticker</w:t>
            </w:r>
            <w:proofErr w:type="spellEnd"/>
          </w:p>
        </w:tc>
        <w:tc>
          <w:tcPr>
            <w:tcW w:w="4627" w:type="dxa"/>
            <w:shd w:val="clear" w:color="000000" w:fill="44546A"/>
            <w:noWrap/>
            <w:vAlign w:val="center"/>
            <w:hideMark/>
          </w:tcPr>
          <w:p w14:paraId="0069BC92" w14:textId="77777777" w:rsidR="00DD6C35" w:rsidRPr="00DD6C35" w:rsidRDefault="00DD6C35" w:rsidP="00AC0DEB">
            <w:pPr>
              <w:contextualSpacing w:val="0"/>
              <w:jc w:val="center"/>
              <w:rPr>
                <w:rFonts w:cs="Arial"/>
                <w:b/>
                <w:bCs/>
                <w:color w:val="FFFFFF"/>
                <w:sz w:val="22"/>
                <w:szCs w:val="22"/>
                <w:lang w:val="es-CO" w:eastAsia="es-CO"/>
              </w:rPr>
            </w:pPr>
            <w:proofErr w:type="spellStart"/>
            <w:r w:rsidRPr="00DD6C35">
              <w:rPr>
                <w:rFonts w:cs="Arial"/>
                <w:b/>
                <w:bCs/>
                <w:color w:val="FFFFFF"/>
                <w:sz w:val="22"/>
                <w:szCs w:val="22"/>
                <w:lang w:val="es-CO" w:eastAsia="es-CO"/>
              </w:rPr>
              <w:t>Name</w:t>
            </w:r>
            <w:proofErr w:type="spellEnd"/>
          </w:p>
        </w:tc>
      </w:tr>
      <w:tr w:rsidR="00DD6C35" w:rsidRPr="00DD6C35" w14:paraId="513D7C51" w14:textId="77777777" w:rsidTr="000300F0">
        <w:trPr>
          <w:trHeight w:val="241"/>
          <w:jc w:val="center"/>
        </w:trPr>
        <w:tc>
          <w:tcPr>
            <w:tcW w:w="2562" w:type="dxa"/>
            <w:shd w:val="clear" w:color="auto" w:fill="auto"/>
            <w:noWrap/>
            <w:vAlign w:val="bottom"/>
            <w:hideMark/>
          </w:tcPr>
          <w:p w14:paraId="3FDD951A"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BEPC CN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32ADD126"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BROOKFIELD RENEWABLE COR-A</w:t>
            </w:r>
          </w:p>
        </w:tc>
      </w:tr>
      <w:tr w:rsidR="00DD6C35" w:rsidRPr="00DD6C35" w14:paraId="403BD8C2" w14:textId="77777777" w:rsidTr="000300F0">
        <w:trPr>
          <w:trHeight w:val="241"/>
          <w:jc w:val="center"/>
        </w:trPr>
        <w:tc>
          <w:tcPr>
            <w:tcW w:w="2562" w:type="dxa"/>
            <w:shd w:val="clear" w:color="auto" w:fill="auto"/>
            <w:noWrap/>
            <w:vAlign w:val="bottom"/>
            <w:hideMark/>
          </w:tcPr>
          <w:p w14:paraId="3ED6FD47"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CWEN/A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58BF5C11"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CLEARWAY ENERGY INC-A</w:t>
            </w:r>
          </w:p>
        </w:tc>
      </w:tr>
      <w:tr w:rsidR="00DD6C35" w:rsidRPr="00DD6C35" w14:paraId="458BA7ED" w14:textId="77777777" w:rsidTr="000300F0">
        <w:trPr>
          <w:trHeight w:val="241"/>
          <w:jc w:val="center"/>
        </w:trPr>
        <w:tc>
          <w:tcPr>
            <w:tcW w:w="2562" w:type="dxa"/>
            <w:shd w:val="clear" w:color="auto" w:fill="auto"/>
            <w:noWrap/>
            <w:vAlign w:val="bottom"/>
            <w:hideMark/>
          </w:tcPr>
          <w:p w14:paraId="52F7697C"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ORA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7896A02C"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ORMAT TECHNOLOGIES INC</w:t>
            </w:r>
          </w:p>
        </w:tc>
      </w:tr>
      <w:tr w:rsidR="00DD6C35" w:rsidRPr="00DD6C35" w14:paraId="7A3A2C51" w14:textId="77777777" w:rsidTr="000300F0">
        <w:trPr>
          <w:trHeight w:val="241"/>
          <w:jc w:val="center"/>
        </w:trPr>
        <w:tc>
          <w:tcPr>
            <w:tcW w:w="2562" w:type="dxa"/>
            <w:shd w:val="clear" w:color="auto" w:fill="auto"/>
            <w:noWrap/>
            <w:vAlign w:val="bottom"/>
            <w:hideMark/>
          </w:tcPr>
          <w:p w14:paraId="19B61753"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NEP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79A99807"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NEXTERA ENERGY PARTNERS LP</w:t>
            </w:r>
          </w:p>
        </w:tc>
      </w:tr>
      <w:tr w:rsidR="00DD6C35" w:rsidRPr="00DD6C35" w14:paraId="178DF2FE" w14:textId="77777777" w:rsidTr="000300F0">
        <w:trPr>
          <w:trHeight w:val="241"/>
          <w:jc w:val="center"/>
        </w:trPr>
        <w:tc>
          <w:tcPr>
            <w:tcW w:w="2562" w:type="dxa"/>
            <w:shd w:val="clear" w:color="auto" w:fill="auto"/>
            <w:noWrap/>
            <w:vAlign w:val="bottom"/>
            <w:hideMark/>
          </w:tcPr>
          <w:p w14:paraId="24C30F4C"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NOVA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6A2E916D"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SUNNOVA ENERGY INTERNATIONAL</w:t>
            </w:r>
          </w:p>
        </w:tc>
      </w:tr>
      <w:tr w:rsidR="00DD6C35" w:rsidRPr="00DD6C35" w14:paraId="713456D1" w14:textId="77777777" w:rsidTr="000300F0">
        <w:trPr>
          <w:trHeight w:val="241"/>
          <w:jc w:val="center"/>
        </w:trPr>
        <w:tc>
          <w:tcPr>
            <w:tcW w:w="2562" w:type="dxa"/>
            <w:shd w:val="clear" w:color="auto" w:fill="auto"/>
            <w:noWrap/>
            <w:vAlign w:val="bottom"/>
            <w:hideMark/>
          </w:tcPr>
          <w:p w14:paraId="3BAFBF6F"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MNTK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604FD1E6"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MONTAUK RENEWABLES INC</w:t>
            </w:r>
          </w:p>
        </w:tc>
      </w:tr>
      <w:tr w:rsidR="00DD6C35" w:rsidRPr="00DD6C35" w14:paraId="395E7DC0" w14:textId="77777777" w:rsidTr="000300F0">
        <w:trPr>
          <w:trHeight w:val="241"/>
          <w:jc w:val="center"/>
        </w:trPr>
        <w:tc>
          <w:tcPr>
            <w:tcW w:w="2562" w:type="dxa"/>
            <w:shd w:val="clear" w:color="auto" w:fill="auto"/>
            <w:noWrap/>
            <w:vAlign w:val="bottom"/>
            <w:hideMark/>
          </w:tcPr>
          <w:p w14:paraId="7FF39033"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AMPS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3DEFF388"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ALTUS POWER INC</w:t>
            </w:r>
          </w:p>
        </w:tc>
      </w:tr>
      <w:tr w:rsidR="00DD6C35" w:rsidRPr="00DD6C35" w14:paraId="52D132BD" w14:textId="77777777" w:rsidTr="000300F0">
        <w:trPr>
          <w:trHeight w:val="241"/>
          <w:jc w:val="center"/>
        </w:trPr>
        <w:tc>
          <w:tcPr>
            <w:tcW w:w="2562" w:type="dxa"/>
            <w:shd w:val="clear" w:color="auto" w:fill="auto"/>
            <w:noWrap/>
            <w:vAlign w:val="bottom"/>
            <w:hideMark/>
          </w:tcPr>
          <w:p w14:paraId="790B0451"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HNOI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36B181E6"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HNO INTERNATIONAL INC</w:t>
            </w:r>
          </w:p>
        </w:tc>
      </w:tr>
      <w:tr w:rsidR="00DD6C35" w:rsidRPr="00DD6C35" w14:paraId="190B3756" w14:textId="77777777" w:rsidTr="000300F0">
        <w:trPr>
          <w:trHeight w:val="241"/>
          <w:jc w:val="center"/>
        </w:trPr>
        <w:tc>
          <w:tcPr>
            <w:tcW w:w="2562" w:type="dxa"/>
            <w:shd w:val="clear" w:color="auto" w:fill="auto"/>
            <w:noWrap/>
            <w:vAlign w:val="bottom"/>
            <w:hideMark/>
          </w:tcPr>
          <w:p w14:paraId="3E9462DD"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SPRU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5DA188D5"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SPRUCE POWER HOLDING CORP</w:t>
            </w:r>
          </w:p>
        </w:tc>
      </w:tr>
      <w:tr w:rsidR="00DD6C35" w:rsidRPr="00DD6C35" w14:paraId="311F2912" w14:textId="77777777" w:rsidTr="000300F0">
        <w:trPr>
          <w:trHeight w:val="241"/>
          <w:jc w:val="center"/>
        </w:trPr>
        <w:tc>
          <w:tcPr>
            <w:tcW w:w="2562" w:type="dxa"/>
            <w:shd w:val="clear" w:color="auto" w:fill="auto"/>
            <w:noWrap/>
            <w:vAlign w:val="bottom"/>
            <w:hideMark/>
          </w:tcPr>
          <w:p w14:paraId="5E569D8E"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FNEC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3BE73D15"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FIRST NATIONAL ENERGY CORP</w:t>
            </w:r>
          </w:p>
        </w:tc>
      </w:tr>
      <w:tr w:rsidR="00DD6C35" w:rsidRPr="00DD6C35" w14:paraId="38B14791" w14:textId="77777777" w:rsidTr="000300F0">
        <w:trPr>
          <w:trHeight w:val="241"/>
          <w:jc w:val="center"/>
        </w:trPr>
        <w:tc>
          <w:tcPr>
            <w:tcW w:w="2562" w:type="dxa"/>
            <w:shd w:val="clear" w:color="auto" w:fill="auto"/>
            <w:noWrap/>
            <w:vAlign w:val="bottom"/>
            <w:hideMark/>
          </w:tcPr>
          <w:p w14:paraId="1377543C"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PWCO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63E73A37"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PWRCOR INC</w:t>
            </w:r>
          </w:p>
        </w:tc>
      </w:tr>
      <w:tr w:rsidR="00DD6C35" w:rsidRPr="00DD6C35" w14:paraId="47BD7D33" w14:textId="77777777" w:rsidTr="000300F0">
        <w:trPr>
          <w:trHeight w:val="241"/>
          <w:jc w:val="center"/>
        </w:trPr>
        <w:tc>
          <w:tcPr>
            <w:tcW w:w="2562" w:type="dxa"/>
            <w:shd w:val="clear" w:color="auto" w:fill="auto"/>
            <w:noWrap/>
            <w:vAlign w:val="bottom"/>
            <w:hideMark/>
          </w:tcPr>
          <w:p w14:paraId="04135B9F"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FWFW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75AEA359"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FLYWHEEL ADVANCED TECH INC</w:t>
            </w:r>
          </w:p>
        </w:tc>
      </w:tr>
      <w:tr w:rsidR="00DD6C35" w:rsidRPr="00DD6C35" w14:paraId="06A924F8" w14:textId="77777777" w:rsidTr="000300F0">
        <w:trPr>
          <w:trHeight w:val="241"/>
          <w:jc w:val="center"/>
        </w:trPr>
        <w:tc>
          <w:tcPr>
            <w:tcW w:w="2562" w:type="dxa"/>
            <w:shd w:val="clear" w:color="auto" w:fill="auto"/>
            <w:noWrap/>
            <w:vAlign w:val="bottom"/>
            <w:hideMark/>
          </w:tcPr>
          <w:p w14:paraId="4B78EEB5"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BLSP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796A8625"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BLUE SPHERE CORP</w:t>
            </w:r>
          </w:p>
        </w:tc>
      </w:tr>
      <w:tr w:rsidR="00DD6C35" w:rsidRPr="00DD6C35" w14:paraId="4B8335C0" w14:textId="77777777" w:rsidTr="000300F0">
        <w:trPr>
          <w:trHeight w:val="241"/>
          <w:jc w:val="center"/>
        </w:trPr>
        <w:tc>
          <w:tcPr>
            <w:tcW w:w="2562" w:type="dxa"/>
            <w:shd w:val="clear" w:color="auto" w:fill="auto"/>
            <w:noWrap/>
            <w:vAlign w:val="bottom"/>
            <w:hideMark/>
          </w:tcPr>
          <w:p w14:paraId="21FBE462"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PSWW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57755679"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PRINCIPAL SOLAR INC</w:t>
            </w:r>
          </w:p>
        </w:tc>
      </w:tr>
      <w:tr w:rsidR="00DD6C35" w:rsidRPr="00DD6C35" w14:paraId="55EFD1A2" w14:textId="77777777" w:rsidTr="000300F0">
        <w:trPr>
          <w:trHeight w:val="241"/>
          <w:jc w:val="center"/>
        </w:trPr>
        <w:tc>
          <w:tcPr>
            <w:tcW w:w="2562" w:type="dxa"/>
            <w:shd w:val="clear" w:color="auto" w:fill="auto"/>
            <w:noWrap/>
            <w:vAlign w:val="bottom"/>
            <w:hideMark/>
          </w:tcPr>
          <w:p w14:paraId="03B1DFC5"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CGEI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59E233F3"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CGE ENERGY INC</w:t>
            </w:r>
          </w:p>
        </w:tc>
      </w:tr>
      <w:tr w:rsidR="00DD6C35" w:rsidRPr="00DD6C35" w14:paraId="4B34E4D4" w14:textId="77777777" w:rsidTr="000300F0">
        <w:trPr>
          <w:trHeight w:val="241"/>
          <w:jc w:val="center"/>
        </w:trPr>
        <w:tc>
          <w:tcPr>
            <w:tcW w:w="2562" w:type="dxa"/>
            <w:shd w:val="clear" w:color="auto" w:fill="auto"/>
            <w:noWrap/>
            <w:vAlign w:val="bottom"/>
            <w:hideMark/>
          </w:tcPr>
          <w:p w14:paraId="6C4A2451"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NCEN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736029EA"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NACEL ENERGY CORP</w:t>
            </w:r>
          </w:p>
        </w:tc>
      </w:tr>
      <w:tr w:rsidR="00DD6C35" w:rsidRPr="00DD6C35" w14:paraId="162FF582" w14:textId="77777777" w:rsidTr="000300F0">
        <w:trPr>
          <w:trHeight w:val="241"/>
          <w:jc w:val="center"/>
        </w:trPr>
        <w:tc>
          <w:tcPr>
            <w:tcW w:w="2562" w:type="dxa"/>
            <w:shd w:val="clear" w:color="auto" w:fill="auto"/>
            <w:noWrap/>
            <w:vAlign w:val="bottom"/>
            <w:hideMark/>
          </w:tcPr>
          <w:p w14:paraId="473B655E"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WBRE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4CACA482"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WILD BRUSH ENERGY INC</w:t>
            </w:r>
          </w:p>
        </w:tc>
      </w:tr>
      <w:tr w:rsidR="00DD6C35" w:rsidRPr="00DD6C35" w14:paraId="3BB11298" w14:textId="77777777" w:rsidTr="000300F0">
        <w:trPr>
          <w:trHeight w:val="241"/>
          <w:jc w:val="center"/>
        </w:trPr>
        <w:tc>
          <w:tcPr>
            <w:tcW w:w="2562" w:type="dxa"/>
            <w:shd w:val="clear" w:color="auto" w:fill="auto"/>
            <w:noWrap/>
            <w:vAlign w:val="bottom"/>
            <w:hideMark/>
          </w:tcPr>
          <w:p w14:paraId="48EA2D61"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NWPN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5ADBC212"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NOW CORP/THE</w:t>
            </w:r>
          </w:p>
        </w:tc>
      </w:tr>
      <w:tr w:rsidR="00DD6C35" w:rsidRPr="00DD6C35" w14:paraId="3528348C" w14:textId="77777777" w:rsidTr="000300F0">
        <w:trPr>
          <w:trHeight w:val="241"/>
          <w:jc w:val="center"/>
        </w:trPr>
        <w:tc>
          <w:tcPr>
            <w:tcW w:w="2562" w:type="dxa"/>
            <w:shd w:val="clear" w:color="auto" w:fill="auto"/>
            <w:noWrap/>
            <w:vAlign w:val="bottom"/>
            <w:hideMark/>
          </w:tcPr>
          <w:p w14:paraId="132313D5"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NEVE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43BC9836"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NEVO ENERGY INC</w:t>
            </w:r>
          </w:p>
        </w:tc>
      </w:tr>
      <w:tr w:rsidR="00DD6C35" w:rsidRPr="00DD6C35" w14:paraId="4FE6D0E5" w14:textId="77777777" w:rsidTr="000300F0">
        <w:trPr>
          <w:trHeight w:val="241"/>
          <w:jc w:val="center"/>
        </w:trPr>
        <w:tc>
          <w:tcPr>
            <w:tcW w:w="2562" w:type="dxa"/>
            <w:shd w:val="clear" w:color="auto" w:fill="auto"/>
            <w:noWrap/>
            <w:vAlign w:val="bottom"/>
            <w:hideMark/>
          </w:tcPr>
          <w:p w14:paraId="6274AC09"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CDJM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30F8B28E"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CARNEGIE DEVELOPMENT INC</w:t>
            </w:r>
          </w:p>
        </w:tc>
      </w:tr>
      <w:tr w:rsidR="00DD6C35" w:rsidRPr="00DD6C35" w14:paraId="6C363B87" w14:textId="77777777" w:rsidTr="000300F0">
        <w:trPr>
          <w:trHeight w:val="241"/>
          <w:jc w:val="center"/>
        </w:trPr>
        <w:tc>
          <w:tcPr>
            <w:tcW w:w="2562" w:type="dxa"/>
            <w:shd w:val="clear" w:color="auto" w:fill="auto"/>
            <w:noWrap/>
            <w:vAlign w:val="bottom"/>
            <w:hideMark/>
          </w:tcPr>
          <w:p w14:paraId="64E8BCD4"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MENC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4FA0F079"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MILLENNIUM ENERGY CORP</w:t>
            </w:r>
          </w:p>
        </w:tc>
      </w:tr>
      <w:tr w:rsidR="00DD6C35" w:rsidRPr="00DD6C35" w14:paraId="2331413E" w14:textId="77777777" w:rsidTr="000300F0">
        <w:trPr>
          <w:trHeight w:val="241"/>
          <w:jc w:val="center"/>
        </w:trPr>
        <w:tc>
          <w:tcPr>
            <w:tcW w:w="2562" w:type="dxa"/>
            <w:shd w:val="clear" w:color="auto" w:fill="auto"/>
            <w:noWrap/>
            <w:vAlign w:val="bottom"/>
            <w:hideMark/>
          </w:tcPr>
          <w:p w14:paraId="7796A79F"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 xml:space="preserve">SOPV US </w:t>
            </w:r>
            <w:proofErr w:type="spellStart"/>
            <w:r w:rsidRPr="00DD6C35">
              <w:rPr>
                <w:rFonts w:cs="Arial"/>
                <w:sz w:val="22"/>
                <w:szCs w:val="22"/>
                <w:lang w:val="es-CO" w:eastAsia="es-CO"/>
              </w:rPr>
              <w:t>Equity</w:t>
            </w:r>
            <w:proofErr w:type="spellEnd"/>
          </w:p>
        </w:tc>
        <w:tc>
          <w:tcPr>
            <w:tcW w:w="4627" w:type="dxa"/>
            <w:shd w:val="clear" w:color="auto" w:fill="auto"/>
            <w:noWrap/>
            <w:vAlign w:val="bottom"/>
            <w:hideMark/>
          </w:tcPr>
          <w:p w14:paraId="69A96915" w14:textId="77777777" w:rsidR="00DD6C35" w:rsidRPr="00DD6C35" w:rsidRDefault="00DD6C35" w:rsidP="00DD6C35">
            <w:pPr>
              <w:contextualSpacing w:val="0"/>
              <w:jc w:val="left"/>
              <w:rPr>
                <w:rFonts w:cs="Arial"/>
                <w:sz w:val="22"/>
                <w:szCs w:val="22"/>
                <w:lang w:val="es-CO" w:eastAsia="es-CO"/>
              </w:rPr>
            </w:pPr>
            <w:r w:rsidRPr="00DD6C35">
              <w:rPr>
                <w:rFonts w:cs="Arial"/>
                <w:sz w:val="22"/>
                <w:szCs w:val="22"/>
                <w:lang w:val="es-CO" w:eastAsia="es-CO"/>
              </w:rPr>
              <w:t>SOLAR PARK INITIATIVES INC</w:t>
            </w:r>
          </w:p>
        </w:tc>
      </w:tr>
    </w:tbl>
    <w:p w14:paraId="02B655EC" w14:textId="77777777" w:rsidR="00364D7C" w:rsidRDefault="00364D7C" w:rsidP="00900B70">
      <w:pPr>
        <w:rPr>
          <w:rFonts w:cs="Arial"/>
        </w:rPr>
      </w:pPr>
    </w:p>
    <w:p w14:paraId="39B72E73" w14:textId="77777777" w:rsidR="00900B70" w:rsidRDefault="00900B70" w:rsidP="00900B70">
      <w:pPr>
        <w:rPr>
          <w:rFonts w:cs="Arial"/>
        </w:rPr>
      </w:pPr>
      <w:r>
        <w:rPr>
          <w:rFonts w:cs="Arial"/>
        </w:rPr>
        <w:t>Al determinar la estructura de capital se tiene lo siguiente:</w:t>
      </w:r>
    </w:p>
    <w:p w14:paraId="437DBC7B" w14:textId="77777777" w:rsidR="00900B70" w:rsidRDefault="00900B70" w:rsidP="00900B70">
      <w:pPr>
        <w:rPr>
          <w:rFonts w:cs="Arial"/>
        </w:rPr>
      </w:pPr>
    </w:p>
    <w:p w14:paraId="49B49832" w14:textId="04A7F240" w:rsidR="00900B70" w:rsidRPr="00AF7240" w:rsidRDefault="00900B70" w:rsidP="00900B70">
      <w:pPr>
        <w:rPr>
          <w:rFonts w:cs="Arial"/>
        </w:rPr>
      </w:pPr>
      <m:oMathPara>
        <m:oMathParaPr>
          <m:jc m:val="left"/>
        </m:oMathParaPr>
        <m:oMath>
          <m:r>
            <w:rPr>
              <w:rFonts w:ascii="Cambria Math" w:eastAsiaTheme="minorEastAsia" w:hAnsi="Cambria Math" w:cs="Arial"/>
              <w:szCs w:val="22"/>
            </w:rPr>
            <m:t>Debt_Total=1.443.151</m:t>
          </m:r>
        </m:oMath>
      </m:oMathPara>
    </w:p>
    <w:p w14:paraId="303F8404" w14:textId="77777777" w:rsidR="00900B70" w:rsidRDefault="00900B70" w:rsidP="00900B70">
      <w:pPr>
        <w:rPr>
          <w:rFonts w:cs="Arial"/>
        </w:rPr>
      </w:pPr>
    </w:p>
    <w:p w14:paraId="0FB85CBB" w14:textId="3EC651B8" w:rsidR="00900B70" w:rsidRPr="00442F4A" w:rsidRDefault="00900B70" w:rsidP="00900B70">
      <w:pPr>
        <w:rPr>
          <w:rFonts w:cs="Arial"/>
        </w:rPr>
      </w:pPr>
      <m:oMathPara>
        <m:oMathParaPr>
          <m:jc m:val="left"/>
        </m:oMathParaPr>
        <m:oMath>
          <m:r>
            <w:rPr>
              <w:rFonts w:ascii="Cambria Math" w:eastAsiaTheme="minorEastAsia" w:hAnsi="Cambria Math" w:cs="Arial"/>
              <w:szCs w:val="22"/>
            </w:rPr>
            <m:t>Mkt_Cap_Total=1.595.587</m:t>
          </m:r>
        </m:oMath>
      </m:oMathPara>
    </w:p>
    <w:p w14:paraId="2ECA2C27" w14:textId="77777777" w:rsidR="00900B70" w:rsidRDefault="00900B70" w:rsidP="00900B70">
      <w:pPr>
        <w:rPr>
          <w:rFonts w:cs="Arial"/>
        </w:rPr>
      </w:pPr>
    </w:p>
    <w:p w14:paraId="1D0CB32E" w14:textId="0E1DC39D" w:rsidR="00900B70" w:rsidRDefault="00900B70" w:rsidP="00900B70">
      <w:pPr>
        <w:rPr>
          <w:rFonts w:cs="Arial"/>
        </w:rPr>
      </w:pPr>
      <m:oMathPara>
        <m:oMath>
          <m:r>
            <w:rPr>
              <w:rFonts w:ascii="Cambria Math" w:hAnsi="Cambria Math" w:cs="Arial"/>
              <w:sz w:val="22"/>
              <w:szCs w:val="22"/>
            </w:rPr>
            <m:t>Wd=</m:t>
          </m:r>
          <m:f>
            <m:fPr>
              <m:ctrlPr>
                <w:rPr>
                  <w:rFonts w:ascii="Cambria Math" w:eastAsiaTheme="minorEastAsia" w:hAnsi="Cambria Math" w:cs="Arial"/>
                  <w:i/>
                  <w:szCs w:val="22"/>
                </w:rPr>
              </m:ctrlPr>
            </m:fPr>
            <m:num>
              <m:r>
                <w:rPr>
                  <w:rFonts w:ascii="Cambria Math" w:eastAsiaTheme="minorEastAsia" w:hAnsi="Cambria Math" w:cs="Arial"/>
                  <w:szCs w:val="22"/>
                </w:rPr>
                <m:t>Debt_Total</m:t>
              </m:r>
            </m:num>
            <m:den>
              <m:r>
                <w:rPr>
                  <w:rFonts w:ascii="Cambria Math" w:eastAsiaTheme="minorEastAsia" w:hAnsi="Cambria Math" w:cs="Arial"/>
                  <w:szCs w:val="22"/>
                </w:rPr>
                <m:t>Debt_Total+Mkt_Cap_Total</m:t>
              </m:r>
            </m:den>
          </m:f>
          <m:r>
            <w:rPr>
              <w:rFonts w:ascii="Cambria Math" w:eastAsiaTheme="minorEastAsia" w:hAnsi="Cambria Math" w:cs="Arial"/>
              <w:szCs w:val="22"/>
            </w:rPr>
            <m:t>=</m:t>
          </m:r>
          <m:f>
            <m:fPr>
              <m:ctrlPr>
                <w:rPr>
                  <w:rFonts w:ascii="Cambria Math" w:eastAsiaTheme="minorEastAsia" w:hAnsi="Cambria Math" w:cs="Arial"/>
                  <w:i/>
                  <w:szCs w:val="22"/>
                </w:rPr>
              </m:ctrlPr>
            </m:fPr>
            <m:num>
              <m:r>
                <w:rPr>
                  <w:rFonts w:ascii="Cambria Math" w:eastAsiaTheme="minorEastAsia" w:hAnsi="Cambria Math" w:cs="Arial"/>
                  <w:szCs w:val="22"/>
                </w:rPr>
                <m:t>1.443.151</m:t>
              </m:r>
            </m:num>
            <m:den>
              <m:r>
                <w:rPr>
                  <w:rFonts w:ascii="Cambria Math" w:eastAsiaTheme="minorEastAsia" w:hAnsi="Cambria Math" w:cs="Arial"/>
                  <w:szCs w:val="22"/>
                </w:rPr>
                <m:t>3.038.739</m:t>
              </m:r>
            </m:den>
          </m:f>
          <m:r>
            <w:rPr>
              <w:rFonts w:ascii="Cambria Math" w:eastAsiaTheme="minorEastAsia" w:hAnsi="Cambria Math" w:cs="Arial"/>
              <w:szCs w:val="22"/>
            </w:rPr>
            <m:t>=47,49%</m:t>
          </m:r>
        </m:oMath>
      </m:oMathPara>
    </w:p>
    <w:p w14:paraId="0B42AB7A" w14:textId="77777777" w:rsidR="00900B70" w:rsidRPr="00ED0D9F" w:rsidRDefault="00900B70" w:rsidP="00900B70">
      <w:pPr>
        <w:rPr>
          <w:rFonts w:cs="Arial"/>
        </w:rPr>
      </w:pPr>
    </w:p>
    <w:p w14:paraId="17B930E7" w14:textId="0CA7CE0A" w:rsidR="00900B70" w:rsidRDefault="00900B70" w:rsidP="00900B70">
      <m:oMathPara>
        <m:oMath>
          <m:r>
            <w:rPr>
              <w:rFonts w:ascii="Cambria Math" w:hAnsi="Cambria Math" w:cs="Arial"/>
              <w:sz w:val="22"/>
              <w:szCs w:val="22"/>
            </w:rPr>
            <m:t>We=1-Wd=1-</m:t>
          </m:r>
          <m:r>
            <w:rPr>
              <w:rFonts w:ascii="Cambria Math" w:eastAsiaTheme="minorEastAsia" w:hAnsi="Cambria Math" w:cs="Arial"/>
              <w:szCs w:val="22"/>
            </w:rPr>
            <m:t>47,49</m:t>
          </m:r>
          <m:r>
            <w:rPr>
              <w:rFonts w:ascii="Cambria Math" w:hAnsi="Cambria Math" w:cs="Arial"/>
              <w:sz w:val="22"/>
              <w:szCs w:val="22"/>
            </w:rPr>
            <m:t>%=52,51%</m:t>
          </m:r>
        </m:oMath>
      </m:oMathPara>
    </w:p>
    <w:p w14:paraId="3695CFA2" w14:textId="77777777" w:rsidR="00900B70" w:rsidRDefault="00900B70" w:rsidP="00900B70"/>
    <w:p w14:paraId="2C4B38CB" w14:textId="77777777" w:rsidR="00900B70" w:rsidRDefault="00900B70" w:rsidP="00900B70"/>
    <w:p w14:paraId="5CCE8D66" w14:textId="77777777" w:rsidR="00900B70" w:rsidRDefault="00900B70" w:rsidP="00900B70">
      <w:r>
        <w:t xml:space="preserve">Para el cálculo </w:t>
      </w:r>
      <w:proofErr w:type="gramStart"/>
      <w:r>
        <w:t>del beta</w:t>
      </w:r>
      <w:proofErr w:type="gramEnd"/>
      <w:r>
        <w:t xml:space="preserve"> desapalancado se aplica la siguiente expresión:</w:t>
      </w:r>
    </w:p>
    <w:p w14:paraId="7B137118" w14:textId="77777777" w:rsidR="00900B70" w:rsidRDefault="00900B70" w:rsidP="00900B70"/>
    <w:p w14:paraId="33E6AD44" w14:textId="77777777" w:rsidR="00900B70" w:rsidRDefault="000300F0" w:rsidP="00900B70">
      <m:oMathPara>
        <m:oMath>
          <m:sSub>
            <m:sSubPr>
              <m:ctrlPr>
                <w:rPr>
                  <w:rFonts w:ascii="Cambria Math" w:eastAsiaTheme="minorEastAsia" w:hAnsi="Cambria Math" w:cs="Arial"/>
                  <w:i/>
                  <w:szCs w:val="22"/>
                </w:rPr>
              </m:ctrlPr>
            </m:sSubPr>
            <m:e>
              <m:r>
                <w:rPr>
                  <w:rFonts w:ascii="Cambria Math" w:eastAsiaTheme="minorEastAsia" w:hAnsi="Cambria Math" w:cs="Arial"/>
                  <w:szCs w:val="22"/>
                </w:rPr>
                <m:t>βU</m:t>
              </m:r>
            </m:e>
            <m:sub>
              <m:r>
                <w:rPr>
                  <w:rFonts w:ascii="Cambria Math" w:eastAsiaTheme="minorEastAsia" w:hAnsi="Cambria Math" w:cs="Arial"/>
                  <w:szCs w:val="22"/>
                </w:rPr>
                <m:t>a</m:t>
              </m:r>
              <m:r>
                <w:rPr>
                  <w:rFonts w:ascii="Cambria Math" w:eastAsiaTheme="minorEastAsia" w:hAnsi="Cambria Math" w:cs="Arial"/>
                  <w:szCs w:val="22"/>
                </w:rPr>
                <m:t>,</m:t>
              </m:r>
              <m:r>
                <w:rPr>
                  <w:rFonts w:ascii="Cambria Math" w:eastAsiaTheme="minorEastAsia" w:hAnsi="Cambria Math" w:cs="Arial"/>
                  <w:szCs w:val="22"/>
                </w:rPr>
                <m:t>τ</m:t>
              </m:r>
            </m:sub>
          </m:sSub>
          <m:r>
            <w:rPr>
              <w:rFonts w:ascii="Cambria Math" w:eastAsiaTheme="minorEastAsia" w:hAnsi="Cambria Math" w:cs="Arial"/>
              <w:szCs w:val="22"/>
            </w:rPr>
            <m:t>=</m:t>
          </m:r>
          <m:f>
            <m:fPr>
              <m:ctrlPr>
                <w:rPr>
                  <w:rFonts w:ascii="Cambria Math" w:eastAsiaTheme="minorEastAsia" w:hAnsi="Cambria Math" w:cs="Arial"/>
                  <w:i/>
                  <w:szCs w:val="22"/>
                </w:rPr>
              </m:ctrlPr>
            </m:fPr>
            <m:num>
              <m:f>
                <m:fPr>
                  <m:ctrlPr>
                    <w:rPr>
                      <w:rFonts w:ascii="Cambria Math" w:eastAsiaTheme="minorEastAsia" w:hAnsi="Cambria Math" w:cs="Arial"/>
                      <w:i/>
                      <w:szCs w:val="22"/>
                    </w:rPr>
                  </m:ctrlPr>
                </m:fPr>
                <m:num>
                  <m:nary>
                    <m:naryPr>
                      <m:chr m:val="∑"/>
                      <m:limLoc m:val="subSup"/>
                      <m:ctrlPr>
                        <w:rPr>
                          <w:rFonts w:ascii="Cambria Math" w:eastAsiaTheme="minorEastAsia" w:hAnsi="Cambria Math" w:cs="Arial"/>
                          <w:i/>
                          <w:szCs w:val="22"/>
                        </w:rPr>
                      </m:ctrlPr>
                    </m:naryPr>
                    <m:sub>
                      <m:r>
                        <w:rPr>
                          <w:rFonts w:ascii="Cambria Math" w:eastAsiaTheme="minorEastAsia" w:hAnsi="Cambria Math" w:cs="Arial"/>
                          <w:szCs w:val="22"/>
                        </w:rPr>
                        <m:t>i</m:t>
                      </m:r>
                      <m:r>
                        <w:rPr>
                          <w:rFonts w:ascii="Cambria Math" w:eastAsiaTheme="minorEastAsia" w:hAnsi="Cambria Math" w:cs="Arial"/>
                          <w:szCs w:val="22"/>
                        </w:rPr>
                        <m:t>=1</m:t>
                      </m:r>
                    </m:sub>
                    <m:sup>
                      <m:r>
                        <w:rPr>
                          <w:rFonts w:ascii="Cambria Math" w:eastAsiaTheme="minorEastAsia" w:hAnsi="Cambria Math" w:cs="Arial"/>
                          <w:szCs w:val="22"/>
                        </w:rPr>
                        <m:t>NE</m:t>
                      </m:r>
                    </m:sup>
                    <m:e>
                      <m:sSub>
                        <m:sSubPr>
                          <m:ctrlPr>
                            <w:rPr>
                              <w:rFonts w:ascii="Cambria Math" w:eastAsiaTheme="minorEastAsia" w:hAnsi="Cambria Math" w:cs="Arial"/>
                              <w:i/>
                              <w:szCs w:val="22"/>
                            </w:rPr>
                          </m:ctrlPr>
                        </m:sSubPr>
                        <m:e>
                          <m:r>
                            <w:rPr>
                              <w:rFonts w:ascii="Cambria Math" w:eastAsiaTheme="minorEastAsia" w:hAnsi="Cambria Math" w:cs="Arial"/>
                              <w:szCs w:val="22"/>
                            </w:rPr>
                            <m:t>β</m:t>
                          </m:r>
                        </m:e>
                        <m:sub>
                          <m:r>
                            <w:rPr>
                              <w:rFonts w:ascii="Cambria Math" w:eastAsiaTheme="minorEastAsia" w:hAnsi="Cambria Math" w:cs="Arial"/>
                              <w:szCs w:val="22"/>
                            </w:rPr>
                            <m:t>i</m:t>
                          </m:r>
                        </m:sub>
                      </m:sSub>
                      <m:r>
                        <w:rPr>
                          <w:rFonts w:ascii="Cambria Math" w:eastAsiaTheme="minorEastAsia" w:hAnsi="Cambria Math" w:cs="Arial"/>
                          <w:szCs w:val="22"/>
                        </w:rPr>
                        <m:t>*</m:t>
                      </m:r>
                      <m:r>
                        <w:rPr>
                          <w:rFonts w:ascii="Cambria Math" w:eastAsiaTheme="minorEastAsia" w:hAnsi="Cambria Math" w:cs="Arial"/>
                          <w:szCs w:val="22"/>
                        </w:rPr>
                        <m:t>Mk</m:t>
                      </m:r>
                      <m:sSub>
                        <m:sSubPr>
                          <m:ctrlPr>
                            <w:rPr>
                              <w:rFonts w:ascii="Cambria Math" w:eastAsiaTheme="minorEastAsia" w:hAnsi="Cambria Math" w:cs="Arial"/>
                              <w:i/>
                              <w:szCs w:val="22"/>
                            </w:rPr>
                          </m:ctrlPr>
                        </m:sSubPr>
                        <m:e>
                          <m:r>
                            <w:rPr>
                              <w:rFonts w:ascii="Cambria Math" w:eastAsiaTheme="minorEastAsia" w:hAnsi="Cambria Math" w:cs="Arial"/>
                              <w:szCs w:val="22"/>
                            </w:rPr>
                            <m:t>t</m:t>
                          </m:r>
                        </m:e>
                        <m:sub>
                          <m:r>
                            <w:rPr>
                              <w:rFonts w:ascii="Cambria Math" w:eastAsiaTheme="minorEastAsia" w:hAnsi="Cambria Math" w:cs="Arial"/>
                              <w:szCs w:val="22"/>
                            </w:rPr>
                            <m:t>-</m:t>
                          </m:r>
                        </m:sub>
                      </m:sSub>
                      <m:r>
                        <w:rPr>
                          <w:rFonts w:ascii="Cambria Math" w:eastAsiaTheme="minorEastAsia" w:hAnsi="Cambria Math" w:cs="Arial"/>
                          <w:szCs w:val="22"/>
                        </w:rPr>
                        <m:t>Ca</m:t>
                      </m:r>
                      <m:sSub>
                        <m:sSubPr>
                          <m:ctrlPr>
                            <w:rPr>
                              <w:rFonts w:ascii="Cambria Math" w:eastAsiaTheme="minorEastAsia" w:hAnsi="Cambria Math" w:cs="Arial"/>
                              <w:i/>
                              <w:szCs w:val="22"/>
                            </w:rPr>
                          </m:ctrlPr>
                        </m:sSubPr>
                        <m:e>
                          <m:r>
                            <w:rPr>
                              <w:rFonts w:ascii="Cambria Math" w:eastAsiaTheme="minorEastAsia" w:hAnsi="Cambria Math" w:cs="Arial"/>
                              <w:szCs w:val="22"/>
                            </w:rPr>
                            <m:t>p</m:t>
                          </m:r>
                        </m:e>
                        <m:sub>
                          <m:r>
                            <w:rPr>
                              <w:rFonts w:ascii="Cambria Math" w:eastAsiaTheme="minorEastAsia" w:hAnsi="Cambria Math" w:cs="Arial"/>
                              <w:szCs w:val="22"/>
                            </w:rPr>
                            <m:t>i</m:t>
                          </m:r>
                        </m:sub>
                      </m:sSub>
                    </m:e>
                  </m:nary>
                </m:num>
                <m:den>
                  <m:r>
                    <w:rPr>
                      <w:rFonts w:ascii="Cambria Math" w:eastAsiaTheme="minorEastAsia" w:hAnsi="Cambria Math" w:cs="Arial"/>
                      <w:szCs w:val="22"/>
                    </w:rPr>
                    <m:t>Mkt</m:t>
                  </m:r>
                  <m:r>
                    <w:rPr>
                      <w:rFonts w:ascii="Cambria Math" w:eastAsiaTheme="minorEastAsia" w:hAnsi="Cambria Math" w:cs="Arial"/>
                      <w:szCs w:val="22"/>
                    </w:rPr>
                    <m:t>_</m:t>
                  </m:r>
                  <m:r>
                    <w:rPr>
                      <w:rFonts w:ascii="Cambria Math" w:eastAsiaTheme="minorEastAsia" w:hAnsi="Cambria Math" w:cs="Arial"/>
                      <w:szCs w:val="22"/>
                    </w:rPr>
                    <m:t>Cap</m:t>
                  </m:r>
                  <m:r>
                    <w:rPr>
                      <w:rFonts w:ascii="Cambria Math" w:eastAsiaTheme="minorEastAsia" w:hAnsi="Cambria Math" w:cs="Arial"/>
                      <w:szCs w:val="22"/>
                    </w:rPr>
                    <m:t>_</m:t>
                  </m:r>
                  <m:r>
                    <w:rPr>
                      <w:rFonts w:ascii="Cambria Math" w:eastAsiaTheme="minorEastAsia" w:hAnsi="Cambria Math" w:cs="Arial"/>
                      <w:szCs w:val="22"/>
                    </w:rPr>
                    <m:t>Total</m:t>
                  </m:r>
                  <m:r>
                    <w:rPr>
                      <w:rFonts w:ascii="Cambria Math" w:eastAsiaTheme="minorEastAsia" w:hAnsi="Cambria Math" w:cs="Arial"/>
                      <w:szCs w:val="22"/>
                    </w:rPr>
                    <m:t xml:space="preserve"> </m:t>
                  </m:r>
                </m:den>
              </m:f>
            </m:num>
            <m:den>
              <m:d>
                <m:dPr>
                  <m:ctrlPr>
                    <w:rPr>
                      <w:rFonts w:ascii="Cambria Math" w:eastAsiaTheme="minorEastAsia" w:hAnsi="Cambria Math" w:cs="Arial"/>
                      <w:i/>
                      <w:szCs w:val="22"/>
                    </w:rPr>
                  </m:ctrlPr>
                </m:dPr>
                <m:e>
                  <m:r>
                    <w:rPr>
                      <w:rFonts w:ascii="Cambria Math" w:eastAsiaTheme="minorEastAsia" w:hAnsi="Cambria Math" w:cs="Arial"/>
                      <w:szCs w:val="22"/>
                    </w:rPr>
                    <m:t>1+</m:t>
                  </m:r>
                  <m:d>
                    <m:dPr>
                      <m:ctrlPr>
                        <w:rPr>
                          <w:rFonts w:ascii="Cambria Math" w:eastAsiaTheme="minorEastAsia" w:hAnsi="Cambria Math" w:cs="Arial"/>
                          <w:i/>
                          <w:szCs w:val="22"/>
                        </w:rPr>
                      </m:ctrlPr>
                    </m:dPr>
                    <m:e>
                      <m:r>
                        <w:rPr>
                          <w:rFonts w:ascii="Cambria Math" w:eastAsiaTheme="minorEastAsia" w:hAnsi="Cambria Math" w:cs="Arial"/>
                          <w:szCs w:val="22"/>
                        </w:rPr>
                        <m:t>1-</m:t>
                      </m:r>
                      <m:r>
                        <w:rPr>
                          <w:rFonts w:ascii="Cambria Math" w:eastAsiaTheme="minorEastAsia" w:hAnsi="Cambria Math" w:cs="Arial"/>
                          <w:szCs w:val="22"/>
                        </w:rPr>
                        <m:t>Corp</m:t>
                      </m:r>
                      <m:r>
                        <w:rPr>
                          <w:rFonts w:ascii="Cambria Math" w:eastAsiaTheme="minorEastAsia" w:hAnsi="Cambria Math" w:cs="Arial"/>
                          <w:szCs w:val="22"/>
                        </w:rPr>
                        <m:t>_</m:t>
                      </m:r>
                      <m:r>
                        <w:rPr>
                          <w:rFonts w:ascii="Cambria Math" w:eastAsiaTheme="minorEastAsia" w:hAnsi="Cambria Math" w:cs="Arial"/>
                          <w:szCs w:val="22"/>
                        </w:rPr>
                        <m:t>Tax</m:t>
                      </m:r>
                    </m:e>
                  </m:d>
                  <m:f>
                    <m:fPr>
                      <m:ctrlPr>
                        <w:rPr>
                          <w:rFonts w:ascii="Cambria Math" w:eastAsiaTheme="minorEastAsia" w:hAnsi="Cambria Math" w:cs="Arial"/>
                          <w:i/>
                          <w:szCs w:val="22"/>
                        </w:rPr>
                      </m:ctrlPr>
                    </m:fPr>
                    <m:num>
                      <m:r>
                        <w:rPr>
                          <w:rFonts w:ascii="Cambria Math" w:eastAsiaTheme="minorEastAsia" w:hAnsi="Cambria Math" w:cs="Arial"/>
                          <w:szCs w:val="22"/>
                        </w:rPr>
                        <m:t>Debt</m:t>
                      </m:r>
                      <m:r>
                        <w:rPr>
                          <w:rFonts w:ascii="Cambria Math" w:eastAsiaTheme="minorEastAsia" w:hAnsi="Cambria Math" w:cs="Arial"/>
                          <w:szCs w:val="22"/>
                        </w:rPr>
                        <m:t>_</m:t>
                      </m:r>
                      <m:r>
                        <w:rPr>
                          <w:rFonts w:ascii="Cambria Math" w:eastAsiaTheme="minorEastAsia" w:hAnsi="Cambria Math" w:cs="Arial"/>
                          <w:szCs w:val="22"/>
                        </w:rPr>
                        <m:t>Total</m:t>
                      </m:r>
                    </m:num>
                    <m:den>
                      <m:r>
                        <w:rPr>
                          <w:rFonts w:ascii="Cambria Math" w:eastAsiaTheme="minorEastAsia" w:hAnsi="Cambria Math" w:cs="Arial"/>
                          <w:szCs w:val="22"/>
                        </w:rPr>
                        <m:t>Mkt</m:t>
                      </m:r>
                      <m:r>
                        <w:rPr>
                          <w:rFonts w:ascii="Cambria Math" w:eastAsiaTheme="minorEastAsia" w:hAnsi="Cambria Math" w:cs="Arial"/>
                          <w:szCs w:val="22"/>
                        </w:rPr>
                        <m:t>_</m:t>
                      </m:r>
                      <m:r>
                        <w:rPr>
                          <w:rFonts w:ascii="Cambria Math" w:eastAsiaTheme="minorEastAsia" w:hAnsi="Cambria Math" w:cs="Arial"/>
                          <w:szCs w:val="22"/>
                        </w:rPr>
                        <m:t>Cap</m:t>
                      </m:r>
                      <m:r>
                        <w:rPr>
                          <w:rFonts w:ascii="Cambria Math" w:eastAsiaTheme="minorEastAsia" w:hAnsi="Cambria Math" w:cs="Arial"/>
                          <w:szCs w:val="22"/>
                        </w:rPr>
                        <m:t>_</m:t>
                      </m:r>
                      <m:r>
                        <w:rPr>
                          <w:rFonts w:ascii="Cambria Math" w:eastAsiaTheme="minorEastAsia" w:hAnsi="Cambria Math" w:cs="Arial"/>
                          <w:szCs w:val="22"/>
                        </w:rPr>
                        <m:t>Total</m:t>
                      </m:r>
                    </m:den>
                  </m:f>
                </m:e>
              </m:d>
            </m:den>
          </m:f>
        </m:oMath>
      </m:oMathPara>
    </w:p>
    <w:p w14:paraId="3391D3CF" w14:textId="77777777" w:rsidR="00900B70" w:rsidRDefault="00900B70" w:rsidP="00900B70"/>
    <w:p w14:paraId="7C777853" w14:textId="77777777" w:rsidR="00900B70" w:rsidRDefault="00900B70" w:rsidP="00900B70">
      <w:pPr>
        <w:pStyle w:val="Descripcin"/>
      </w:pPr>
      <w:bookmarkStart w:id="34" w:name="_Toc142896785"/>
      <w:r>
        <w:t xml:space="preserve">Tabla </w:t>
      </w:r>
      <w:r>
        <w:fldChar w:fldCharType="begin"/>
      </w:r>
      <w:r>
        <w:instrText xml:space="preserve"> SEQ Tabla \* ARABIC </w:instrText>
      </w:r>
      <w:r>
        <w:fldChar w:fldCharType="separate"/>
      </w:r>
      <w:r>
        <w:rPr>
          <w:noProof/>
        </w:rPr>
        <w:t>4</w:t>
      </w:r>
      <w:r>
        <w:fldChar w:fldCharType="end"/>
      </w:r>
      <w:r>
        <w:t>. Betas y ponderadores para las empresas de la canasta</w:t>
      </w:r>
      <w:bookmarkEnd w:id="34"/>
    </w:p>
    <w:tbl>
      <w:tblPr>
        <w:tblW w:w="5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9"/>
        <w:gridCol w:w="1755"/>
        <w:gridCol w:w="1694"/>
      </w:tblGrid>
      <w:tr w:rsidR="00DC4985" w:rsidRPr="00DC4985" w14:paraId="1239CB71" w14:textId="77777777" w:rsidTr="000300F0">
        <w:trPr>
          <w:trHeight w:val="392"/>
          <w:jc w:val="center"/>
        </w:trPr>
        <w:tc>
          <w:tcPr>
            <w:tcW w:w="2439" w:type="dxa"/>
            <w:shd w:val="clear" w:color="000000" w:fill="44546A"/>
            <w:noWrap/>
            <w:vAlign w:val="center"/>
            <w:hideMark/>
          </w:tcPr>
          <w:p w14:paraId="3CBC1753" w14:textId="77777777" w:rsidR="00DC4985" w:rsidRPr="00DC4985" w:rsidRDefault="00DC4985" w:rsidP="00AC0DEB">
            <w:pPr>
              <w:contextualSpacing w:val="0"/>
              <w:jc w:val="center"/>
              <w:rPr>
                <w:rFonts w:cs="Arial"/>
                <w:b/>
                <w:bCs/>
                <w:i/>
                <w:iCs/>
                <w:color w:val="FFFFFF"/>
                <w:sz w:val="22"/>
                <w:szCs w:val="22"/>
                <w:lang w:val="es-CO" w:eastAsia="es-CO"/>
              </w:rPr>
            </w:pPr>
            <w:proofErr w:type="spellStart"/>
            <w:r w:rsidRPr="00DC4985">
              <w:rPr>
                <w:rFonts w:cs="Arial"/>
                <w:b/>
                <w:bCs/>
                <w:i/>
                <w:iCs/>
                <w:color w:val="FFFFFF"/>
                <w:sz w:val="22"/>
                <w:szCs w:val="22"/>
                <w:lang w:val="es-CO" w:eastAsia="es-CO"/>
              </w:rPr>
              <w:t>Ticker</w:t>
            </w:r>
            <w:proofErr w:type="spellEnd"/>
          </w:p>
        </w:tc>
        <w:tc>
          <w:tcPr>
            <w:tcW w:w="1755" w:type="dxa"/>
            <w:shd w:val="clear" w:color="000000" w:fill="44546A"/>
            <w:noWrap/>
            <w:vAlign w:val="center"/>
            <w:hideMark/>
          </w:tcPr>
          <w:p w14:paraId="69601BC3" w14:textId="77777777" w:rsidR="00DC4985" w:rsidRPr="00DC4985" w:rsidRDefault="00DC4985" w:rsidP="00AC0DEB">
            <w:pPr>
              <w:contextualSpacing w:val="0"/>
              <w:jc w:val="center"/>
              <w:rPr>
                <w:rFonts w:cs="Arial"/>
                <w:b/>
                <w:bCs/>
                <w:i/>
                <w:iCs/>
                <w:color w:val="FFFFFF"/>
                <w:sz w:val="22"/>
                <w:szCs w:val="22"/>
                <w:lang w:val="es-CO" w:eastAsia="es-CO"/>
              </w:rPr>
            </w:pPr>
            <w:r w:rsidRPr="00DC4985">
              <w:rPr>
                <w:rFonts w:cs="Arial"/>
                <w:b/>
                <w:bCs/>
                <w:i/>
                <w:iCs/>
                <w:color w:val="FFFFFF"/>
                <w:sz w:val="22"/>
                <w:szCs w:val="22"/>
                <w:lang w:val="es-CO" w:eastAsia="es-CO"/>
              </w:rPr>
              <w:t>β</w:t>
            </w:r>
            <w:r w:rsidRPr="00DC4985">
              <w:rPr>
                <w:rFonts w:cs="Arial"/>
                <w:color w:val="000000"/>
                <w:sz w:val="22"/>
                <w:szCs w:val="22"/>
                <w:vertAlign w:val="subscript"/>
                <w:lang w:val="es-CO" w:eastAsia="es-CO"/>
              </w:rPr>
              <w:t>i</w:t>
            </w:r>
          </w:p>
        </w:tc>
        <w:tc>
          <w:tcPr>
            <w:tcW w:w="1694" w:type="dxa"/>
            <w:shd w:val="clear" w:color="000000" w:fill="44546A"/>
            <w:noWrap/>
            <w:vAlign w:val="center"/>
            <w:hideMark/>
          </w:tcPr>
          <w:p w14:paraId="2716013A" w14:textId="77777777" w:rsidR="00DC4985" w:rsidRPr="00DC4985" w:rsidRDefault="00DC4985" w:rsidP="00DC4985">
            <w:pPr>
              <w:contextualSpacing w:val="0"/>
              <w:jc w:val="left"/>
              <w:rPr>
                <w:rFonts w:cs="Arial"/>
                <w:b/>
                <w:bCs/>
                <w:i/>
                <w:iCs/>
                <w:color w:val="FFFFFF"/>
                <w:sz w:val="22"/>
                <w:szCs w:val="22"/>
                <w:lang w:val="es-CO" w:eastAsia="es-CO"/>
              </w:rPr>
            </w:pPr>
            <w:r w:rsidRPr="00DC4985">
              <w:rPr>
                <w:rFonts w:cs="Arial"/>
                <w:b/>
                <w:bCs/>
                <w:i/>
                <w:iCs/>
                <w:color w:val="FFFFFF"/>
                <w:sz w:val="22"/>
                <w:szCs w:val="22"/>
                <w:lang w:val="es-CO" w:eastAsia="es-CO"/>
              </w:rPr>
              <w:t>Ponderador</w:t>
            </w:r>
          </w:p>
        </w:tc>
      </w:tr>
      <w:tr w:rsidR="00DC4985" w:rsidRPr="00DC4985" w14:paraId="14D97344" w14:textId="77777777" w:rsidTr="000300F0">
        <w:trPr>
          <w:trHeight w:val="255"/>
          <w:jc w:val="center"/>
        </w:trPr>
        <w:tc>
          <w:tcPr>
            <w:tcW w:w="2439" w:type="dxa"/>
            <w:shd w:val="clear" w:color="auto" w:fill="auto"/>
            <w:noWrap/>
            <w:vAlign w:val="bottom"/>
            <w:hideMark/>
          </w:tcPr>
          <w:p w14:paraId="4E3E5876"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BEPC CN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1A40BE1A"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0,6908053</w:t>
            </w:r>
          </w:p>
        </w:tc>
        <w:tc>
          <w:tcPr>
            <w:tcW w:w="1694" w:type="dxa"/>
            <w:shd w:val="clear" w:color="auto" w:fill="auto"/>
            <w:noWrap/>
            <w:vAlign w:val="bottom"/>
            <w:hideMark/>
          </w:tcPr>
          <w:p w14:paraId="40C9B2B4"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33,45%</w:t>
            </w:r>
          </w:p>
        </w:tc>
      </w:tr>
      <w:tr w:rsidR="00DC4985" w:rsidRPr="00DC4985" w14:paraId="5EA57638" w14:textId="77777777" w:rsidTr="000300F0">
        <w:trPr>
          <w:trHeight w:val="255"/>
          <w:jc w:val="center"/>
        </w:trPr>
        <w:tc>
          <w:tcPr>
            <w:tcW w:w="2439" w:type="dxa"/>
            <w:shd w:val="clear" w:color="auto" w:fill="auto"/>
            <w:noWrap/>
            <w:vAlign w:val="bottom"/>
            <w:hideMark/>
          </w:tcPr>
          <w:p w14:paraId="7527C34E"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CWEN/A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6D3E1AC8"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0,794732155</w:t>
            </w:r>
          </w:p>
        </w:tc>
        <w:tc>
          <w:tcPr>
            <w:tcW w:w="1694" w:type="dxa"/>
            <w:shd w:val="clear" w:color="auto" w:fill="auto"/>
            <w:noWrap/>
            <w:vAlign w:val="bottom"/>
            <w:hideMark/>
          </w:tcPr>
          <w:p w14:paraId="029664CB"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19,37%</w:t>
            </w:r>
          </w:p>
        </w:tc>
      </w:tr>
      <w:tr w:rsidR="00DC4985" w:rsidRPr="00DC4985" w14:paraId="0B621F49" w14:textId="77777777" w:rsidTr="000300F0">
        <w:trPr>
          <w:trHeight w:val="255"/>
          <w:jc w:val="center"/>
        </w:trPr>
        <w:tc>
          <w:tcPr>
            <w:tcW w:w="2439" w:type="dxa"/>
            <w:shd w:val="clear" w:color="auto" w:fill="auto"/>
            <w:noWrap/>
            <w:vAlign w:val="bottom"/>
            <w:hideMark/>
          </w:tcPr>
          <w:p w14:paraId="0CB51E36"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ORA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1CC70420"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0,436100133</w:t>
            </w:r>
          </w:p>
        </w:tc>
        <w:tc>
          <w:tcPr>
            <w:tcW w:w="1694" w:type="dxa"/>
            <w:shd w:val="clear" w:color="auto" w:fill="auto"/>
            <w:noWrap/>
            <w:vAlign w:val="bottom"/>
            <w:hideMark/>
          </w:tcPr>
          <w:p w14:paraId="19F5F26E"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15,01%</w:t>
            </w:r>
          </w:p>
        </w:tc>
      </w:tr>
      <w:tr w:rsidR="00DC4985" w:rsidRPr="00DC4985" w14:paraId="3B29E436" w14:textId="77777777" w:rsidTr="000300F0">
        <w:trPr>
          <w:trHeight w:val="255"/>
          <w:jc w:val="center"/>
        </w:trPr>
        <w:tc>
          <w:tcPr>
            <w:tcW w:w="2439" w:type="dxa"/>
            <w:shd w:val="clear" w:color="auto" w:fill="auto"/>
            <w:noWrap/>
            <w:vAlign w:val="bottom"/>
            <w:hideMark/>
          </w:tcPr>
          <w:p w14:paraId="4E56E545"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NEP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6B87AA9A"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0,854458167</w:t>
            </w:r>
          </w:p>
        </w:tc>
        <w:tc>
          <w:tcPr>
            <w:tcW w:w="1694" w:type="dxa"/>
            <w:shd w:val="clear" w:color="auto" w:fill="auto"/>
            <w:noWrap/>
            <w:vAlign w:val="bottom"/>
            <w:hideMark/>
          </w:tcPr>
          <w:p w14:paraId="4EA8C211"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17,48%</w:t>
            </w:r>
          </w:p>
        </w:tc>
      </w:tr>
      <w:tr w:rsidR="00DC4985" w:rsidRPr="00DC4985" w14:paraId="00B9EB79" w14:textId="77777777" w:rsidTr="000300F0">
        <w:trPr>
          <w:trHeight w:val="255"/>
          <w:jc w:val="center"/>
        </w:trPr>
        <w:tc>
          <w:tcPr>
            <w:tcW w:w="2439" w:type="dxa"/>
            <w:shd w:val="clear" w:color="auto" w:fill="auto"/>
            <w:noWrap/>
            <w:vAlign w:val="bottom"/>
            <w:hideMark/>
          </w:tcPr>
          <w:p w14:paraId="5124C3E2"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NOVA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40FF4709"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2,023785287</w:t>
            </w:r>
          </w:p>
        </w:tc>
        <w:tc>
          <w:tcPr>
            <w:tcW w:w="1694" w:type="dxa"/>
            <w:shd w:val="clear" w:color="auto" w:fill="auto"/>
            <w:noWrap/>
            <w:vAlign w:val="bottom"/>
            <w:hideMark/>
          </w:tcPr>
          <w:p w14:paraId="1C54EAA1"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7,67%</w:t>
            </w:r>
          </w:p>
        </w:tc>
      </w:tr>
      <w:tr w:rsidR="00DC4985" w:rsidRPr="00DC4985" w14:paraId="286B23FC" w14:textId="77777777" w:rsidTr="000300F0">
        <w:trPr>
          <w:trHeight w:val="255"/>
          <w:jc w:val="center"/>
        </w:trPr>
        <w:tc>
          <w:tcPr>
            <w:tcW w:w="2439" w:type="dxa"/>
            <w:shd w:val="clear" w:color="auto" w:fill="auto"/>
            <w:noWrap/>
            <w:vAlign w:val="bottom"/>
            <w:hideMark/>
          </w:tcPr>
          <w:p w14:paraId="778B3148"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MNTK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2A1A5729"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-0,249107655</w:t>
            </w:r>
          </w:p>
        </w:tc>
        <w:tc>
          <w:tcPr>
            <w:tcW w:w="1694" w:type="dxa"/>
            <w:shd w:val="clear" w:color="auto" w:fill="auto"/>
            <w:noWrap/>
            <w:vAlign w:val="bottom"/>
            <w:hideMark/>
          </w:tcPr>
          <w:p w14:paraId="4F8E7D56"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2,96%</w:t>
            </w:r>
          </w:p>
        </w:tc>
      </w:tr>
      <w:tr w:rsidR="00DC4985" w:rsidRPr="00DC4985" w14:paraId="449C5111" w14:textId="77777777" w:rsidTr="000300F0">
        <w:trPr>
          <w:trHeight w:val="255"/>
          <w:jc w:val="center"/>
        </w:trPr>
        <w:tc>
          <w:tcPr>
            <w:tcW w:w="2439" w:type="dxa"/>
            <w:shd w:val="clear" w:color="auto" w:fill="auto"/>
            <w:noWrap/>
            <w:vAlign w:val="bottom"/>
            <w:hideMark/>
          </w:tcPr>
          <w:p w14:paraId="315048EC"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AMPS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58FB9C55"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0,745187095</w:t>
            </w:r>
          </w:p>
        </w:tc>
        <w:tc>
          <w:tcPr>
            <w:tcW w:w="1694" w:type="dxa"/>
            <w:shd w:val="clear" w:color="auto" w:fill="auto"/>
            <w:noWrap/>
            <w:vAlign w:val="bottom"/>
            <w:hideMark/>
          </w:tcPr>
          <w:p w14:paraId="47A94A83"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1,77%</w:t>
            </w:r>
          </w:p>
        </w:tc>
      </w:tr>
      <w:tr w:rsidR="00DC4985" w:rsidRPr="00DC4985" w14:paraId="7B98FC25" w14:textId="77777777" w:rsidTr="000300F0">
        <w:trPr>
          <w:trHeight w:val="255"/>
          <w:jc w:val="center"/>
        </w:trPr>
        <w:tc>
          <w:tcPr>
            <w:tcW w:w="2439" w:type="dxa"/>
            <w:shd w:val="clear" w:color="auto" w:fill="auto"/>
            <w:noWrap/>
            <w:vAlign w:val="bottom"/>
            <w:hideMark/>
          </w:tcPr>
          <w:p w14:paraId="3BDECBF9"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HNOI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5FB34D4A"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1,698084964</w:t>
            </w:r>
          </w:p>
        </w:tc>
        <w:tc>
          <w:tcPr>
            <w:tcW w:w="1694" w:type="dxa"/>
            <w:shd w:val="clear" w:color="auto" w:fill="auto"/>
            <w:noWrap/>
            <w:vAlign w:val="bottom"/>
            <w:hideMark/>
          </w:tcPr>
          <w:p w14:paraId="7CA907B1"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0,03%</w:t>
            </w:r>
          </w:p>
        </w:tc>
      </w:tr>
      <w:tr w:rsidR="00DC4985" w:rsidRPr="00DC4985" w14:paraId="504F681C" w14:textId="77777777" w:rsidTr="000300F0">
        <w:trPr>
          <w:trHeight w:val="255"/>
          <w:jc w:val="center"/>
        </w:trPr>
        <w:tc>
          <w:tcPr>
            <w:tcW w:w="2439" w:type="dxa"/>
            <w:shd w:val="clear" w:color="auto" w:fill="auto"/>
            <w:noWrap/>
            <w:vAlign w:val="bottom"/>
            <w:hideMark/>
          </w:tcPr>
          <w:p w14:paraId="370E188B"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SPRU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7FC4C4FB"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1,253057096</w:t>
            </w:r>
          </w:p>
        </w:tc>
        <w:tc>
          <w:tcPr>
            <w:tcW w:w="1694" w:type="dxa"/>
            <w:shd w:val="clear" w:color="auto" w:fill="auto"/>
            <w:noWrap/>
            <w:vAlign w:val="bottom"/>
            <w:hideMark/>
          </w:tcPr>
          <w:p w14:paraId="3AC5C626"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1,54%</w:t>
            </w:r>
          </w:p>
        </w:tc>
      </w:tr>
      <w:tr w:rsidR="00DC4985" w:rsidRPr="00DC4985" w14:paraId="79F196B9" w14:textId="77777777" w:rsidTr="000300F0">
        <w:trPr>
          <w:trHeight w:val="255"/>
          <w:jc w:val="center"/>
        </w:trPr>
        <w:tc>
          <w:tcPr>
            <w:tcW w:w="2439" w:type="dxa"/>
            <w:shd w:val="clear" w:color="auto" w:fill="auto"/>
            <w:noWrap/>
            <w:vAlign w:val="bottom"/>
            <w:hideMark/>
          </w:tcPr>
          <w:p w14:paraId="1159DEE1"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FNEC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7A01345F"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-2,449526947</w:t>
            </w:r>
          </w:p>
        </w:tc>
        <w:tc>
          <w:tcPr>
            <w:tcW w:w="1694" w:type="dxa"/>
            <w:shd w:val="clear" w:color="auto" w:fill="auto"/>
            <w:noWrap/>
            <w:vAlign w:val="bottom"/>
            <w:hideMark/>
          </w:tcPr>
          <w:p w14:paraId="1B432510"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0,34%</w:t>
            </w:r>
          </w:p>
        </w:tc>
      </w:tr>
      <w:tr w:rsidR="00DC4985" w:rsidRPr="00DC4985" w14:paraId="5E22B5FC" w14:textId="77777777" w:rsidTr="000300F0">
        <w:trPr>
          <w:trHeight w:val="255"/>
          <w:jc w:val="center"/>
        </w:trPr>
        <w:tc>
          <w:tcPr>
            <w:tcW w:w="2439" w:type="dxa"/>
            <w:shd w:val="clear" w:color="auto" w:fill="auto"/>
            <w:noWrap/>
            <w:vAlign w:val="bottom"/>
            <w:hideMark/>
          </w:tcPr>
          <w:p w14:paraId="44303516"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PWCO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0268C0B5"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0,911060951</w:t>
            </w:r>
          </w:p>
        </w:tc>
        <w:tc>
          <w:tcPr>
            <w:tcW w:w="1694" w:type="dxa"/>
            <w:shd w:val="clear" w:color="auto" w:fill="auto"/>
            <w:noWrap/>
            <w:vAlign w:val="bottom"/>
            <w:hideMark/>
          </w:tcPr>
          <w:p w14:paraId="07B5A25E"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0,08%</w:t>
            </w:r>
          </w:p>
        </w:tc>
      </w:tr>
      <w:tr w:rsidR="00DC4985" w:rsidRPr="00DC4985" w14:paraId="234CEF63" w14:textId="77777777" w:rsidTr="000300F0">
        <w:trPr>
          <w:trHeight w:val="255"/>
          <w:jc w:val="center"/>
        </w:trPr>
        <w:tc>
          <w:tcPr>
            <w:tcW w:w="2439" w:type="dxa"/>
            <w:shd w:val="clear" w:color="auto" w:fill="auto"/>
            <w:noWrap/>
            <w:vAlign w:val="bottom"/>
            <w:hideMark/>
          </w:tcPr>
          <w:p w14:paraId="74AC5A1A"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FWFW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723F4AB9"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1,286826253</w:t>
            </w:r>
          </w:p>
        </w:tc>
        <w:tc>
          <w:tcPr>
            <w:tcW w:w="1694" w:type="dxa"/>
            <w:shd w:val="clear" w:color="auto" w:fill="auto"/>
            <w:noWrap/>
            <w:vAlign w:val="bottom"/>
            <w:hideMark/>
          </w:tcPr>
          <w:p w14:paraId="01227E1E"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0,01%</w:t>
            </w:r>
          </w:p>
        </w:tc>
      </w:tr>
      <w:tr w:rsidR="00DC4985" w:rsidRPr="00DC4985" w14:paraId="44BA552D" w14:textId="77777777" w:rsidTr="000300F0">
        <w:trPr>
          <w:trHeight w:val="255"/>
          <w:jc w:val="center"/>
        </w:trPr>
        <w:tc>
          <w:tcPr>
            <w:tcW w:w="2439" w:type="dxa"/>
            <w:shd w:val="clear" w:color="auto" w:fill="auto"/>
            <w:noWrap/>
            <w:vAlign w:val="bottom"/>
            <w:hideMark/>
          </w:tcPr>
          <w:p w14:paraId="59885C11"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BLSP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55CCB954"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-5,136631481</w:t>
            </w:r>
          </w:p>
        </w:tc>
        <w:tc>
          <w:tcPr>
            <w:tcW w:w="1694" w:type="dxa"/>
            <w:shd w:val="clear" w:color="auto" w:fill="auto"/>
            <w:noWrap/>
            <w:vAlign w:val="bottom"/>
            <w:hideMark/>
          </w:tcPr>
          <w:p w14:paraId="29EEAEF2"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0,00%</w:t>
            </w:r>
          </w:p>
        </w:tc>
      </w:tr>
      <w:tr w:rsidR="00DC4985" w:rsidRPr="00DC4985" w14:paraId="212231E8" w14:textId="77777777" w:rsidTr="000300F0">
        <w:trPr>
          <w:trHeight w:val="255"/>
          <w:jc w:val="center"/>
        </w:trPr>
        <w:tc>
          <w:tcPr>
            <w:tcW w:w="2439" w:type="dxa"/>
            <w:shd w:val="clear" w:color="auto" w:fill="auto"/>
            <w:noWrap/>
            <w:vAlign w:val="bottom"/>
            <w:hideMark/>
          </w:tcPr>
          <w:p w14:paraId="3B628254"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PSWW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11FC9A3A"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6,721727002</w:t>
            </w:r>
          </w:p>
        </w:tc>
        <w:tc>
          <w:tcPr>
            <w:tcW w:w="1694" w:type="dxa"/>
            <w:shd w:val="clear" w:color="auto" w:fill="auto"/>
            <w:noWrap/>
            <w:vAlign w:val="bottom"/>
            <w:hideMark/>
          </w:tcPr>
          <w:p w14:paraId="22B55247"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0,01%</w:t>
            </w:r>
          </w:p>
        </w:tc>
      </w:tr>
      <w:tr w:rsidR="00DC4985" w:rsidRPr="00DC4985" w14:paraId="04F7731E" w14:textId="77777777" w:rsidTr="000300F0">
        <w:trPr>
          <w:trHeight w:val="255"/>
          <w:jc w:val="center"/>
        </w:trPr>
        <w:tc>
          <w:tcPr>
            <w:tcW w:w="2439" w:type="dxa"/>
            <w:shd w:val="clear" w:color="auto" w:fill="auto"/>
            <w:noWrap/>
            <w:vAlign w:val="bottom"/>
            <w:hideMark/>
          </w:tcPr>
          <w:p w14:paraId="37E14907"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CGEI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29E256F7"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0,201896268</w:t>
            </w:r>
          </w:p>
        </w:tc>
        <w:tc>
          <w:tcPr>
            <w:tcW w:w="1694" w:type="dxa"/>
            <w:shd w:val="clear" w:color="auto" w:fill="auto"/>
            <w:noWrap/>
            <w:vAlign w:val="bottom"/>
            <w:hideMark/>
          </w:tcPr>
          <w:p w14:paraId="6B2EFEF2"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0,07%</w:t>
            </w:r>
          </w:p>
        </w:tc>
      </w:tr>
      <w:tr w:rsidR="00DC4985" w:rsidRPr="00DC4985" w14:paraId="6BB69E80" w14:textId="77777777" w:rsidTr="000300F0">
        <w:trPr>
          <w:trHeight w:val="255"/>
          <w:jc w:val="center"/>
        </w:trPr>
        <w:tc>
          <w:tcPr>
            <w:tcW w:w="2439" w:type="dxa"/>
            <w:shd w:val="clear" w:color="auto" w:fill="auto"/>
            <w:noWrap/>
            <w:vAlign w:val="bottom"/>
            <w:hideMark/>
          </w:tcPr>
          <w:p w14:paraId="2407FA46"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NCEN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1D202FF0"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-35,22783752</w:t>
            </w:r>
          </w:p>
        </w:tc>
        <w:tc>
          <w:tcPr>
            <w:tcW w:w="1694" w:type="dxa"/>
            <w:shd w:val="clear" w:color="auto" w:fill="auto"/>
            <w:noWrap/>
            <w:vAlign w:val="bottom"/>
            <w:hideMark/>
          </w:tcPr>
          <w:p w14:paraId="76DBDCE8"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0,00%</w:t>
            </w:r>
          </w:p>
        </w:tc>
      </w:tr>
      <w:tr w:rsidR="00DC4985" w:rsidRPr="00DC4985" w14:paraId="59749591" w14:textId="77777777" w:rsidTr="000300F0">
        <w:trPr>
          <w:trHeight w:val="255"/>
          <w:jc w:val="center"/>
        </w:trPr>
        <w:tc>
          <w:tcPr>
            <w:tcW w:w="2439" w:type="dxa"/>
            <w:shd w:val="clear" w:color="auto" w:fill="auto"/>
            <w:noWrap/>
            <w:vAlign w:val="bottom"/>
            <w:hideMark/>
          </w:tcPr>
          <w:p w14:paraId="57EB75D5"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WBRE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4791A71F"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3,957105378</w:t>
            </w:r>
          </w:p>
        </w:tc>
        <w:tc>
          <w:tcPr>
            <w:tcW w:w="1694" w:type="dxa"/>
            <w:shd w:val="clear" w:color="auto" w:fill="auto"/>
            <w:noWrap/>
            <w:vAlign w:val="bottom"/>
            <w:hideMark/>
          </w:tcPr>
          <w:p w14:paraId="39C5199E"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0,00%</w:t>
            </w:r>
          </w:p>
        </w:tc>
      </w:tr>
      <w:tr w:rsidR="00DC4985" w:rsidRPr="00DC4985" w14:paraId="53F622CE" w14:textId="77777777" w:rsidTr="000300F0">
        <w:trPr>
          <w:trHeight w:val="255"/>
          <w:jc w:val="center"/>
        </w:trPr>
        <w:tc>
          <w:tcPr>
            <w:tcW w:w="2439" w:type="dxa"/>
            <w:shd w:val="clear" w:color="auto" w:fill="auto"/>
            <w:noWrap/>
            <w:vAlign w:val="bottom"/>
            <w:hideMark/>
          </w:tcPr>
          <w:p w14:paraId="689ACD57"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NWPN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2C430EBF"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-0,046867615</w:t>
            </w:r>
          </w:p>
        </w:tc>
        <w:tc>
          <w:tcPr>
            <w:tcW w:w="1694" w:type="dxa"/>
            <w:shd w:val="clear" w:color="auto" w:fill="auto"/>
            <w:noWrap/>
            <w:vAlign w:val="bottom"/>
            <w:hideMark/>
          </w:tcPr>
          <w:p w14:paraId="239987A9"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0,00%</w:t>
            </w:r>
          </w:p>
        </w:tc>
      </w:tr>
      <w:tr w:rsidR="00DC4985" w:rsidRPr="00DC4985" w14:paraId="7C29150C" w14:textId="77777777" w:rsidTr="000300F0">
        <w:trPr>
          <w:trHeight w:val="255"/>
          <w:jc w:val="center"/>
        </w:trPr>
        <w:tc>
          <w:tcPr>
            <w:tcW w:w="2439" w:type="dxa"/>
            <w:shd w:val="clear" w:color="auto" w:fill="auto"/>
            <w:noWrap/>
            <w:vAlign w:val="bottom"/>
            <w:hideMark/>
          </w:tcPr>
          <w:p w14:paraId="24A20C75"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NEVE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501D9AC8"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#N/A N/A</w:t>
            </w:r>
          </w:p>
        </w:tc>
        <w:tc>
          <w:tcPr>
            <w:tcW w:w="1694" w:type="dxa"/>
            <w:shd w:val="clear" w:color="auto" w:fill="auto"/>
            <w:noWrap/>
            <w:vAlign w:val="bottom"/>
            <w:hideMark/>
          </w:tcPr>
          <w:p w14:paraId="1AC7C04D"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0,00%</w:t>
            </w:r>
          </w:p>
        </w:tc>
      </w:tr>
      <w:tr w:rsidR="00DC4985" w:rsidRPr="00DC4985" w14:paraId="79B9B033" w14:textId="77777777" w:rsidTr="000300F0">
        <w:trPr>
          <w:trHeight w:val="255"/>
          <w:jc w:val="center"/>
        </w:trPr>
        <w:tc>
          <w:tcPr>
            <w:tcW w:w="2439" w:type="dxa"/>
            <w:shd w:val="clear" w:color="auto" w:fill="auto"/>
            <w:noWrap/>
            <w:vAlign w:val="bottom"/>
            <w:hideMark/>
          </w:tcPr>
          <w:p w14:paraId="4F196DB6"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CDJM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21AE9697"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-9,478787159</w:t>
            </w:r>
          </w:p>
        </w:tc>
        <w:tc>
          <w:tcPr>
            <w:tcW w:w="1694" w:type="dxa"/>
            <w:shd w:val="clear" w:color="auto" w:fill="auto"/>
            <w:noWrap/>
            <w:vAlign w:val="bottom"/>
            <w:hideMark/>
          </w:tcPr>
          <w:p w14:paraId="41D3E9B6"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0,19%</w:t>
            </w:r>
          </w:p>
        </w:tc>
      </w:tr>
      <w:tr w:rsidR="00DC4985" w:rsidRPr="00DC4985" w14:paraId="3B2722F1" w14:textId="77777777" w:rsidTr="000300F0">
        <w:trPr>
          <w:trHeight w:val="255"/>
          <w:jc w:val="center"/>
        </w:trPr>
        <w:tc>
          <w:tcPr>
            <w:tcW w:w="2439" w:type="dxa"/>
            <w:shd w:val="clear" w:color="auto" w:fill="auto"/>
            <w:noWrap/>
            <w:vAlign w:val="bottom"/>
            <w:hideMark/>
          </w:tcPr>
          <w:p w14:paraId="63A9807F"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MENC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190C9418"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2,102161978</w:t>
            </w:r>
          </w:p>
        </w:tc>
        <w:tc>
          <w:tcPr>
            <w:tcW w:w="1694" w:type="dxa"/>
            <w:shd w:val="clear" w:color="auto" w:fill="auto"/>
            <w:noWrap/>
            <w:vAlign w:val="bottom"/>
            <w:hideMark/>
          </w:tcPr>
          <w:p w14:paraId="129A0E66"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0,02%</w:t>
            </w:r>
          </w:p>
        </w:tc>
      </w:tr>
      <w:tr w:rsidR="00DC4985" w:rsidRPr="00DC4985" w14:paraId="6212195E" w14:textId="77777777" w:rsidTr="000300F0">
        <w:trPr>
          <w:trHeight w:val="255"/>
          <w:jc w:val="center"/>
        </w:trPr>
        <w:tc>
          <w:tcPr>
            <w:tcW w:w="2439" w:type="dxa"/>
            <w:shd w:val="clear" w:color="auto" w:fill="auto"/>
            <w:noWrap/>
            <w:vAlign w:val="bottom"/>
            <w:hideMark/>
          </w:tcPr>
          <w:p w14:paraId="677440C1" w14:textId="77777777" w:rsidR="00DC4985" w:rsidRPr="00DC4985" w:rsidRDefault="00DC4985" w:rsidP="00DC4985">
            <w:pPr>
              <w:contextualSpacing w:val="0"/>
              <w:jc w:val="left"/>
              <w:rPr>
                <w:rFonts w:cs="Arial"/>
                <w:sz w:val="22"/>
                <w:szCs w:val="22"/>
                <w:lang w:val="es-CO" w:eastAsia="es-CO"/>
              </w:rPr>
            </w:pPr>
            <w:r w:rsidRPr="00DC4985">
              <w:rPr>
                <w:rFonts w:cs="Arial"/>
                <w:sz w:val="22"/>
                <w:szCs w:val="22"/>
                <w:lang w:val="es-CO" w:eastAsia="es-CO"/>
              </w:rPr>
              <w:t xml:space="preserve">SOPV US </w:t>
            </w:r>
            <w:proofErr w:type="spellStart"/>
            <w:r w:rsidRPr="00DC4985">
              <w:rPr>
                <w:rFonts w:cs="Arial"/>
                <w:sz w:val="22"/>
                <w:szCs w:val="22"/>
                <w:lang w:val="es-CO" w:eastAsia="es-CO"/>
              </w:rPr>
              <w:t>Equity</w:t>
            </w:r>
            <w:proofErr w:type="spellEnd"/>
          </w:p>
        </w:tc>
        <w:tc>
          <w:tcPr>
            <w:tcW w:w="1755" w:type="dxa"/>
            <w:shd w:val="clear" w:color="auto" w:fill="auto"/>
            <w:noWrap/>
            <w:vAlign w:val="bottom"/>
            <w:hideMark/>
          </w:tcPr>
          <w:p w14:paraId="7CCB74A9"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70,59653913</w:t>
            </w:r>
          </w:p>
        </w:tc>
        <w:tc>
          <w:tcPr>
            <w:tcW w:w="1694" w:type="dxa"/>
            <w:shd w:val="clear" w:color="auto" w:fill="auto"/>
            <w:noWrap/>
            <w:vAlign w:val="bottom"/>
            <w:hideMark/>
          </w:tcPr>
          <w:p w14:paraId="2447659E" w14:textId="77777777" w:rsidR="00DC4985" w:rsidRPr="00DC4985" w:rsidRDefault="00DC4985" w:rsidP="00517DED">
            <w:pPr>
              <w:contextualSpacing w:val="0"/>
              <w:jc w:val="center"/>
              <w:rPr>
                <w:rFonts w:cs="Arial"/>
                <w:color w:val="000000"/>
                <w:sz w:val="22"/>
                <w:szCs w:val="22"/>
                <w:lang w:val="es-CO" w:eastAsia="es-CO"/>
              </w:rPr>
            </w:pPr>
            <w:r w:rsidRPr="00DC4985">
              <w:rPr>
                <w:rFonts w:cs="Arial"/>
                <w:color w:val="000000"/>
                <w:sz w:val="22"/>
                <w:szCs w:val="22"/>
                <w:lang w:val="es-CO" w:eastAsia="es-CO"/>
              </w:rPr>
              <w:t>0,00%</w:t>
            </w:r>
          </w:p>
        </w:tc>
      </w:tr>
      <w:tr w:rsidR="008A14E3" w:rsidRPr="00DC4985" w14:paraId="680DB053" w14:textId="77777777" w:rsidTr="000300F0">
        <w:trPr>
          <w:trHeight w:val="255"/>
          <w:jc w:val="center"/>
        </w:trPr>
        <w:tc>
          <w:tcPr>
            <w:tcW w:w="2439" w:type="dxa"/>
            <w:shd w:val="clear" w:color="auto" w:fill="auto"/>
            <w:noWrap/>
            <w:vAlign w:val="bottom"/>
          </w:tcPr>
          <w:p w14:paraId="058813C6" w14:textId="41AC6860" w:rsidR="008A14E3" w:rsidRPr="00F06684" w:rsidRDefault="008A14E3" w:rsidP="00DC4985">
            <w:pPr>
              <w:contextualSpacing w:val="0"/>
              <w:jc w:val="left"/>
              <w:rPr>
                <w:rFonts w:cs="Arial"/>
                <w:b/>
                <w:bCs/>
                <w:sz w:val="22"/>
                <w:szCs w:val="22"/>
                <w:lang w:val="es-CO" w:eastAsia="es-CO"/>
              </w:rPr>
            </w:pPr>
            <w:proofErr w:type="gramStart"/>
            <w:r w:rsidRPr="00F06684">
              <w:rPr>
                <w:rFonts w:cs="Arial"/>
                <w:b/>
                <w:bCs/>
                <w:sz w:val="22"/>
                <w:szCs w:val="22"/>
                <w:lang w:val="es-CO" w:eastAsia="es-CO"/>
              </w:rPr>
              <w:t>Beta ponderad</w:t>
            </w:r>
            <w:r w:rsidR="00517DED" w:rsidRPr="00F06684">
              <w:rPr>
                <w:rFonts w:cs="Arial"/>
                <w:b/>
                <w:bCs/>
                <w:sz w:val="22"/>
                <w:szCs w:val="22"/>
                <w:lang w:val="es-CO" w:eastAsia="es-CO"/>
              </w:rPr>
              <w:t>o</w:t>
            </w:r>
            <w:proofErr w:type="gramEnd"/>
          </w:p>
        </w:tc>
        <w:tc>
          <w:tcPr>
            <w:tcW w:w="1755" w:type="dxa"/>
            <w:shd w:val="clear" w:color="auto" w:fill="auto"/>
            <w:noWrap/>
            <w:vAlign w:val="bottom"/>
          </w:tcPr>
          <w:p w14:paraId="506B426F" w14:textId="291C51BD" w:rsidR="008A14E3" w:rsidRPr="00DC4985" w:rsidRDefault="00517DED" w:rsidP="00517DED">
            <w:pPr>
              <w:contextualSpacing w:val="0"/>
              <w:jc w:val="center"/>
              <w:rPr>
                <w:rFonts w:cs="Arial"/>
                <w:color w:val="000000"/>
                <w:sz w:val="22"/>
                <w:szCs w:val="22"/>
                <w:lang w:val="es-CO" w:eastAsia="es-CO"/>
              </w:rPr>
            </w:pPr>
            <w:r>
              <w:rPr>
                <w:rFonts w:cs="Arial"/>
                <w:color w:val="000000"/>
                <w:sz w:val="22"/>
                <w:szCs w:val="22"/>
                <w:lang w:val="es-CO" w:eastAsia="es-CO"/>
              </w:rPr>
              <w:t>0,76</w:t>
            </w:r>
          </w:p>
        </w:tc>
        <w:tc>
          <w:tcPr>
            <w:tcW w:w="1694" w:type="dxa"/>
            <w:shd w:val="clear" w:color="auto" w:fill="auto"/>
            <w:noWrap/>
            <w:vAlign w:val="bottom"/>
          </w:tcPr>
          <w:p w14:paraId="3DE07C4F" w14:textId="77777777" w:rsidR="008A14E3" w:rsidRPr="00DC4985" w:rsidRDefault="008A14E3" w:rsidP="00517DED">
            <w:pPr>
              <w:contextualSpacing w:val="0"/>
              <w:jc w:val="center"/>
              <w:rPr>
                <w:rFonts w:cs="Arial"/>
                <w:color w:val="000000"/>
                <w:sz w:val="22"/>
                <w:szCs w:val="22"/>
                <w:lang w:val="es-CO" w:eastAsia="es-CO"/>
              </w:rPr>
            </w:pPr>
          </w:p>
        </w:tc>
      </w:tr>
    </w:tbl>
    <w:p w14:paraId="10DF42A0" w14:textId="77777777" w:rsidR="00900B70" w:rsidRDefault="00900B70" w:rsidP="00900B70"/>
    <w:p w14:paraId="600BB1DD" w14:textId="13973D1A" w:rsidR="00900B70" w:rsidRPr="00121CE9" w:rsidRDefault="000300F0" w:rsidP="00900B70">
      <w:pPr>
        <w:rPr>
          <w:i/>
        </w:rPr>
      </w:pPr>
      <m:oMathPara>
        <m:oMath>
          <m:sSub>
            <m:sSubPr>
              <m:ctrlPr>
                <w:rPr>
                  <w:rFonts w:ascii="Cambria Math" w:eastAsiaTheme="minorEastAsia" w:hAnsi="Cambria Math" w:cs="Arial"/>
                  <w:i/>
                  <w:szCs w:val="22"/>
                </w:rPr>
              </m:ctrlPr>
            </m:sSubPr>
            <m:e>
              <m:r>
                <w:rPr>
                  <w:rFonts w:ascii="Cambria Math" w:eastAsiaTheme="minorEastAsia" w:hAnsi="Cambria Math" w:cs="Arial"/>
                  <w:szCs w:val="22"/>
                </w:rPr>
                <m:t>βU</m:t>
              </m:r>
            </m:e>
            <m:sub>
              <m:r>
                <w:rPr>
                  <w:rFonts w:ascii="Cambria Math" w:eastAsiaTheme="minorEastAsia" w:hAnsi="Cambria Math" w:cs="Arial"/>
                  <w:szCs w:val="22"/>
                </w:rPr>
                <m:t>a</m:t>
              </m:r>
              <m:r>
                <w:rPr>
                  <w:rFonts w:ascii="Cambria Math" w:eastAsiaTheme="minorEastAsia" w:hAnsi="Cambria Math" w:cs="Arial"/>
                  <w:szCs w:val="22"/>
                </w:rPr>
                <m:t>,</m:t>
              </m:r>
              <m:r>
                <w:rPr>
                  <w:rFonts w:ascii="Cambria Math" w:eastAsiaTheme="minorEastAsia" w:hAnsi="Cambria Math" w:cs="Arial"/>
                  <w:szCs w:val="22"/>
                </w:rPr>
                <m:t>τ</m:t>
              </m:r>
            </m:sub>
          </m:sSub>
          <m:r>
            <w:rPr>
              <w:rFonts w:ascii="Cambria Math" w:eastAsiaTheme="minorEastAsia" w:hAnsi="Cambria Math" w:cs="Arial"/>
              <w:szCs w:val="22"/>
            </w:rPr>
            <m:t>=</m:t>
          </m:r>
          <m:f>
            <m:fPr>
              <m:ctrlPr>
                <w:rPr>
                  <w:rFonts w:ascii="Cambria Math" w:eastAsiaTheme="minorEastAsia" w:hAnsi="Cambria Math" w:cs="Arial"/>
                  <w:i/>
                  <w:szCs w:val="22"/>
                </w:rPr>
              </m:ctrlPr>
            </m:fPr>
            <m:num>
              <m:r>
                <w:rPr>
                  <w:rFonts w:ascii="Cambria Math" w:eastAsiaTheme="minorEastAsia" w:hAnsi="Cambria Math" w:cs="Arial"/>
                  <w:szCs w:val="22"/>
                </w:rPr>
                <m:t>0,76</m:t>
              </m:r>
            </m:num>
            <m:den>
              <m:d>
                <m:dPr>
                  <m:ctrlPr>
                    <w:rPr>
                      <w:rFonts w:ascii="Cambria Math" w:eastAsiaTheme="minorEastAsia" w:hAnsi="Cambria Math" w:cs="Arial"/>
                      <w:i/>
                      <w:szCs w:val="22"/>
                    </w:rPr>
                  </m:ctrlPr>
                </m:dPr>
                <m:e>
                  <m:r>
                    <w:rPr>
                      <w:rFonts w:ascii="Cambria Math" w:eastAsiaTheme="minorEastAsia" w:hAnsi="Cambria Math" w:cs="Arial"/>
                      <w:szCs w:val="22"/>
                    </w:rPr>
                    <m:t>1+</m:t>
                  </m:r>
                  <m:d>
                    <m:dPr>
                      <m:ctrlPr>
                        <w:rPr>
                          <w:rFonts w:ascii="Cambria Math" w:eastAsiaTheme="minorEastAsia" w:hAnsi="Cambria Math" w:cs="Arial"/>
                          <w:i/>
                          <w:szCs w:val="22"/>
                        </w:rPr>
                      </m:ctrlPr>
                    </m:dPr>
                    <m:e>
                      <m:r>
                        <w:rPr>
                          <w:rFonts w:ascii="Cambria Math" w:eastAsiaTheme="minorEastAsia" w:hAnsi="Cambria Math" w:cs="Arial"/>
                          <w:szCs w:val="22"/>
                        </w:rPr>
                        <m:t>1-21%</m:t>
                      </m:r>
                    </m:e>
                  </m:d>
                  <m:f>
                    <m:fPr>
                      <m:ctrlPr>
                        <w:rPr>
                          <w:rFonts w:ascii="Cambria Math" w:eastAsiaTheme="minorEastAsia" w:hAnsi="Cambria Math" w:cs="Arial"/>
                          <w:i/>
                          <w:szCs w:val="22"/>
                        </w:rPr>
                      </m:ctrlPr>
                    </m:fPr>
                    <m:num>
                      <m:r>
                        <w:rPr>
                          <w:rFonts w:ascii="Cambria Math" w:eastAsiaTheme="minorEastAsia" w:hAnsi="Cambria Math" w:cs="Arial"/>
                          <w:szCs w:val="22"/>
                        </w:rPr>
                        <m:t>1.443.151</m:t>
                      </m:r>
                    </m:num>
                    <m:den>
                      <m:r>
                        <w:rPr>
                          <w:rFonts w:ascii="Cambria Math" w:eastAsiaTheme="minorEastAsia" w:hAnsi="Cambria Math" w:cs="Arial"/>
                          <w:szCs w:val="22"/>
                        </w:rPr>
                        <m:t>1.595.587</m:t>
                      </m:r>
                    </m:den>
                  </m:f>
                </m:e>
              </m:d>
            </m:den>
          </m:f>
          <m:r>
            <w:rPr>
              <w:rFonts w:ascii="Cambria Math" w:eastAsiaTheme="minorEastAsia" w:hAnsi="Cambria Math" w:cs="Arial"/>
              <w:szCs w:val="22"/>
            </w:rPr>
            <m:t xml:space="preserve">=0,44  </m:t>
          </m:r>
        </m:oMath>
      </m:oMathPara>
    </w:p>
    <w:p w14:paraId="3BB35EE6" w14:textId="77777777" w:rsidR="00900B70" w:rsidRDefault="00900B70" w:rsidP="00900B70"/>
    <w:p w14:paraId="6B4C81CE" w14:textId="0CC4AA45" w:rsidR="00900B70" w:rsidRDefault="00900B70" w:rsidP="00900B70">
      <w:r>
        <w:t>El detalle de los cálculos se encuentra en la memoria de cálculo, formato Excel, anexa a</w:t>
      </w:r>
      <w:r w:rsidR="006D44DC">
        <w:t>l presente</w:t>
      </w:r>
      <w:r>
        <w:t xml:space="preserve"> documento.</w:t>
      </w:r>
    </w:p>
    <w:p w14:paraId="711CBD62" w14:textId="77777777" w:rsidR="00900B70" w:rsidRDefault="00900B70" w:rsidP="00900B70"/>
    <w:p w14:paraId="2BDBC57F" w14:textId="77777777" w:rsidR="00B45180" w:rsidRDefault="00B45180" w:rsidP="00900B70"/>
    <w:p w14:paraId="769A5B0C" w14:textId="3FF85DA0" w:rsidR="00900B70" w:rsidRDefault="00900B70" w:rsidP="00900B70">
      <w:pPr>
        <w:textAlignment w:val="baseline"/>
        <w:rPr>
          <w:rFonts w:cs="Arial"/>
          <w:sz w:val="20"/>
        </w:rPr>
      </w:pPr>
      <w:r>
        <w:rPr>
          <w:rFonts w:cs="Arial"/>
          <w:sz w:val="20"/>
        </w:rPr>
        <w:br w:type="page"/>
      </w:r>
    </w:p>
    <w:p w14:paraId="4932ACED" w14:textId="1EFD1E3D" w:rsidR="00F609D0" w:rsidRPr="004C4C0B" w:rsidRDefault="00F609D0" w:rsidP="00F609D0">
      <w:pPr>
        <w:pStyle w:val="Ttulo1"/>
        <w:tabs>
          <w:tab w:val="clear" w:pos="2556"/>
        </w:tabs>
        <w:spacing w:after="0"/>
        <w:ind w:left="0" w:firstLine="0"/>
        <w:jc w:val="center"/>
        <w:rPr>
          <w:rFonts w:cs="Arial"/>
        </w:rPr>
      </w:pPr>
      <w:bookmarkStart w:id="35" w:name="_Toc147137568"/>
      <w:r w:rsidRPr="004C4C0B">
        <w:rPr>
          <w:rFonts w:cs="Arial"/>
        </w:rPr>
        <w:lastRenderedPageBreak/>
        <w:t xml:space="preserve">ANEXO </w:t>
      </w:r>
      <w:r w:rsidR="00900B70">
        <w:rPr>
          <w:rFonts w:cs="Arial"/>
        </w:rPr>
        <w:t>3</w:t>
      </w:r>
      <w:r w:rsidRPr="004C4C0B">
        <w:rPr>
          <w:rFonts w:cs="Arial"/>
        </w:rPr>
        <w:t>. CUSTIONARIO COMPETENCIA SIC</w:t>
      </w:r>
      <w:bookmarkEnd w:id="29"/>
      <w:bookmarkEnd w:id="30"/>
      <w:bookmarkEnd w:id="35"/>
    </w:p>
    <w:p w14:paraId="3820D19F" w14:textId="77777777" w:rsidR="00F609D0" w:rsidRPr="004C4C0B" w:rsidRDefault="00F609D0" w:rsidP="00F609D0">
      <w:pPr>
        <w:pStyle w:val="Descripcin"/>
        <w:jc w:val="center"/>
        <w:rPr>
          <w:rFonts w:cs="Arial"/>
          <w:b w:val="0"/>
          <w:bCs/>
          <w:i/>
          <w:iCs w:val="0"/>
          <w:szCs w:val="24"/>
        </w:rPr>
      </w:pPr>
      <w:r w:rsidRPr="004C4C0B">
        <w:rPr>
          <w:rFonts w:cs="Arial"/>
          <w:bCs/>
          <w:iCs w:val="0"/>
          <w:szCs w:val="24"/>
        </w:rPr>
        <w:t>Evaluación de la Incidencia Sobre la Libre Competencia de los Actos Administrativos Expedidos con Fines Regulatorios</w:t>
      </w:r>
    </w:p>
    <w:p w14:paraId="5E168C37" w14:textId="77777777" w:rsidR="00F609D0" w:rsidRPr="00C47DDD" w:rsidRDefault="00F609D0" w:rsidP="00F609D0">
      <w:pPr>
        <w:pStyle w:val="Prrafodelista"/>
        <w:ind w:left="0"/>
        <w:rPr>
          <w:rFonts w:cs="Arial"/>
          <w:highlight w:val="yellow"/>
        </w:rPr>
      </w:pPr>
    </w:p>
    <w:p w14:paraId="220DF073" w14:textId="77777777" w:rsidR="00F609D0" w:rsidRPr="004C4C0B" w:rsidRDefault="00F609D0" w:rsidP="00F609D0">
      <w:pPr>
        <w:textAlignment w:val="baseline"/>
        <w:rPr>
          <w:rFonts w:cs="Arial"/>
        </w:rPr>
      </w:pPr>
      <w:r w:rsidRPr="004C4C0B">
        <w:rPr>
          <w:rFonts w:cs="Arial"/>
          <w:lang w:val="es-ES"/>
        </w:rPr>
        <w:t>Con base en lo establecido en el artículo 4 del Decreto 2897 de 2010</w:t>
      </w:r>
      <w:r w:rsidRPr="004C4C0B">
        <w:rPr>
          <w:rFonts w:cs="Arial"/>
          <w:vertAlign w:val="superscript"/>
        </w:rPr>
        <w:footnoteReference w:id="3"/>
      </w:r>
      <w:r w:rsidRPr="004C4C0B">
        <w:rPr>
          <w:rFonts w:cs="Arial"/>
          <w:lang w:val="es-ES"/>
        </w:rPr>
        <w:t>, reglamentario de la Ley 1340 de 2009, se respondió el cuestionario establecido por la Superintendencia de Industria y Comercio para efectos de evaluar la incidencia sobre la libre competencia de los mercados, donde aplicando las reglas allí previstas, la respuesta al conjunto de preguntas fue negativa, en la medida en que no plantea ninguna restricción indebida a la libre competencia.</w:t>
      </w:r>
      <w:r w:rsidRPr="004C4C0B">
        <w:rPr>
          <w:rFonts w:cs="Arial"/>
        </w:rPr>
        <w:t> </w:t>
      </w:r>
    </w:p>
    <w:p w14:paraId="0BCE36C9" w14:textId="77777777" w:rsidR="00F609D0" w:rsidRPr="004C4C0B" w:rsidRDefault="00F609D0" w:rsidP="00F609D0">
      <w:pPr>
        <w:textAlignment w:val="baseline"/>
        <w:rPr>
          <w:rFonts w:cs="Arial"/>
          <w:sz w:val="18"/>
          <w:szCs w:val="18"/>
        </w:rPr>
      </w:pPr>
      <w:r w:rsidRPr="004C4C0B">
        <w:rPr>
          <w:rFonts w:cs="Arial"/>
          <w:sz w:val="22"/>
          <w:szCs w:val="22"/>
        </w:rPr>
        <w:t> </w:t>
      </w:r>
    </w:p>
    <w:tbl>
      <w:tblPr>
        <w:tblW w:w="9493" w:type="dxa"/>
        <w:tblCellMar>
          <w:left w:w="0" w:type="dxa"/>
          <w:right w:w="0" w:type="dxa"/>
        </w:tblCellMar>
        <w:tblLook w:val="04A0" w:firstRow="1" w:lastRow="0" w:firstColumn="1" w:lastColumn="0" w:noHBand="0" w:noVBand="1"/>
      </w:tblPr>
      <w:tblGrid>
        <w:gridCol w:w="885"/>
        <w:gridCol w:w="2956"/>
        <w:gridCol w:w="443"/>
        <w:gridCol w:w="443"/>
        <w:gridCol w:w="2323"/>
        <w:gridCol w:w="2340"/>
        <w:gridCol w:w="103"/>
      </w:tblGrid>
      <w:tr w:rsidR="00F609D0" w:rsidRPr="000455F9" w14:paraId="74172F21" w14:textId="77777777" w:rsidTr="00C5026C">
        <w:trPr>
          <w:trHeight w:val="1440"/>
        </w:trPr>
        <w:tc>
          <w:tcPr>
            <w:tcW w:w="9493" w:type="dxa"/>
            <w:gridSpan w:val="7"/>
            <w:shd w:val="clear" w:color="auto" w:fill="auto"/>
            <w:hideMark/>
          </w:tcPr>
          <w:p w14:paraId="011869AE" w14:textId="77777777" w:rsidR="00F609D0" w:rsidRPr="00E32D9E" w:rsidRDefault="00F609D0" w:rsidP="00C5026C">
            <w:pPr>
              <w:ind w:right="-120"/>
              <w:textAlignment w:val="baseline"/>
              <w:rPr>
                <w:rFonts w:cs="Arial"/>
              </w:rPr>
            </w:pPr>
            <w:r w:rsidRPr="00E32D9E">
              <w:rPr>
                <w:rFonts w:cs="Arial"/>
                <w:b/>
                <w:color w:val="000000"/>
                <w:lang w:val="es-ES"/>
              </w:rPr>
              <w:t>SUPERINTENDENCIA DE INDUSTRIA Y COMERCIO, SIC</w:t>
            </w:r>
          </w:p>
          <w:p w14:paraId="209AF594" w14:textId="77777777" w:rsidR="00F609D0" w:rsidRPr="00E32D9E" w:rsidRDefault="00F609D0" w:rsidP="00C5026C">
            <w:pPr>
              <w:ind w:right="-120"/>
              <w:textAlignment w:val="baseline"/>
              <w:rPr>
                <w:rFonts w:cs="Arial"/>
              </w:rPr>
            </w:pPr>
          </w:p>
          <w:p w14:paraId="73CBFF89" w14:textId="77777777" w:rsidR="00F609D0" w:rsidRPr="00E32D9E" w:rsidRDefault="00F609D0" w:rsidP="00C5026C">
            <w:pPr>
              <w:ind w:right="-120"/>
              <w:textAlignment w:val="baseline"/>
              <w:rPr>
                <w:rFonts w:cs="Arial"/>
              </w:rPr>
            </w:pPr>
            <w:r w:rsidRPr="00E32D9E">
              <w:rPr>
                <w:rFonts w:cs="Arial"/>
                <w:b/>
                <w:color w:val="000000" w:themeColor="text1"/>
                <w:lang w:val="es-ES"/>
              </w:rPr>
              <w:t>CUESTIONARIO EVALUACIÓN DE LA INCIDENCIA SOBRE LA LIBRE COMPETENCIA DE LOS ACTOS ADMINISTRATIVOS EXPEDIDOS CON FINES REGULATORIOS</w:t>
            </w:r>
          </w:p>
        </w:tc>
      </w:tr>
      <w:tr w:rsidR="00F609D0" w:rsidRPr="000455F9" w14:paraId="10402629" w14:textId="77777777" w:rsidTr="00C5026C">
        <w:trPr>
          <w:trHeight w:val="300"/>
        </w:trPr>
        <w:tc>
          <w:tcPr>
            <w:tcW w:w="9493" w:type="dxa"/>
            <w:gridSpan w:val="7"/>
            <w:shd w:val="clear" w:color="auto" w:fill="auto"/>
            <w:hideMark/>
          </w:tcPr>
          <w:p w14:paraId="3877ED11" w14:textId="53445BFD" w:rsidR="00F609D0" w:rsidRPr="00E32D9E" w:rsidRDefault="00F609D0" w:rsidP="00C5026C">
            <w:pPr>
              <w:pStyle w:val="Textoindependiente2"/>
              <w:widowControl w:val="0"/>
              <w:rPr>
                <w:rFonts w:cs="Arial"/>
                <w:color w:val="000000" w:themeColor="text1"/>
              </w:rPr>
            </w:pPr>
            <w:r w:rsidRPr="00E32D9E">
              <w:rPr>
                <w:rFonts w:cs="Arial"/>
                <w:b/>
                <w:color w:val="000000" w:themeColor="text1"/>
                <w:lang w:val="es-ES"/>
              </w:rPr>
              <w:t>OBJETO DE LA REGULACIÓN PARTICULAR.</w:t>
            </w:r>
            <w:r w:rsidRPr="00E32D9E">
              <w:rPr>
                <w:rFonts w:cs="Arial"/>
                <w:lang w:val="es-ES"/>
              </w:rPr>
              <w:t xml:space="preserve"> </w:t>
            </w:r>
            <w:r w:rsidR="007B2CEE" w:rsidRPr="007B2CEE">
              <w:rPr>
                <w:rFonts w:cs="Arial"/>
                <w:bCs/>
                <w:color w:val="000000" w:themeColor="text1"/>
                <w:lang w:val="es-ES"/>
              </w:rPr>
              <w:t>Por la cual se determinan unos parámetros de cálculo y se define la tasa de descuento para la remuneración de la prestación del servicio de energía eléctrica mediante Soluciones Individuales Solares Fotovoltaicas, SISFV.</w:t>
            </w:r>
          </w:p>
          <w:p w14:paraId="6BCE6430" w14:textId="77777777" w:rsidR="00F609D0" w:rsidRPr="00E32D9E" w:rsidRDefault="00F609D0" w:rsidP="00C5026C">
            <w:pPr>
              <w:textAlignment w:val="baseline"/>
              <w:rPr>
                <w:rFonts w:cs="Arial"/>
              </w:rPr>
            </w:pPr>
          </w:p>
          <w:p w14:paraId="67E67C6C" w14:textId="77777777" w:rsidR="00F609D0" w:rsidRPr="00E32D9E" w:rsidRDefault="00F609D0" w:rsidP="00C5026C">
            <w:pPr>
              <w:textAlignment w:val="baseline"/>
              <w:rPr>
                <w:rFonts w:cs="Arial"/>
              </w:rPr>
            </w:pPr>
            <w:r w:rsidRPr="00E32D9E">
              <w:rPr>
                <w:rFonts w:cs="Arial"/>
                <w:color w:val="000000" w:themeColor="text1"/>
              </w:rPr>
              <w:t> </w:t>
            </w:r>
          </w:p>
        </w:tc>
      </w:tr>
      <w:tr w:rsidR="00F609D0" w:rsidRPr="000455F9" w14:paraId="6A84EB33" w14:textId="77777777" w:rsidTr="00C5026C">
        <w:trPr>
          <w:trHeight w:val="300"/>
        </w:trPr>
        <w:tc>
          <w:tcPr>
            <w:tcW w:w="9493" w:type="dxa"/>
            <w:gridSpan w:val="7"/>
            <w:shd w:val="clear" w:color="auto" w:fill="auto"/>
            <w:hideMark/>
          </w:tcPr>
          <w:p w14:paraId="0804AE17" w14:textId="77777777" w:rsidR="00F609D0" w:rsidRDefault="00F609D0" w:rsidP="00C5026C">
            <w:pPr>
              <w:ind w:right="-120"/>
              <w:textAlignment w:val="baseline"/>
              <w:rPr>
                <w:rFonts w:cs="Arial"/>
                <w:b/>
                <w:color w:val="000000"/>
                <w:lang w:val="es-ES"/>
              </w:rPr>
            </w:pPr>
            <w:r w:rsidRPr="00E32D9E">
              <w:rPr>
                <w:rFonts w:cs="Arial"/>
                <w:b/>
                <w:color w:val="000000"/>
                <w:lang w:val="es-ES"/>
              </w:rPr>
              <w:t xml:space="preserve">No. DE RESOLUCIÓN O ACTO: </w:t>
            </w:r>
          </w:p>
          <w:p w14:paraId="441CA4E0" w14:textId="77777777" w:rsidR="000300F0" w:rsidRPr="00E32D9E" w:rsidRDefault="000300F0" w:rsidP="00C5026C">
            <w:pPr>
              <w:ind w:right="-120"/>
              <w:textAlignment w:val="baseline"/>
              <w:rPr>
                <w:rFonts w:cs="Arial"/>
              </w:rPr>
            </w:pPr>
          </w:p>
          <w:p w14:paraId="36976EDD" w14:textId="336B46B8" w:rsidR="00F609D0" w:rsidRPr="000300F0" w:rsidRDefault="000300F0" w:rsidP="00C5026C">
            <w:pPr>
              <w:ind w:right="-120"/>
              <w:textAlignment w:val="baseline"/>
              <w:rPr>
                <w:rFonts w:cs="Arial"/>
                <w:u w:val="single"/>
              </w:rPr>
            </w:pPr>
            <w:r w:rsidRPr="000300F0">
              <w:rPr>
                <w:rFonts w:cs="Arial"/>
                <w:b/>
                <w:color w:val="000000"/>
                <w:u w:val="single"/>
                <w:lang w:val="es-ES"/>
              </w:rPr>
              <w:t>101 026 DE 2023</w:t>
            </w:r>
          </w:p>
        </w:tc>
      </w:tr>
      <w:tr w:rsidR="00F609D0" w:rsidRPr="000455F9" w14:paraId="19270244" w14:textId="77777777" w:rsidTr="00C5026C">
        <w:trPr>
          <w:trHeight w:val="300"/>
        </w:trPr>
        <w:tc>
          <w:tcPr>
            <w:tcW w:w="9493" w:type="dxa"/>
            <w:gridSpan w:val="7"/>
            <w:shd w:val="clear" w:color="auto" w:fill="auto"/>
            <w:hideMark/>
          </w:tcPr>
          <w:p w14:paraId="083FF858" w14:textId="77777777" w:rsidR="00F609D0" w:rsidRPr="00E32D9E" w:rsidRDefault="00F609D0" w:rsidP="00C5026C">
            <w:pPr>
              <w:ind w:right="-120"/>
              <w:textAlignment w:val="baseline"/>
              <w:rPr>
                <w:rFonts w:cs="Arial"/>
              </w:rPr>
            </w:pPr>
            <w:r w:rsidRPr="00E32D9E">
              <w:rPr>
                <w:rFonts w:cs="Arial"/>
                <w:color w:val="000000"/>
              </w:rPr>
              <w:t> </w:t>
            </w:r>
          </w:p>
        </w:tc>
      </w:tr>
      <w:tr w:rsidR="00F609D0" w:rsidRPr="000455F9" w14:paraId="0B77B748" w14:textId="77777777" w:rsidTr="00C5026C">
        <w:trPr>
          <w:trHeight w:val="300"/>
        </w:trPr>
        <w:tc>
          <w:tcPr>
            <w:tcW w:w="9493" w:type="dxa"/>
            <w:gridSpan w:val="7"/>
            <w:shd w:val="clear" w:color="auto" w:fill="auto"/>
            <w:hideMark/>
          </w:tcPr>
          <w:p w14:paraId="088EAA52" w14:textId="77777777" w:rsidR="00F609D0" w:rsidRPr="00E32D9E" w:rsidRDefault="00F609D0" w:rsidP="00C5026C">
            <w:pPr>
              <w:ind w:right="-120"/>
              <w:textAlignment w:val="baseline"/>
              <w:rPr>
                <w:rFonts w:cs="Arial"/>
              </w:rPr>
            </w:pPr>
            <w:r w:rsidRPr="00E32D9E">
              <w:rPr>
                <w:rFonts w:cs="Arial"/>
                <w:b/>
                <w:color w:val="000000"/>
                <w:lang w:val="es-ES"/>
              </w:rPr>
              <w:t>COMISIÓN O ENTIDAD QUE REMITE:  </w:t>
            </w:r>
            <w:r w:rsidRPr="00E32D9E">
              <w:rPr>
                <w:rFonts w:cs="Arial"/>
                <w:color w:val="000000"/>
                <w:lang w:val="es-ES"/>
              </w:rPr>
              <w:t>Comisión De Regulación De Energía Y Gas, CREG</w:t>
            </w:r>
            <w:r w:rsidRPr="00E32D9E">
              <w:rPr>
                <w:rFonts w:cs="Arial"/>
                <w:color w:val="000000"/>
              </w:rPr>
              <w:t> </w:t>
            </w:r>
          </w:p>
          <w:p w14:paraId="6428C76E" w14:textId="77777777" w:rsidR="00F609D0" w:rsidRPr="00E32D9E" w:rsidRDefault="00F609D0" w:rsidP="00C5026C">
            <w:pPr>
              <w:ind w:right="-120"/>
              <w:textAlignment w:val="baseline"/>
              <w:rPr>
                <w:rFonts w:cs="Arial"/>
              </w:rPr>
            </w:pPr>
            <w:r w:rsidRPr="00E32D9E">
              <w:rPr>
                <w:rFonts w:cs="Arial"/>
                <w:color w:val="000000"/>
              </w:rPr>
              <w:t> </w:t>
            </w:r>
          </w:p>
        </w:tc>
      </w:tr>
      <w:tr w:rsidR="00F609D0" w:rsidRPr="000455F9" w14:paraId="07888470" w14:textId="77777777" w:rsidTr="00C5026C">
        <w:trPr>
          <w:trHeight w:val="300"/>
        </w:trPr>
        <w:tc>
          <w:tcPr>
            <w:tcW w:w="9493" w:type="dxa"/>
            <w:gridSpan w:val="7"/>
            <w:shd w:val="clear" w:color="auto" w:fill="auto"/>
            <w:hideMark/>
          </w:tcPr>
          <w:p w14:paraId="0ABF035A" w14:textId="77777777" w:rsidR="00F609D0" w:rsidRPr="00E32D9E" w:rsidRDefault="00F609D0" w:rsidP="00C5026C">
            <w:pPr>
              <w:ind w:right="-120"/>
              <w:textAlignment w:val="baseline"/>
              <w:rPr>
                <w:rFonts w:cs="Arial"/>
              </w:rPr>
            </w:pPr>
            <w:r w:rsidRPr="00E32D9E">
              <w:rPr>
                <w:rFonts w:cs="Arial"/>
                <w:b/>
                <w:color w:val="000000"/>
                <w:lang w:val="es-ES"/>
              </w:rPr>
              <w:t>RADICACIÓN: </w:t>
            </w:r>
            <w:r w:rsidRPr="00E32D9E">
              <w:rPr>
                <w:rFonts w:cs="Arial"/>
                <w:color w:val="000000"/>
              </w:rPr>
              <w:t> </w:t>
            </w:r>
          </w:p>
          <w:p w14:paraId="5CF03E07" w14:textId="77777777" w:rsidR="00F609D0" w:rsidRPr="00E32D9E" w:rsidRDefault="00F609D0" w:rsidP="00C5026C">
            <w:pPr>
              <w:ind w:right="-120"/>
              <w:textAlignment w:val="baseline"/>
              <w:rPr>
                <w:rFonts w:cs="Arial"/>
              </w:rPr>
            </w:pPr>
            <w:r w:rsidRPr="00E32D9E">
              <w:rPr>
                <w:rFonts w:cs="Arial"/>
                <w:color w:val="000000"/>
              </w:rPr>
              <w:t> </w:t>
            </w:r>
            <w:r w:rsidRPr="00E32D9E">
              <w:rPr>
                <w:rFonts w:cs="Arial"/>
                <w:b/>
                <w:color w:val="000000"/>
                <w:lang w:val="es-ES"/>
              </w:rPr>
              <w:t>___________________________________________________________________</w:t>
            </w:r>
            <w:r w:rsidRPr="00E32D9E">
              <w:rPr>
                <w:rFonts w:cs="Arial"/>
                <w:color w:val="000000"/>
              </w:rPr>
              <w:t> </w:t>
            </w:r>
          </w:p>
        </w:tc>
      </w:tr>
      <w:tr w:rsidR="00F609D0" w:rsidRPr="000455F9" w14:paraId="673E4627" w14:textId="77777777" w:rsidTr="00C5026C">
        <w:trPr>
          <w:trHeight w:val="300"/>
        </w:trPr>
        <w:tc>
          <w:tcPr>
            <w:tcW w:w="9493" w:type="dxa"/>
            <w:gridSpan w:val="7"/>
            <w:shd w:val="clear" w:color="auto" w:fill="auto"/>
            <w:hideMark/>
          </w:tcPr>
          <w:p w14:paraId="1B4D73C3" w14:textId="77777777" w:rsidR="00F609D0" w:rsidRPr="004C4C0B" w:rsidRDefault="00F609D0" w:rsidP="00C5026C">
            <w:pPr>
              <w:ind w:right="-120"/>
              <w:textAlignment w:val="baseline"/>
              <w:rPr>
                <w:rFonts w:cs="Arial"/>
              </w:rPr>
            </w:pPr>
            <w:r w:rsidRPr="004C4C0B">
              <w:rPr>
                <w:rFonts w:cs="Arial"/>
                <w:color w:val="000000"/>
                <w:sz w:val="22"/>
                <w:szCs w:val="22"/>
              </w:rPr>
              <w:t> </w:t>
            </w:r>
          </w:p>
          <w:p w14:paraId="055EC6BA" w14:textId="77777777" w:rsidR="00F609D0" w:rsidRPr="004C4C0B" w:rsidRDefault="00F609D0" w:rsidP="00C5026C">
            <w:pPr>
              <w:ind w:right="-120"/>
              <w:textAlignment w:val="baseline"/>
              <w:rPr>
                <w:rFonts w:cs="Arial"/>
              </w:rPr>
            </w:pPr>
            <w:r w:rsidRPr="004C4C0B">
              <w:rPr>
                <w:rFonts w:cs="Arial"/>
                <w:color w:val="000000"/>
                <w:sz w:val="22"/>
                <w:szCs w:val="22"/>
              </w:rPr>
              <w:t> </w:t>
            </w:r>
            <w:r w:rsidRPr="004C4C0B">
              <w:rPr>
                <w:rFonts w:cs="Arial"/>
                <w:b/>
                <w:color w:val="000000"/>
                <w:sz w:val="22"/>
                <w:szCs w:val="22"/>
                <w:lang w:val="es-ES"/>
              </w:rPr>
              <w:t>Bogotá, D.C. ______________________________</w:t>
            </w:r>
            <w:r w:rsidRPr="004C4C0B">
              <w:rPr>
                <w:rFonts w:cs="Arial"/>
                <w:color w:val="000000"/>
                <w:sz w:val="22"/>
                <w:szCs w:val="22"/>
              </w:rPr>
              <w:t> </w:t>
            </w:r>
          </w:p>
          <w:p w14:paraId="1FFA7A9B" w14:textId="77777777" w:rsidR="00F609D0" w:rsidRPr="004C4C0B" w:rsidRDefault="00F609D0" w:rsidP="00C5026C">
            <w:pPr>
              <w:ind w:right="-120"/>
              <w:textAlignment w:val="baseline"/>
              <w:rPr>
                <w:rFonts w:cs="Arial"/>
              </w:rPr>
            </w:pPr>
            <w:r w:rsidRPr="004C4C0B">
              <w:rPr>
                <w:rFonts w:cs="Arial"/>
                <w:color w:val="000000"/>
                <w:sz w:val="22"/>
                <w:szCs w:val="22"/>
              </w:rPr>
              <w:t> </w:t>
            </w:r>
          </w:p>
        </w:tc>
      </w:tr>
      <w:tr w:rsidR="00F609D0" w:rsidRPr="000455F9" w14:paraId="7C242F65"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blHeader/>
        </w:trPr>
        <w:tc>
          <w:tcPr>
            <w:tcW w:w="9390" w:type="dxa"/>
            <w:gridSpan w:val="6"/>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5B1628B3" w14:textId="77777777" w:rsidR="00F609D0" w:rsidRPr="000455F9" w:rsidRDefault="00F609D0" w:rsidP="00C5026C">
            <w:pPr>
              <w:ind w:left="426" w:right="-120" w:hanging="290"/>
              <w:jc w:val="center"/>
              <w:textAlignment w:val="baseline"/>
              <w:rPr>
                <w:rFonts w:cs="Arial"/>
                <w:sz w:val="20"/>
              </w:rPr>
            </w:pPr>
            <w:r w:rsidRPr="000455F9">
              <w:rPr>
                <w:rFonts w:cs="Arial"/>
                <w:sz w:val="20"/>
              </w:rPr>
              <w:t> </w:t>
            </w:r>
            <w:r w:rsidRPr="000455F9">
              <w:rPr>
                <w:rFonts w:cs="Arial"/>
                <w:color w:val="FFFFFF"/>
                <w:sz w:val="20"/>
                <w:lang w:val="es-ES"/>
              </w:rPr>
              <w:t>Cuestionario evaluación de la incidencia sobre la libre competencia de los actos administrativos expedidos con fines regulatorios</w:t>
            </w:r>
          </w:p>
        </w:tc>
      </w:tr>
      <w:tr w:rsidR="00F609D0" w:rsidRPr="000455F9" w14:paraId="132CB8E2"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blHeader/>
        </w:trPr>
        <w:tc>
          <w:tcPr>
            <w:tcW w:w="885"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133B23C4" w14:textId="77777777" w:rsidR="00F609D0" w:rsidRPr="004C4C0B" w:rsidRDefault="00F609D0" w:rsidP="00C5026C">
            <w:pPr>
              <w:ind w:right="-120"/>
              <w:jc w:val="center"/>
              <w:textAlignment w:val="baseline"/>
              <w:rPr>
                <w:rFonts w:cs="Arial"/>
                <w:sz w:val="20"/>
              </w:rPr>
            </w:pPr>
            <w:r w:rsidRPr="004C4C0B">
              <w:rPr>
                <w:rFonts w:cs="Arial"/>
                <w:b/>
                <w:color w:val="FFFFFF"/>
                <w:sz w:val="20"/>
                <w:lang w:val="es-ES"/>
              </w:rPr>
              <w:t>No.</w:t>
            </w:r>
          </w:p>
        </w:tc>
        <w:tc>
          <w:tcPr>
            <w:tcW w:w="2956"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5ED7C33C" w14:textId="77777777" w:rsidR="00F609D0" w:rsidRPr="004C4C0B" w:rsidRDefault="00F609D0" w:rsidP="00C5026C">
            <w:pPr>
              <w:ind w:left="-120" w:right="-120"/>
              <w:jc w:val="center"/>
              <w:textAlignment w:val="baseline"/>
              <w:rPr>
                <w:rFonts w:cs="Arial"/>
                <w:sz w:val="20"/>
              </w:rPr>
            </w:pPr>
            <w:r w:rsidRPr="004C4C0B">
              <w:rPr>
                <w:rFonts w:cs="Arial"/>
                <w:b/>
                <w:color w:val="FFFFFF"/>
                <w:sz w:val="20"/>
                <w:lang w:val="es-ES"/>
              </w:rPr>
              <w:t>Preguntas afectación a la competencia</w:t>
            </w:r>
          </w:p>
        </w:tc>
        <w:tc>
          <w:tcPr>
            <w:tcW w:w="443"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1669B502" w14:textId="77777777" w:rsidR="00F609D0" w:rsidRPr="004C4C0B" w:rsidRDefault="00F609D0" w:rsidP="00C5026C">
            <w:pPr>
              <w:ind w:left="-105" w:right="-120"/>
              <w:jc w:val="center"/>
              <w:textAlignment w:val="baseline"/>
              <w:rPr>
                <w:rFonts w:cs="Arial"/>
                <w:sz w:val="20"/>
              </w:rPr>
            </w:pPr>
            <w:r w:rsidRPr="004C4C0B">
              <w:rPr>
                <w:rFonts w:cs="Arial"/>
                <w:b/>
                <w:color w:val="FFFFFF"/>
                <w:sz w:val="20"/>
                <w:lang w:val="es-ES"/>
              </w:rPr>
              <w:t>Si</w:t>
            </w:r>
          </w:p>
        </w:tc>
        <w:tc>
          <w:tcPr>
            <w:tcW w:w="443"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7051C9E4" w14:textId="77777777" w:rsidR="00F609D0" w:rsidRPr="004C4C0B" w:rsidRDefault="00F609D0" w:rsidP="00C5026C">
            <w:pPr>
              <w:ind w:left="-120" w:right="-120"/>
              <w:jc w:val="center"/>
              <w:textAlignment w:val="baseline"/>
              <w:rPr>
                <w:rFonts w:cs="Arial"/>
                <w:sz w:val="20"/>
              </w:rPr>
            </w:pPr>
            <w:r w:rsidRPr="004C4C0B">
              <w:rPr>
                <w:rFonts w:cs="Arial"/>
                <w:b/>
                <w:color w:val="FFFFFF"/>
                <w:sz w:val="20"/>
                <w:lang w:val="es-ES"/>
              </w:rPr>
              <w:t>No</w:t>
            </w:r>
          </w:p>
        </w:tc>
        <w:tc>
          <w:tcPr>
            <w:tcW w:w="2323"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0CBB2A90" w14:textId="77777777" w:rsidR="00F609D0" w:rsidRPr="004C4C0B" w:rsidRDefault="00F609D0" w:rsidP="00C5026C">
            <w:pPr>
              <w:ind w:left="-120"/>
              <w:jc w:val="center"/>
              <w:textAlignment w:val="baseline"/>
              <w:rPr>
                <w:rFonts w:cs="Arial"/>
                <w:sz w:val="20"/>
              </w:rPr>
            </w:pPr>
            <w:r w:rsidRPr="004C4C0B">
              <w:rPr>
                <w:rFonts w:cs="Arial"/>
                <w:b/>
                <w:color w:val="FFFFFF"/>
                <w:sz w:val="20"/>
                <w:lang w:val="es-ES"/>
              </w:rPr>
              <w:t>Explicación</w:t>
            </w:r>
          </w:p>
        </w:tc>
        <w:tc>
          <w:tcPr>
            <w:tcW w:w="2340" w:type="dxa"/>
            <w:tcBorders>
              <w:top w:val="single" w:sz="6" w:space="0" w:color="000000"/>
              <w:left w:val="single" w:sz="6" w:space="0" w:color="000000"/>
              <w:bottom w:val="single" w:sz="6" w:space="0" w:color="000000"/>
              <w:right w:val="single" w:sz="6" w:space="0" w:color="000000"/>
            </w:tcBorders>
            <w:shd w:val="clear" w:color="auto" w:fill="44546A"/>
            <w:vAlign w:val="center"/>
            <w:hideMark/>
          </w:tcPr>
          <w:p w14:paraId="035C9E2C" w14:textId="77777777" w:rsidR="00F609D0" w:rsidRPr="004C4C0B" w:rsidRDefault="00F609D0" w:rsidP="00C5026C">
            <w:pPr>
              <w:ind w:left="-120" w:right="-120"/>
              <w:jc w:val="center"/>
              <w:textAlignment w:val="baseline"/>
              <w:rPr>
                <w:rFonts w:cs="Arial"/>
                <w:sz w:val="20"/>
              </w:rPr>
            </w:pPr>
            <w:r w:rsidRPr="004C4C0B">
              <w:rPr>
                <w:rFonts w:cs="Arial"/>
                <w:b/>
                <w:color w:val="FFFFFF"/>
                <w:sz w:val="20"/>
                <w:lang w:val="es-ES"/>
              </w:rPr>
              <w:t>Observaciones</w:t>
            </w:r>
          </w:p>
        </w:tc>
      </w:tr>
      <w:tr w:rsidR="00F609D0" w:rsidRPr="000455F9" w14:paraId="1AD4CD9F"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D60BD" w14:textId="77777777" w:rsidR="00F609D0" w:rsidRPr="004C4C0B" w:rsidRDefault="00F609D0" w:rsidP="00C5026C">
            <w:pPr>
              <w:ind w:right="-120"/>
              <w:jc w:val="center"/>
              <w:textAlignment w:val="baseline"/>
              <w:rPr>
                <w:rFonts w:cs="Arial"/>
                <w:sz w:val="20"/>
              </w:rPr>
            </w:pPr>
            <w:r w:rsidRPr="004C4C0B">
              <w:rPr>
                <w:rFonts w:cs="Arial"/>
                <w:b/>
                <w:sz w:val="20"/>
                <w:lang w:val="es-ES"/>
              </w:rPr>
              <w:t>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4F3B3" w14:textId="77777777" w:rsidR="00F609D0" w:rsidRPr="004C4C0B" w:rsidRDefault="00F609D0" w:rsidP="00C5026C">
            <w:pPr>
              <w:ind w:right="15"/>
              <w:textAlignment w:val="baseline"/>
              <w:rPr>
                <w:rFonts w:cs="Arial"/>
                <w:sz w:val="20"/>
              </w:rPr>
            </w:pPr>
            <w:r w:rsidRPr="004C4C0B">
              <w:rPr>
                <w:rFonts w:cs="Arial"/>
                <w:sz w:val="20"/>
                <w:lang w:val="es-ES"/>
              </w:rPr>
              <w:t>¿La regulación limita el número o la variedad de las empresas en uno o varios mercados relevantes relacionados?</w:t>
            </w:r>
            <w:r w:rsidRPr="004C4C0B">
              <w:rPr>
                <w:rFonts w:cs="Arial"/>
                <w:sz w:val="20"/>
              </w:rPr>
              <w:t> </w:t>
            </w:r>
          </w:p>
          <w:p w14:paraId="3375E6FB" w14:textId="77777777" w:rsidR="00F609D0" w:rsidRPr="004C4C0B" w:rsidRDefault="00F609D0" w:rsidP="00C5026C">
            <w:pPr>
              <w:ind w:right="15"/>
              <w:textAlignment w:val="baseline"/>
              <w:rPr>
                <w:rFonts w:cs="Arial"/>
                <w:sz w:val="20"/>
              </w:rPr>
            </w:pPr>
            <w:r w:rsidRPr="004C4C0B">
              <w:rPr>
                <w:rFonts w:cs="Arial"/>
                <w:sz w:val="20"/>
                <w:lang w:val="es-ES"/>
              </w:rPr>
              <w:t>Es posible que esto suceda, entre otros eventos, cuando el proyecto de acto:</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AF390"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EC6FD"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48C10"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6E0579" w14:textId="77777777" w:rsidR="00F609D0" w:rsidRPr="004C4C0B" w:rsidRDefault="00F609D0" w:rsidP="00C5026C">
            <w:pPr>
              <w:textAlignment w:val="baseline"/>
              <w:rPr>
                <w:rFonts w:cs="Arial"/>
                <w:sz w:val="20"/>
              </w:rPr>
            </w:pPr>
            <w:r w:rsidRPr="004C4C0B">
              <w:rPr>
                <w:rFonts w:cs="Arial"/>
                <w:sz w:val="20"/>
              </w:rPr>
              <w:t> </w:t>
            </w:r>
          </w:p>
        </w:tc>
      </w:tr>
      <w:tr w:rsidR="00F609D0" w:rsidRPr="000455F9" w14:paraId="04445C4C"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Height w:val="547"/>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11E5B" w14:textId="77777777" w:rsidR="00F609D0" w:rsidRPr="004C4C0B" w:rsidRDefault="00F609D0" w:rsidP="00C5026C">
            <w:pPr>
              <w:ind w:right="-120"/>
              <w:jc w:val="center"/>
              <w:textAlignment w:val="baseline"/>
              <w:rPr>
                <w:rFonts w:cs="Arial"/>
                <w:sz w:val="20"/>
              </w:rPr>
            </w:pPr>
            <w:r w:rsidRPr="004C4C0B">
              <w:rPr>
                <w:rFonts w:cs="Arial"/>
                <w:b/>
                <w:sz w:val="20"/>
                <w:lang w:val="es-ES"/>
              </w:rPr>
              <w:lastRenderedPageBreak/>
              <w:t>1.1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681D9" w14:textId="77777777" w:rsidR="00F609D0" w:rsidRPr="004C4C0B" w:rsidRDefault="00F609D0" w:rsidP="00C5026C">
            <w:pPr>
              <w:ind w:right="15"/>
              <w:textAlignment w:val="baseline"/>
              <w:rPr>
                <w:rFonts w:cs="Arial"/>
                <w:sz w:val="20"/>
              </w:rPr>
            </w:pPr>
            <w:r w:rsidRPr="004C4C0B">
              <w:rPr>
                <w:rFonts w:cs="Arial"/>
                <w:sz w:val="20"/>
                <w:lang w:val="es-ES"/>
              </w:rPr>
              <w:t>Otorga derechos exclusivos a una empresa para prestar servicios o para ofrecer bienes.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00DD1"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ED64F"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03DD6"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109DD"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6A402166"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959092" w14:textId="77777777" w:rsidR="00F609D0" w:rsidRPr="004C4C0B" w:rsidRDefault="00F609D0" w:rsidP="00C5026C">
            <w:pPr>
              <w:ind w:right="-120"/>
              <w:jc w:val="center"/>
              <w:textAlignment w:val="baseline"/>
              <w:rPr>
                <w:rFonts w:cs="Arial"/>
                <w:sz w:val="20"/>
              </w:rPr>
            </w:pPr>
            <w:r w:rsidRPr="004C4C0B">
              <w:rPr>
                <w:rFonts w:cs="Arial"/>
                <w:b/>
                <w:sz w:val="20"/>
                <w:lang w:val="es-ES"/>
              </w:rPr>
              <w:t>1.2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81D62" w14:textId="77777777" w:rsidR="00F609D0" w:rsidRPr="004C4C0B" w:rsidRDefault="00F609D0" w:rsidP="00C5026C">
            <w:pPr>
              <w:ind w:right="15"/>
              <w:textAlignment w:val="baseline"/>
              <w:rPr>
                <w:rFonts w:cs="Arial"/>
                <w:sz w:val="20"/>
              </w:rPr>
            </w:pPr>
            <w:r w:rsidRPr="004C4C0B">
              <w:rPr>
                <w:rFonts w:cs="Arial"/>
                <w:sz w:val="20"/>
                <w:lang w:val="es-ES"/>
              </w:rPr>
              <w:t>Establece licencias, permisos, autorizaciones para operar o cuotas de producción o de venta.</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C2B77"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C5F9B"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C7BF3"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2BED6D"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1F4BFDF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E25BE" w14:textId="77777777" w:rsidR="00F609D0" w:rsidRPr="004C4C0B" w:rsidRDefault="00F609D0" w:rsidP="00C5026C">
            <w:pPr>
              <w:ind w:right="-120"/>
              <w:jc w:val="center"/>
              <w:textAlignment w:val="baseline"/>
              <w:rPr>
                <w:rFonts w:cs="Arial"/>
                <w:sz w:val="20"/>
              </w:rPr>
            </w:pPr>
            <w:r w:rsidRPr="004C4C0B">
              <w:rPr>
                <w:rFonts w:cs="Arial"/>
                <w:b/>
                <w:sz w:val="20"/>
                <w:lang w:val="es-ES"/>
              </w:rPr>
              <w:t>1.3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AB2C8" w14:textId="77777777" w:rsidR="00F609D0" w:rsidRPr="004C4C0B" w:rsidRDefault="00F609D0" w:rsidP="00C5026C">
            <w:pPr>
              <w:ind w:right="15"/>
              <w:textAlignment w:val="baseline"/>
              <w:rPr>
                <w:rFonts w:cs="Arial"/>
                <w:sz w:val="20"/>
              </w:rPr>
            </w:pPr>
            <w:r w:rsidRPr="004C4C0B">
              <w:rPr>
                <w:rFonts w:cs="Arial"/>
                <w:sz w:val="20"/>
                <w:lang w:val="es-ES"/>
              </w:rPr>
              <w:t>Limita la capacidad de cierto tipo de empresas para ofrecer un bien o prestar un servicio.</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96471"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F2F53"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748B0"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C50FF" w14:textId="77777777" w:rsidR="00F609D0" w:rsidRPr="004C4C0B" w:rsidRDefault="00F609D0" w:rsidP="00C5026C">
            <w:pPr>
              <w:ind w:right="-120"/>
              <w:textAlignment w:val="baseline"/>
              <w:rPr>
                <w:rFonts w:cs="Arial"/>
                <w:sz w:val="20"/>
              </w:rPr>
            </w:pPr>
          </w:p>
        </w:tc>
      </w:tr>
      <w:tr w:rsidR="00F609D0" w:rsidRPr="000455F9" w14:paraId="6186EBCB"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9959D" w14:textId="77777777" w:rsidR="00F609D0" w:rsidRPr="004C4C0B" w:rsidRDefault="00F609D0" w:rsidP="00C5026C">
            <w:pPr>
              <w:ind w:right="-120"/>
              <w:jc w:val="center"/>
              <w:textAlignment w:val="baseline"/>
              <w:rPr>
                <w:rFonts w:cs="Arial"/>
                <w:sz w:val="20"/>
              </w:rPr>
            </w:pPr>
            <w:r w:rsidRPr="004C4C0B">
              <w:rPr>
                <w:rFonts w:cs="Arial"/>
                <w:b/>
                <w:sz w:val="20"/>
                <w:lang w:val="es-ES"/>
              </w:rPr>
              <w:t>1.4</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D6F12" w14:textId="77777777" w:rsidR="00F609D0" w:rsidRPr="004C4C0B" w:rsidRDefault="00F609D0" w:rsidP="00C5026C">
            <w:pPr>
              <w:ind w:right="15"/>
              <w:textAlignment w:val="baseline"/>
              <w:rPr>
                <w:rFonts w:cs="Arial"/>
                <w:sz w:val="20"/>
              </w:rPr>
            </w:pPr>
            <w:r w:rsidRPr="004C4C0B">
              <w:rPr>
                <w:rFonts w:cs="Arial"/>
                <w:sz w:val="20"/>
                <w:lang w:val="es-ES"/>
              </w:rPr>
              <w:t>Eleva de manera significativa los costos de entrada o salida del mercado para las empresas.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AC081"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81332"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5223A"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F0CB3"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2D44BD7F"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10B081" w14:textId="77777777" w:rsidR="00F609D0" w:rsidRPr="004C4C0B" w:rsidRDefault="00F609D0" w:rsidP="00C5026C">
            <w:pPr>
              <w:ind w:right="-120"/>
              <w:jc w:val="center"/>
              <w:textAlignment w:val="baseline"/>
              <w:rPr>
                <w:rFonts w:cs="Arial"/>
                <w:sz w:val="20"/>
              </w:rPr>
            </w:pPr>
            <w:r w:rsidRPr="004C4C0B">
              <w:rPr>
                <w:rFonts w:cs="Arial"/>
                <w:b/>
                <w:sz w:val="20"/>
                <w:lang w:val="es-ES"/>
              </w:rPr>
              <w:t>1.5</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4FEB99" w14:textId="77777777" w:rsidR="00F609D0" w:rsidRPr="004C4C0B" w:rsidRDefault="00F609D0" w:rsidP="00C5026C">
            <w:pPr>
              <w:ind w:right="15"/>
              <w:textAlignment w:val="baseline"/>
              <w:rPr>
                <w:rFonts w:cs="Arial"/>
                <w:sz w:val="20"/>
              </w:rPr>
            </w:pPr>
            <w:r w:rsidRPr="004C4C0B">
              <w:rPr>
                <w:rFonts w:cs="Arial"/>
                <w:sz w:val="20"/>
                <w:lang w:val="es-ES"/>
              </w:rPr>
              <w:t>Crea una barrera geográfica a la libre circulación de bienes o servicios o a la inversión.</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E4943"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D72C5"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8CAE7"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CE9DD"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1781BFD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266E6E" w14:textId="77777777" w:rsidR="00F609D0" w:rsidRPr="004C4C0B" w:rsidRDefault="00F609D0" w:rsidP="00C5026C">
            <w:pPr>
              <w:ind w:right="-120"/>
              <w:jc w:val="center"/>
              <w:textAlignment w:val="baseline"/>
              <w:rPr>
                <w:rFonts w:cs="Arial"/>
                <w:sz w:val="20"/>
              </w:rPr>
            </w:pPr>
            <w:r w:rsidRPr="004C4C0B">
              <w:rPr>
                <w:rFonts w:cs="Arial"/>
                <w:b/>
                <w:sz w:val="20"/>
                <w:lang w:val="es-ES"/>
              </w:rPr>
              <w:t>1.6</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73BC3" w14:textId="77777777" w:rsidR="00F609D0" w:rsidRPr="004C4C0B" w:rsidRDefault="00F609D0" w:rsidP="00C5026C">
            <w:pPr>
              <w:ind w:right="15"/>
              <w:textAlignment w:val="baseline"/>
              <w:rPr>
                <w:rFonts w:cs="Arial"/>
                <w:sz w:val="20"/>
              </w:rPr>
            </w:pPr>
            <w:r w:rsidRPr="004C4C0B">
              <w:rPr>
                <w:rFonts w:cs="Arial"/>
                <w:sz w:val="20"/>
                <w:lang w:val="es-ES"/>
              </w:rPr>
              <w:t>Incrementa de manera significativa los costos: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CA4D1"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BE53B"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5D336"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D4A319" w14:textId="77777777" w:rsidR="00F609D0" w:rsidRPr="004C4C0B" w:rsidRDefault="00F609D0" w:rsidP="00C5026C">
            <w:pPr>
              <w:textAlignment w:val="baseline"/>
              <w:rPr>
                <w:rFonts w:cs="Arial"/>
                <w:sz w:val="20"/>
              </w:rPr>
            </w:pPr>
            <w:r w:rsidRPr="004C4C0B">
              <w:rPr>
                <w:rFonts w:cs="Arial"/>
                <w:sz w:val="20"/>
              </w:rPr>
              <w:t> </w:t>
            </w:r>
          </w:p>
        </w:tc>
      </w:tr>
      <w:tr w:rsidR="00F609D0" w:rsidRPr="000455F9" w14:paraId="0E95D54D"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A85E36" w14:textId="77777777" w:rsidR="00F609D0" w:rsidRPr="004C4C0B" w:rsidRDefault="00F609D0" w:rsidP="00C5026C">
            <w:pPr>
              <w:ind w:right="-120"/>
              <w:jc w:val="center"/>
              <w:textAlignment w:val="baseline"/>
              <w:rPr>
                <w:rFonts w:cs="Arial"/>
                <w:sz w:val="20"/>
              </w:rPr>
            </w:pPr>
            <w:r w:rsidRPr="004C4C0B">
              <w:rPr>
                <w:rFonts w:cs="Arial"/>
                <w:b/>
                <w:sz w:val="20"/>
                <w:lang w:val="es-ES"/>
              </w:rPr>
              <w:t>1.6.1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31AAE" w14:textId="77777777" w:rsidR="00F609D0" w:rsidRPr="004C4C0B" w:rsidRDefault="00F609D0" w:rsidP="00C5026C">
            <w:pPr>
              <w:ind w:right="15"/>
              <w:textAlignment w:val="baseline"/>
              <w:rPr>
                <w:rFonts w:cs="Arial"/>
                <w:sz w:val="20"/>
              </w:rPr>
            </w:pPr>
            <w:r w:rsidRPr="004C4C0B">
              <w:rPr>
                <w:rFonts w:cs="Arial"/>
                <w:sz w:val="20"/>
                <w:lang w:val="es-ES"/>
              </w:rPr>
              <w:t>Para nuevas empresas en relación con las empresas que ya operan en un mercado o mercados relevantes relacionados, o</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34F9D"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2220A"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0919A"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EB516"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27EA31C4"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Height w:val="903"/>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4A951" w14:textId="77777777" w:rsidR="00F609D0" w:rsidRPr="004C4C0B" w:rsidRDefault="00F609D0" w:rsidP="00C5026C">
            <w:pPr>
              <w:ind w:right="-120"/>
              <w:jc w:val="center"/>
              <w:textAlignment w:val="baseline"/>
              <w:rPr>
                <w:rFonts w:cs="Arial"/>
                <w:sz w:val="20"/>
              </w:rPr>
            </w:pPr>
            <w:r w:rsidRPr="004C4C0B">
              <w:rPr>
                <w:rFonts w:cs="Arial"/>
                <w:b/>
                <w:sz w:val="20"/>
                <w:lang w:val="es-ES"/>
              </w:rPr>
              <w:t>1.6.2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040B3" w14:textId="77777777" w:rsidR="00F609D0" w:rsidRPr="004C4C0B" w:rsidRDefault="00F609D0" w:rsidP="00C5026C">
            <w:pPr>
              <w:ind w:right="15"/>
              <w:textAlignment w:val="baseline"/>
              <w:rPr>
                <w:rFonts w:cs="Arial"/>
                <w:sz w:val="20"/>
              </w:rPr>
            </w:pPr>
            <w:r w:rsidRPr="004C4C0B">
              <w:rPr>
                <w:rFonts w:cs="Arial"/>
                <w:sz w:val="20"/>
                <w:lang w:val="es-ES"/>
              </w:rPr>
              <w:t>Para unas empresas en relación con otras cuando el conjunto ya opera en uno o varios mercados relevantes relacionados.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ED64F"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09940"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3EC2A"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7DEC7"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4CC35325"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3EBE4" w14:textId="77777777" w:rsidR="00F609D0" w:rsidRPr="004C4C0B" w:rsidRDefault="00F609D0" w:rsidP="00C5026C">
            <w:pPr>
              <w:ind w:right="-120"/>
              <w:jc w:val="center"/>
              <w:textAlignment w:val="baseline"/>
              <w:rPr>
                <w:rFonts w:cs="Arial"/>
                <w:sz w:val="20"/>
              </w:rPr>
            </w:pPr>
            <w:r w:rsidRPr="004C4C0B">
              <w:rPr>
                <w:rFonts w:cs="Arial"/>
                <w:b/>
                <w:sz w:val="20"/>
                <w:lang w:val="es-ES"/>
              </w:rPr>
              <w:t>2ª.</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D72CE" w14:textId="77777777" w:rsidR="00F609D0" w:rsidRPr="004C4C0B" w:rsidRDefault="00F609D0" w:rsidP="00C5026C">
            <w:pPr>
              <w:ind w:right="15"/>
              <w:textAlignment w:val="baseline"/>
              <w:rPr>
                <w:rFonts w:cs="Arial"/>
                <w:sz w:val="20"/>
              </w:rPr>
            </w:pPr>
            <w:r w:rsidRPr="004C4C0B">
              <w:rPr>
                <w:rFonts w:cs="Arial"/>
                <w:sz w:val="20"/>
                <w:lang w:val="es-ES"/>
              </w:rPr>
              <w:t>¿La regulación limita la capacidad de las empresas para competir en uno o varios mercados relevantes relacionados?</w:t>
            </w:r>
            <w:r w:rsidRPr="004C4C0B">
              <w:rPr>
                <w:rFonts w:cs="Arial"/>
                <w:sz w:val="20"/>
              </w:rPr>
              <w:t> </w:t>
            </w:r>
          </w:p>
          <w:p w14:paraId="672A0EAB" w14:textId="77777777" w:rsidR="00F609D0" w:rsidRPr="004C4C0B" w:rsidRDefault="00F609D0" w:rsidP="00C5026C">
            <w:pPr>
              <w:ind w:right="15"/>
              <w:textAlignment w:val="baseline"/>
              <w:rPr>
                <w:rFonts w:cs="Arial"/>
                <w:sz w:val="20"/>
              </w:rPr>
            </w:pPr>
            <w:r w:rsidRPr="004C4C0B">
              <w:rPr>
                <w:rFonts w:cs="Arial"/>
                <w:sz w:val="20"/>
                <w:lang w:val="es-ES"/>
              </w:rPr>
              <w:t>Es posible que esto suceda, entre otros eventos, cuando el proyecto de acto:</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19B0C"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60EE6"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166AD8"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D996A" w14:textId="77777777" w:rsidR="00F609D0" w:rsidRPr="004C4C0B" w:rsidRDefault="00F609D0" w:rsidP="00C5026C">
            <w:pPr>
              <w:textAlignment w:val="baseline"/>
              <w:rPr>
                <w:rFonts w:cs="Arial"/>
                <w:sz w:val="20"/>
              </w:rPr>
            </w:pPr>
            <w:r w:rsidRPr="004C4C0B">
              <w:rPr>
                <w:rFonts w:cs="Arial"/>
                <w:sz w:val="20"/>
              </w:rPr>
              <w:t> </w:t>
            </w:r>
          </w:p>
        </w:tc>
      </w:tr>
      <w:tr w:rsidR="00F609D0" w:rsidRPr="000455F9" w14:paraId="69A95E61"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991E6" w14:textId="77777777" w:rsidR="00F609D0" w:rsidRPr="004C4C0B" w:rsidRDefault="00F609D0" w:rsidP="00C5026C">
            <w:pPr>
              <w:ind w:right="-120"/>
              <w:jc w:val="center"/>
              <w:textAlignment w:val="baseline"/>
              <w:rPr>
                <w:rFonts w:cs="Arial"/>
                <w:sz w:val="20"/>
              </w:rPr>
            </w:pPr>
            <w:r w:rsidRPr="004C4C0B">
              <w:rPr>
                <w:rFonts w:cs="Arial"/>
                <w:b/>
                <w:sz w:val="20"/>
                <w:lang w:val="es-ES"/>
              </w:rPr>
              <w:t>2.1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F0E22" w14:textId="77777777" w:rsidR="00F609D0" w:rsidRPr="004C4C0B" w:rsidRDefault="00F609D0" w:rsidP="00C5026C">
            <w:pPr>
              <w:ind w:right="15"/>
              <w:textAlignment w:val="baseline"/>
              <w:rPr>
                <w:rFonts w:cs="Arial"/>
                <w:sz w:val="20"/>
              </w:rPr>
            </w:pPr>
            <w:r w:rsidRPr="004C4C0B">
              <w:rPr>
                <w:rFonts w:cs="Arial"/>
                <w:sz w:val="20"/>
                <w:lang w:val="es-ES"/>
              </w:rPr>
              <w:t>Controla o influye sustancialmente sobre los precios de los bienes o servicios o el nivel de producción.</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DDF47"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B9816"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6500B"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99DD9" w14:textId="77777777" w:rsidR="00F609D0" w:rsidRPr="004C4C0B" w:rsidRDefault="00F609D0" w:rsidP="00C5026C">
            <w:pPr>
              <w:textAlignment w:val="baseline"/>
              <w:rPr>
                <w:rFonts w:cs="Arial"/>
                <w:sz w:val="20"/>
              </w:rPr>
            </w:pPr>
            <w:r w:rsidRPr="004C4C0B">
              <w:rPr>
                <w:rFonts w:cs="Arial"/>
                <w:sz w:val="20"/>
              </w:rPr>
              <w:t> </w:t>
            </w:r>
          </w:p>
        </w:tc>
      </w:tr>
      <w:tr w:rsidR="00F609D0" w:rsidRPr="000455F9" w14:paraId="523C000D"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69332" w14:textId="77777777" w:rsidR="00F609D0" w:rsidRPr="004C4C0B" w:rsidRDefault="00F609D0" w:rsidP="00C5026C">
            <w:pPr>
              <w:ind w:right="-120"/>
              <w:jc w:val="center"/>
              <w:textAlignment w:val="baseline"/>
              <w:rPr>
                <w:rFonts w:cs="Arial"/>
                <w:sz w:val="20"/>
              </w:rPr>
            </w:pPr>
            <w:r w:rsidRPr="004C4C0B">
              <w:rPr>
                <w:rFonts w:cs="Arial"/>
                <w:b/>
                <w:sz w:val="20"/>
                <w:lang w:val="es-ES"/>
              </w:rPr>
              <w:t>2.2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9A47B" w14:textId="77777777" w:rsidR="00F609D0" w:rsidRPr="004C4C0B" w:rsidRDefault="00F609D0" w:rsidP="00C5026C">
            <w:pPr>
              <w:ind w:right="15"/>
              <w:textAlignment w:val="baseline"/>
              <w:rPr>
                <w:rFonts w:cs="Arial"/>
                <w:sz w:val="20"/>
              </w:rPr>
            </w:pPr>
            <w:r w:rsidRPr="004C4C0B">
              <w:rPr>
                <w:rFonts w:cs="Arial"/>
                <w:sz w:val="20"/>
                <w:lang w:val="es-ES"/>
              </w:rPr>
              <w:t>Limita a las empresas la posibilidad de distribuir o comercializar sus productos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7C8D1"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FD45D"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2D6D8"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E8D4E3" w14:textId="77777777" w:rsidR="00F609D0" w:rsidRPr="004C4C0B" w:rsidRDefault="00F609D0" w:rsidP="00C5026C">
            <w:pPr>
              <w:textAlignment w:val="baseline"/>
              <w:rPr>
                <w:rFonts w:cs="Arial"/>
                <w:sz w:val="20"/>
              </w:rPr>
            </w:pPr>
            <w:r w:rsidRPr="004C4C0B">
              <w:rPr>
                <w:rFonts w:cs="Arial"/>
                <w:sz w:val="20"/>
              </w:rPr>
              <w:t> </w:t>
            </w:r>
          </w:p>
        </w:tc>
      </w:tr>
      <w:tr w:rsidR="00F609D0" w:rsidRPr="000455F9" w14:paraId="234B4A7B"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AC8AA" w14:textId="77777777" w:rsidR="00F609D0" w:rsidRPr="004C4C0B" w:rsidRDefault="00F609D0" w:rsidP="00C5026C">
            <w:pPr>
              <w:ind w:right="-120"/>
              <w:jc w:val="center"/>
              <w:textAlignment w:val="baseline"/>
              <w:rPr>
                <w:rFonts w:cs="Arial"/>
                <w:sz w:val="20"/>
              </w:rPr>
            </w:pPr>
            <w:r w:rsidRPr="004C4C0B">
              <w:rPr>
                <w:rFonts w:cs="Arial"/>
                <w:b/>
                <w:sz w:val="20"/>
                <w:lang w:val="es-ES"/>
              </w:rPr>
              <w:t>2.3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108B5" w14:textId="77777777" w:rsidR="00F609D0" w:rsidRPr="004C4C0B" w:rsidRDefault="00F609D0" w:rsidP="00C5026C">
            <w:pPr>
              <w:ind w:right="15"/>
              <w:textAlignment w:val="baseline"/>
              <w:rPr>
                <w:rFonts w:cs="Arial"/>
                <w:sz w:val="20"/>
              </w:rPr>
            </w:pPr>
            <w:r w:rsidRPr="004C4C0B">
              <w:rPr>
                <w:rFonts w:cs="Arial"/>
                <w:sz w:val="20"/>
                <w:lang w:val="es-ES"/>
              </w:rPr>
              <w:t>Limita la libertad de las empresas para promocionar sus productos.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7F7A0"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36FF1"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A60F1"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5E912"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665B729A"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51C97" w14:textId="77777777" w:rsidR="00F609D0" w:rsidRPr="004C4C0B" w:rsidRDefault="00F609D0" w:rsidP="00C5026C">
            <w:pPr>
              <w:ind w:right="-120"/>
              <w:jc w:val="center"/>
              <w:textAlignment w:val="baseline"/>
              <w:rPr>
                <w:rFonts w:cs="Arial"/>
                <w:sz w:val="20"/>
              </w:rPr>
            </w:pPr>
            <w:r w:rsidRPr="004C4C0B">
              <w:rPr>
                <w:rFonts w:cs="Arial"/>
                <w:b/>
                <w:sz w:val="20"/>
                <w:lang w:val="es-ES"/>
              </w:rPr>
              <w:t>2.4</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D68069" w14:textId="77777777" w:rsidR="00F609D0" w:rsidRPr="004C4C0B" w:rsidRDefault="00F609D0" w:rsidP="00C5026C">
            <w:pPr>
              <w:ind w:right="15"/>
              <w:textAlignment w:val="baseline"/>
              <w:rPr>
                <w:rFonts w:cs="Arial"/>
                <w:sz w:val="20"/>
              </w:rPr>
            </w:pPr>
            <w:r w:rsidRPr="004C4C0B">
              <w:rPr>
                <w:rFonts w:cs="Arial"/>
                <w:sz w:val="20"/>
                <w:lang w:val="es-ES"/>
              </w:rPr>
              <w:t>Exige características de calidad de los productos, en particular si resultan más ventajosas para algunas empresas que para otras.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8EE6C"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F7A81"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B7577"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61E76"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0D4EFD0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860B3" w14:textId="77777777" w:rsidR="00F609D0" w:rsidRPr="004C4C0B" w:rsidRDefault="00F609D0" w:rsidP="00C5026C">
            <w:pPr>
              <w:ind w:right="-120"/>
              <w:jc w:val="center"/>
              <w:textAlignment w:val="baseline"/>
              <w:rPr>
                <w:rFonts w:cs="Arial"/>
                <w:sz w:val="20"/>
              </w:rPr>
            </w:pPr>
            <w:r w:rsidRPr="004C4C0B">
              <w:rPr>
                <w:rFonts w:cs="Arial"/>
                <w:b/>
                <w:sz w:val="20"/>
                <w:lang w:val="es-ES"/>
              </w:rPr>
              <w:t>2.5</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29C4D" w14:textId="77777777" w:rsidR="00F609D0" w:rsidRPr="004C4C0B" w:rsidRDefault="00F609D0" w:rsidP="00C5026C">
            <w:pPr>
              <w:ind w:right="15"/>
              <w:textAlignment w:val="baseline"/>
              <w:rPr>
                <w:rFonts w:cs="Arial"/>
                <w:sz w:val="20"/>
              </w:rPr>
            </w:pPr>
            <w:r w:rsidRPr="004C4C0B">
              <w:rPr>
                <w:rFonts w:cs="Arial"/>
                <w:sz w:val="20"/>
                <w:lang w:val="es-ES"/>
              </w:rPr>
              <w:t>Otorga a los operadores actuales en el mercado un trato diferenciado con respecto a las empresas entrantes.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317AE"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042A7"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9F5B5"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3F01B"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4AF5F252"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C9D87" w14:textId="77777777" w:rsidR="00F609D0" w:rsidRPr="004C4C0B" w:rsidRDefault="00F609D0" w:rsidP="00C5026C">
            <w:pPr>
              <w:ind w:right="-120"/>
              <w:jc w:val="center"/>
              <w:textAlignment w:val="baseline"/>
              <w:rPr>
                <w:rFonts w:cs="Arial"/>
                <w:sz w:val="20"/>
              </w:rPr>
            </w:pPr>
            <w:r w:rsidRPr="004C4C0B">
              <w:rPr>
                <w:rFonts w:cs="Arial"/>
                <w:b/>
                <w:sz w:val="20"/>
                <w:lang w:val="es-ES"/>
              </w:rPr>
              <w:lastRenderedPageBreak/>
              <w:t>2.6</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44042E" w14:textId="77777777" w:rsidR="00F609D0" w:rsidRPr="004C4C0B" w:rsidRDefault="00F609D0" w:rsidP="00C5026C">
            <w:pPr>
              <w:ind w:right="15"/>
              <w:textAlignment w:val="baseline"/>
              <w:rPr>
                <w:rFonts w:cs="Arial"/>
                <w:sz w:val="20"/>
              </w:rPr>
            </w:pPr>
            <w:r w:rsidRPr="004C4C0B">
              <w:rPr>
                <w:rFonts w:cs="Arial"/>
                <w:sz w:val="20"/>
                <w:lang w:val="es-ES"/>
              </w:rPr>
              <w:t>Otorga trato diferenciado a unas empresas con respecto a otras.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14522"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5FCD2"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0EB78"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B612A5"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4FCD8F7D"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5E1E56" w14:textId="77777777" w:rsidR="00F609D0" w:rsidRPr="004C4C0B" w:rsidRDefault="00F609D0" w:rsidP="00C5026C">
            <w:pPr>
              <w:ind w:right="-120"/>
              <w:jc w:val="center"/>
              <w:textAlignment w:val="baseline"/>
              <w:rPr>
                <w:rFonts w:cs="Arial"/>
                <w:sz w:val="20"/>
              </w:rPr>
            </w:pPr>
            <w:r w:rsidRPr="004C4C0B">
              <w:rPr>
                <w:rFonts w:cs="Arial"/>
                <w:b/>
                <w:sz w:val="20"/>
                <w:lang w:val="es-ES"/>
              </w:rPr>
              <w:t>2.7</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EAE52" w14:textId="77777777" w:rsidR="00F609D0" w:rsidRPr="004C4C0B" w:rsidRDefault="00F609D0" w:rsidP="00C5026C">
            <w:pPr>
              <w:ind w:right="15"/>
              <w:textAlignment w:val="baseline"/>
              <w:rPr>
                <w:rFonts w:cs="Arial"/>
                <w:sz w:val="20"/>
              </w:rPr>
            </w:pPr>
            <w:r w:rsidRPr="004C4C0B">
              <w:rPr>
                <w:rFonts w:cs="Arial"/>
                <w:sz w:val="20"/>
                <w:lang w:val="es-ES"/>
              </w:rPr>
              <w:t>Limita la libertad de las empresas para elegir sus procesos de producción o su forma de organización industrial.</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25AE8"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624F6"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4D16C"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31730"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0D0E3664"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67C6A" w14:textId="77777777" w:rsidR="00F609D0" w:rsidRPr="004C4C0B" w:rsidRDefault="00F609D0" w:rsidP="00C5026C">
            <w:pPr>
              <w:ind w:right="-120"/>
              <w:jc w:val="center"/>
              <w:textAlignment w:val="baseline"/>
              <w:rPr>
                <w:rFonts w:cs="Arial"/>
                <w:sz w:val="20"/>
              </w:rPr>
            </w:pPr>
            <w:r w:rsidRPr="004C4C0B">
              <w:rPr>
                <w:rFonts w:cs="Arial"/>
                <w:b/>
                <w:sz w:val="20"/>
                <w:lang w:val="es-ES"/>
              </w:rPr>
              <w:t>2.8</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FA55B" w14:textId="77777777" w:rsidR="00F609D0" w:rsidRPr="004C4C0B" w:rsidRDefault="00F609D0" w:rsidP="00C5026C">
            <w:pPr>
              <w:ind w:right="15"/>
              <w:textAlignment w:val="baseline"/>
              <w:rPr>
                <w:rFonts w:cs="Arial"/>
                <w:sz w:val="20"/>
              </w:rPr>
            </w:pPr>
            <w:r w:rsidRPr="004C4C0B">
              <w:rPr>
                <w:rFonts w:cs="Arial"/>
                <w:sz w:val="20"/>
                <w:lang w:val="es-ES"/>
              </w:rPr>
              <w:t xml:space="preserve">Limita la innovación para ofrecer nuevos productos o productos </w:t>
            </w:r>
            <w:proofErr w:type="gramStart"/>
            <w:r w:rsidRPr="004C4C0B">
              <w:rPr>
                <w:rFonts w:cs="Arial"/>
                <w:sz w:val="20"/>
                <w:lang w:val="es-ES"/>
              </w:rPr>
              <w:t>existentes</w:t>
            </w:r>
            <w:proofErr w:type="gramEnd"/>
            <w:r w:rsidRPr="004C4C0B">
              <w:rPr>
                <w:rFonts w:cs="Arial"/>
                <w:sz w:val="20"/>
                <w:lang w:val="es-ES"/>
              </w:rPr>
              <w:t xml:space="preserve"> pero bajo nuevas formas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76C67"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664D0"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65EA6"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9E40A"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63934776"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95D3C" w14:textId="77777777" w:rsidR="00F609D0" w:rsidRPr="004C4C0B" w:rsidRDefault="00F609D0" w:rsidP="00C5026C">
            <w:pPr>
              <w:ind w:right="-120"/>
              <w:jc w:val="center"/>
              <w:textAlignment w:val="baseline"/>
              <w:rPr>
                <w:rFonts w:cs="Arial"/>
                <w:sz w:val="20"/>
              </w:rPr>
            </w:pPr>
            <w:r w:rsidRPr="004C4C0B">
              <w:rPr>
                <w:rFonts w:cs="Arial"/>
                <w:b/>
                <w:sz w:val="20"/>
                <w:lang w:val="es-ES"/>
              </w:rPr>
              <w:t>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ACEDF" w14:textId="77777777" w:rsidR="00F609D0" w:rsidRPr="004C4C0B" w:rsidRDefault="00F609D0" w:rsidP="00C5026C">
            <w:pPr>
              <w:ind w:right="15"/>
              <w:textAlignment w:val="baseline"/>
              <w:rPr>
                <w:rFonts w:cs="Arial"/>
                <w:sz w:val="20"/>
              </w:rPr>
            </w:pPr>
            <w:r w:rsidRPr="004C4C0B">
              <w:rPr>
                <w:rFonts w:cs="Arial"/>
                <w:sz w:val="20"/>
                <w:lang w:val="es-ES"/>
              </w:rPr>
              <w:t>¿La regulación implica reducir los incentivos de las empresas para competir en uno o varios mercados relevantes relacionados?</w:t>
            </w:r>
            <w:r w:rsidRPr="004C4C0B">
              <w:rPr>
                <w:rFonts w:cs="Arial"/>
                <w:sz w:val="20"/>
              </w:rPr>
              <w:t> </w:t>
            </w:r>
          </w:p>
          <w:p w14:paraId="5A2EEF17" w14:textId="77777777" w:rsidR="00F609D0" w:rsidRPr="004C4C0B" w:rsidRDefault="00F609D0" w:rsidP="00C5026C">
            <w:pPr>
              <w:ind w:right="15"/>
              <w:textAlignment w:val="baseline"/>
              <w:rPr>
                <w:rFonts w:cs="Arial"/>
                <w:sz w:val="20"/>
              </w:rPr>
            </w:pPr>
            <w:r w:rsidRPr="004C4C0B">
              <w:rPr>
                <w:rFonts w:cs="Arial"/>
                <w:sz w:val="20"/>
                <w:lang w:val="es-ES"/>
              </w:rPr>
              <w:t>Es posible que esto suceda, entre otros eventos, cuando el proyecto de acto:</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73A64"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803E4" w14:textId="77777777" w:rsidR="00F609D0" w:rsidRPr="004C4C0B" w:rsidRDefault="00F609D0" w:rsidP="00C5026C">
            <w:pPr>
              <w:ind w:right="-120"/>
              <w:jc w:val="center"/>
              <w:textAlignment w:val="baseline"/>
              <w:rPr>
                <w:rFonts w:cs="Arial"/>
                <w:sz w:val="20"/>
              </w:rPr>
            </w:pP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A1B71"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BA12E"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6EA0F9BE"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96D55" w14:textId="77777777" w:rsidR="00F609D0" w:rsidRPr="004C4C0B" w:rsidRDefault="00F609D0" w:rsidP="00C5026C">
            <w:pPr>
              <w:ind w:right="-120"/>
              <w:jc w:val="center"/>
              <w:textAlignment w:val="baseline"/>
              <w:rPr>
                <w:rFonts w:cs="Arial"/>
                <w:sz w:val="20"/>
              </w:rPr>
            </w:pPr>
            <w:r w:rsidRPr="004C4C0B">
              <w:rPr>
                <w:rFonts w:cs="Arial"/>
                <w:b/>
                <w:sz w:val="20"/>
                <w:lang w:val="es-ES"/>
              </w:rPr>
              <w:t>3.1</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42C32" w14:textId="77777777" w:rsidR="00F609D0" w:rsidRPr="004C4C0B" w:rsidRDefault="00F609D0" w:rsidP="00C5026C">
            <w:pPr>
              <w:ind w:right="15"/>
              <w:textAlignment w:val="baseline"/>
              <w:rPr>
                <w:rFonts w:cs="Arial"/>
                <w:sz w:val="20"/>
              </w:rPr>
            </w:pPr>
            <w:r w:rsidRPr="004C4C0B">
              <w:rPr>
                <w:rFonts w:cs="Arial"/>
                <w:sz w:val="20"/>
                <w:lang w:val="es-ES"/>
              </w:rPr>
              <w:t>Genera un régimen de autorregulación o corregulación.</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05D99"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36B7B"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F30A9"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AC193"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100092D0"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99E9F5" w14:textId="77777777" w:rsidR="00F609D0" w:rsidRPr="004C4C0B" w:rsidRDefault="00F609D0" w:rsidP="00C5026C">
            <w:pPr>
              <w:ind w:right="-120"/>
              <w:jc w:val="center"/>
              <w:textAlignment w:val="baseline"/>
              <w:rPr>
                <w:rFonts w:cs="Arial"/>
                <w:sz w:val="20"/>
              </w:rPr>
            </w:pPr>
            <w:r w:rsidRPr="004C4C0B">
              <w:rPr>
                <w:rFonts w:cs="Arial"/>
                <w:b/>
                <w:sz w:val="20"/>
                <w:lang w:val="es-ES"/>
              </w:rPr>
              <w:t>3.2.</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12044" w14:textId="77777777" w:rsidR="00F609D0" w:rsidRPr="004C4C0B" w:rsidRDefault="00F609D0" w:rsidP="00C5026C">
            <w:pPr>
              <w:ind w:right="15"/>
              <w:textAlignment w:val="baseline"/>
              <w:rPr>
                <w:rFonts w:cs="Arial"/>
                <w:sz w:val="20"/>
              </w:rPr>
            </w:pPr>
            <w:r w:rsidRPr="004C4C0B">
              <w:rPr>
                <w:rFonts w:cs="Arial"/>
                <w:sz w:val="20"/>
                <w:lang w:val="es-ES"/>
              </w:rPr>
              <w:t>Exige o fomenta el intercambio de información entre competidores o la publicación de información sobre producción, precios, ventas o costos de las empresas.</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F9662"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92AF5"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1CE80" w14:textId="77777777" w:rsidR="00F609D0" w:rsidRPr="004C4C0B" w:rsidRDefault="00F609D0" w:rsidP="00C5026C">
            <w:pPr>
              <w:textAlignment w:val="baseline"/>
              <w:rPr>
                <w:rFonts w:cs="Arial"/>
                <w:sz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BBC1A3"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77BEE3BF"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CEE23" w14:textId="77777777" w:rsidR="00F609D0" w:rsidRPr="004C4C0B" w:rsidRDefault="00F609D0" w:rsidP="00C5026C">
            <w:pPr>
              <w:ind w:right="-120"/>
              <w:jc w:val="center"/>
              <w:textAlignment w:val="baseline"/>
              <w:rPr>
                <w:rFonts w:cs="Arial"/>
                <w:sz w:val="20"/>
              </w:rPr>
            </w:pPr>
            <w:r w:rsidRPr="004C4C0B">
              <w:rPr>
                <w:rFonts w:cs="Arial"/>
                <w:b/>
                <w:sz w:val="20"/>
                <w:lang w:val="es-ES"/>
              </w:rPr>
              <w:t>3.3.</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86D82" w14:textId="77777777" w:rsidR="00F609D0" w:rsidRPr="004C4C0B" w:rsidRDefault="00F609D0" w:rsidP="00C5026C">
            <w:pPr>
              <w:ind w:right="15"/>
              <w:textAlignment w:val="baseline"/>
              <w:rPr>
                <w:rFonts w:cs="Arial"/>
                <w:sz w:val="20"/>
              </w:rPr>
            </w:pPr>
            <w:r w:rsidRPr="004C4C0B">
              <w:rPr>
                <w:rFonts w:cs="Arial"/>
                <w:sz w:val="20"/>
                <w:lang w:val="es-ES"/>
              </w:rPr>
              <w:t>Reduce la movilidad de los clientes o consumidores entre competidores mediante el incremento de los costos asociados con el cambio de proveedor o comprador.</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E084C"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0F20C"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2972C" w14:textId="77777777" w:rsidR="00F609D0" w:rsidRPr="004C4C0B" w:rsidRDefault="00F609D0" w:rsidP="00C5026C">
            <w:pPr>
              <w:textAlignment w:val="baseline"/>
              <w:rPr>
                <w:rFonts w:cs="Arial"/>
                <w:sz w:val="20"/>
              </w:rPr>
            </w:pPr>
            <w:r w:rsidRPr="004C4C0B">
              <w:rPr>
                <w:rFonts w:cs="Arial"/>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1A2C"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3EF12229"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40773" w14:textId="77777777" w:rsidR="00F609D0" w:rsidRPr="004C4C0B" w:rsidRDefault="00F609D0" w:rsidP="00C5026C">
            <w:pPr>
              <w:ind w:right="-120"/>
              <w:jc w:val="center"/>
              <w:textAlignment w:val="baseline"/>
              <w:rPr>
                <w:rFonts w:cs="Arial"/>
                <w:sz w:val="20"/>
              </w:rPr>
            </w:pPr>
            <w:r w:rsidRPr="004C4C0B">
              <w:rPr>
                <w:rFonts w:cs="Arial"/>
                <w:b/>
                <w:sz w:val="20"/>
                <w:lang w:val="es-ES"/>
              </w:rPr>
              <w:t>3.4</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ECAB9" w14:textId="77777777" w:rsidR="00F609D0" w:rsidRPr="004C4C0B" w:rsidRDefault="00F609D0" w:rsidP="00C5026C">
            <w:pPr>
              <w:ind w:right="15"/>
              <w:textAlignment w:val="baseline"/>
              <w:rPr>
                <w:rFonts w:cs="Arial"/>
                <w:sz w:val="20"/>
              </w:rPr>
            </w:pPr>
            <w:r w:rsidRPr="004C4C0B">
              <w:rPr>
                <w:rFonts w:cs="Arial"/>
                <w:sz w:val="20"/>
                <w:lang w:val="es-ES"/>
              </w:rPr>
              <w:t>Carece de claridad suficiente para las empresas entrantes sobre las condiciones para entrar u operar.</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41676"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5EA56D"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FD2A79" w14:textId="77777777" w:rsidR="00F609D0" w:rsidRPr="004C4C0B" w:rsidRDefault="00F609D0" w:rsidP="00C5026C">
            <w:pPr>
              <w:textAlignment w:val="baseline"/>
              <w:rPr>
                <w:rFonts w:cs="Arial"/>
                <w:sz w:val="20"/>
              </w:rPr>
            </w:pPr>
            <w:r w:rsidRPr="004C4C0B">
              <w:rPr>
                <w:rFonts w:cs="Arial"/>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36907"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66EB7339"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85909" w14:textId="77777777" w:rsidR="00F609D0" w:rsidRPr="004C4C0B" w:rsidRDefault="00F609D0" w:rsidP="00C5026C">
            <w:pPr>
              <w:ind w:right="-120"/>
              <w:jc w:val="center"/>
              <w:textAlignment w:val="baseline"/>
              <w:rPr>
                <w:rFonts w:cs="Arial"/>
                <w:sz w:val="20"/>
              </w:rPr>
            </w:pPr>
            <w:r w:rsidRPr="004C4C0B">
              <w:rPr>
                <w:rFonts w:cs="Arial"/>
                <w:b/>
                <w:sz w:val="20"/>
                <w:lang w:val="es-ES"/>
              </w:rPr>
              <w:t>3.5</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3C7574" w14:textId="77777777" w:rsidR="00F609D0" w:rsidRPr="004C4C0B" w:rsidRDefault="00F609D0" w:rsidP="00C5026C">
            <w:pPr>
              <w:ind w:right="15"/>
              <w:textAlignment w:val="baseline"/>
              <w:rPr>
                <w:rFonts w:cs="Arial"/>
                <w:sz w:val="20"/>
              </w:rPr>
            </w:pPr>
            <w:r w:rsidRPr="004C4C0B">
              <w:rPr>
                <w:rFonts w:cs="Arial"/>
                <w:sz w:val="20"/>
                <w:lang w:val="es-ES"/>
              </w:rPr>
              <w:t>Exime una actividad económica o a unas empresas estar sometidas a la ley de competencia.</w:t>
            </w:r>
            <w:r w:rsidRPr="004C4C0B">
              <w:rPr>
                <w:rFonts w:cs="Arial"/>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2AC0C"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F1816" w14:textId="77777777" w:rsidR="00F609D0" w:rsidRPr="004C4C0B" w:rsidRDefault="00F609D0" w:rsidP="00C5026C">
            <w:pPr>
              <w:ind w:right="-120"/>
              <w:jc w:val="center"/>
              <w:textAlignment w:val="baseline"/>
              <w:rPr>
                <w:rFonts w:cs="Arial"/>
                <w:sz w:val="20"/>
              </w:rPr>
            </w:pPr>
            <w:r w:rsidRPr="004C4C0B">
              <w:rPr>
                <w:rFonts w:cs="Arial"/>
                <w:sz w:val="20"/>
              </w:rPr>
              <w:t>X</w:t>
            </w:r>
          </w:p>
        </w:tc>
        <w:tc>
          <w:tcPr>
            <w:tcW w:w="2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BC1A8" w14:textId="77777777" w:rsidR="00F609D0" w:rsidRPr="004C4C0B" w:rsidRDefault="00F609D0" w:rsidP="00C5026C">
            <w:pPr>
              <w:textAlignment w:val="baseline"/>
              <w:rPr>
                <w:rFonts w:cs="Arial"/>
                <w:sz w:val="20"/>
              </w:rPr>
            </w:pPr>
            <w:r w:rsidRPr="004C4C0B">
              <w:rPr>
                <w:rFonts w:cs="Arial"/>
                <w:sz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136AE" w14:textId="77777777" w:rsidR="00F609D0" w:rsidRPr="004C4C0B" w:rsidRDefault="00F609D0" w:rsidP="00C5026C">
            <w:pPr>
              <w:ind w:right="-120"/>
              <w:textAlignment w:val="baseline"/>
              <w:rPr>
                <w:rFonts w:cs="Arial"/>
                <w:sz w:val="20"/>
              </w:rPr>
            </w:pPr>
            <w:r w:rsidRPr="004C4C0B">
              <w:rPr>
                <w:rFonts w:cs="Arial"/>
                <w:sz w:val="20"/>
              </w:rPr>
              <w:t> </w:t>
            </w:r>
          </w:p>
        </w:tc>
      </w:tr>
      <w:tr w:rsidR="00F609D0" w:rsidRPr="000455F9" w14:paraId="3C60763A" w14:textId="77777777" w:rsidTr="00C5026C">
        <w:tblPrEx>
          <w:tblBorders>
            <w:top w:val="outset" w:sz="6" w:space="0" w:color="auto"/>
            <w:left w:val="outset" w:sz="6" w:space="0" w:color="auto"/>
            <w:bottom w:val="outset" w:sz="6" w:space="0" w:color="auto"/>
            <w:right w:val="outset" w:sz="6" w:space="0" w:color="auto"/>
          </w:tblBorders>
        </w:tblPrEx>
        <w:trPr>
          <w:gridAfter w:val="1"/>
          <w:wAfter w:w="95" w:type="dxa"/>
          <w:trHeight w:val="697"/>
        </w:trPr>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02C84" w14:textId="77777777" w:rsidR="00F609D0" w:rsidRPr="004C4C0B" w:rsidRDefault="00F609D0" w:rsidP="00C5026C">
            <w:pPr>
              <w:ind w:right="-120"/>
              <w:jc w:val="center"/>
              <w:textAlignment w:val="baseline"/>
              <w:rPr>
                <w:rFonts w:cs="Arial"/>
                <w:sz w:val="20"/>
              </w:rPr>
            </w:pPr>
            <w:r w:rsidRPr="004C4C0B">
              <w:rPr>
                <w:rFonts w:cs="Arial"/>
                <w:b/>
                <w:color w:val="000000"/>
                <w:sz w:val="20"/>
                <w:lang w:val="es-ES"/>
              </w:rPr>
              <w:t>4.0</w:t>
            </w:r>
          </w:p>
        </w:tc>
        <w:tc>
          <w:tcPr>
            <w:tcW w:w="2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8C9DA" w14:textId="77777777" w:rsidR="00F609D0" w:rsidRPr="004C4C0B" w:rsidRDefault="00F609D0" w:rsidP="00C5026C">
            <w:pPr>
              <w:ind w:right="15"/>
              <w:textAlignment w:val="baseline"/>
              <w:rPr>
                <w:rFonts w:cs="Arial"/>
                <w:sz w:val="20"/>
              </w:rPr>
            </w:pPr>
            <w:proofErr w:type="gramStart"/>
            <w:r w:rsidRPr="004C4C0B">
              <w:rPr>
                <w:rFonts w:cs="Arial"/>
                <w:b/>
                <w:color w:val="000000"/>
                <w:sz w:val="20"/>
                <w:lang w:val="es-ES"/>
              </w:rPr>
              <w:t>CONCLUSIÓN FINAL</w:t>
            </w:r>
            <w:proofErr w:type="gramEnd"/>
            <w:r w:rsidRPr="004C4C0B">
              <w:rPr>
                <w:rFonts w:cs="Arial"/>
                <w:color w:val="000000"/>
                <w:sz w:val="20"/>
              </w:rPr>
              <w:t> </w:t>
            </w:r>
          </w:p>
          <w:p w14:paraId="7C547A72" w14:textId="77777777" w:rsidR="00F609D0" w:rsidRPr="004C4C0B" w:rsidRDefault="00F609D0" w:rsidP="00C5026C">
            <w:pPr>
              <w:ind w:right="15"/>
              <w:textAlignment w:val="baseline"/>
              <w:rPr>
                <w:rFonts w:cs="Arial"/>
                <w:sz w:val="20"/>
              </w:rPr>
            </w:pPr>
            <w:r w:rsidRPr="004C4C0B">
              <w:rPr>
                <w:rFonts w:cs="Arial"/>
                <w:color w:val="000000"/>
                <w:sz w:val="20"/>
              </w:rPr>
              <w:t> </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A67D7" w14:textId="77777777" w:rsidR="00F609D0" w:rsidRPr="004C4C0B" w:rsidRDefault="00F609D0" w:rsidP="00C5026C">
            <w:pPr>
              <w:ind w:right="-120"/>
              <w:jc w:val="center"/>
              <w:textAlignment w:val="baseline"/>
              <w:rPr>
                <w:rFonts w:cs="Arial"/>
                <w:sz w:val="20"/>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E89D4" w14:textId="77777777" w:rsidR="00F609D0" w:rsidRPr="000F6D4C" w:rsidRDefault="00F609D0" w:rsidP="00C5026C">
            <w:pPr>
              <w:ind w:right="-120"/>
              <w:jc w:val="center"/>
              <w:textAlignment w:val="baseline"/>
              <w:rPr>
                <w:rFonts w:cs="Arial"/>
                <w:sz w:val="20"/>
              </w:rPr>
            </w:pPr>
            <w:r w:rsidRPr="000F6D4C">
              <w:rPr>
                <w:rFonts w:cs="Arial"/>
                <w:sz w:val="20"/>
              </w:rPr>
              <w:t>X</w:t>
            </w:r>
          </w:p>
        </w:tc>
        <w:tc>
          <w:tcPr>
            <w:tcW w:w="4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1A8B57" w14:textId="016DA623" w:rsidR="00F609D0" w:rsidRPr="000F6D4C" w:rsidRDefault="002916F2" w:rsidP="00C5026C">
            <w:pPr>
              <w:textAlignment w:val="baseline"/>
              <w:rPr>
                <w:rFonts w:cs="Arial"/>
                <w:sz w:val="20"/>
              </w:rPr>
            </w:pPr>
            <w:r w:rsidRPr="000F6D4C">
              <w:rPr>
                <w:rFonts w:cs="Arial"/>
                <w:sz w:val="20"/>
              </w:rPr>
              <w:t>E</w:t>
            </w:r>
            <w:r w:rsidR="00B47C41" w:rsidRPr="000F6D4C">
              <w:rPr>
                <w:rFonts w:cs="Arial"/>
                <w:sz w:val="20"/>
              </w:rPr>
              <w:t xml:space="preserve">l acto administrativo que </w:t>
            </w:r>
            <w:r w:rsidRPr="000F6D4C">
              <w:rPr>
                <w:rFonts w:cs="Arial"/>
                <w:sz w:val="20"/>
              </w:rPr>
              <w:t xml:space="preserve">determina </w:t>
            </w:r>
            <w:r w:rsidR="00A85F13" w:rsidRPr="000F6D4C">
              <w:rPr>
                <w:rFonts w:cs="Arial"/>
                <w:sz w:val="20"/>
              </w:rPr>
              <w:t xml:space="preserve">los </w:t>
            </w:r>
            <w:r w:rsidRPr="000F6D4C">
              <w:rPr>
                <w:rFonts w:cs="Arial"/>
                <w:sz w:val="20"/>
              </w:rPr>
              <w:t>parámetros de cálculo y define la tasa de descuento para la remuneración de la prestación del servicio de energía eléctrica mediante Soluciones Individuales Solares Fotovoltaicas, SISFV</w:t>
            </w:r>
            <w:r w:rsidR="00B47C41" w:rsidRPr="000F6D4C">
              <w:rPr>
                <w:rFonts w:cs="Arial"/>
                <w:sz w:val="20"/>
              </w:rPr>
              <w:t xml:space="preserve">, corresponde </w:t>
            </w:r>
            <w:r w:rsidR="00C9731B" w:rsidRPr="000F6D4C">
              <w:rPr>
                <w:rFonts w:cs="Arial"/>
                <w:sz w:val="20"/>
              </w:rPr>
              <w:t>a</w:t>
            </w:r>
            <w:r w:rsidR="00693CFB" w:rsidRPr="000F6D4C">
              <w:rPr>
                <w:rFonts w:cs="Arial"/>
                <w:sz w:val="20"/>
              </w:rPr>
              <w:t xml:space="preserve"> la aplicación del procedimiento establecido </w:t>
            </w:r>
            <w:r w:rsidR="00682283" w:rsidRPr="000F6D4C">
              <w:rPr>
                <w:rFonts w:cs="Arial"/>
                <w:sz w:val="20"/>
              </w:rPr>
              <w:t xml:space="preserve">en la Resolución CREG 004 de 2021 para determinar la tasa de descuento </w:t>
            </w:r>
            <w:r w:rsidR="00437262" w:rsidRPr="000F6D4C">
              <w:rPr>
                <w:rFonts w:cs="Arial"/>
                <w:sz w:val="20"/>
              </w:rPr>
              <w:t>aplicable a la prestación del servici</w:t>
            </w:r>
            <w:r w:rsidR="0022458F" w:rsidRPr="000F6D4C">
              <w:rPr>
                <w:rFonts w:cs="Arial"/>
                <w:sz w:val="20"/>
              </w:rPr>
              <w:t>o de energía eléctrica mediante Soluciones Individuales Solares Fotovoltaicas</w:t>
            </w:r>
            <w:r w:rsidR="000F6D4C" w:rsidRPr="000F6D4C">
              <w:rPr>
                <w:rFonts w:cs="Arial"/>
                <w:sz w:val="20"/>
              </w:rPr>
              <w:t>.</w:t>
            </w:r>
          </w:p>
        </w:tc>
      </w:tr>
      <w:bookmarkEnd w:id="31"/>
    </w:tbl>
    <w:p w14:paraId="392F07C8" w14:textId="757B3713" w:rsidR="00F609D0" w:rsidRDefault="00F609D0" w:rsidP="00F609D0">
      <w:pPr>
        <w:textAlignment w:val="baseline"/>
        <w:rPr>
          <w:rFonts w:cs="Arial"/>
          <w:sz w:val="20"/>
        </w:rPr>
      </w:pPr>
    </w:p>
    <w:sectPr w:rsidR="00F609D0" w:rsidSect="00DD7346">
      <w:headerReference w:type="default" r:id="rId12"/>
      <w:footerReference w:type="default" r:id="rId13"/>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61CB" w14:textId="77777777" w:rsidR="0013050B" w:rsidRDefault="0013050B">
      <w:r>
        <w:separator/>
      </w:r>
    </w:p>
  </w:endnote>
  <w:endnote w:type="continuationSeparator" w:id="0">
    <w:p w14:paraId="572581F8" w14:textId="77777777" w:rsidR="0013050B" w:rsidRDefault="0013050B">
      <w:r>
        <w:continuationSeparator/>
      </w:r>
    </w:p>
  </w:endnote>
  <w:endnote w:type="continuationNotice" w:id="1">
    <w:p w14:paraId="44F89CEF" w14:textId="77777777" w:rsidR="0013050B" w:rsidRDefault="0013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C522" w14:textId="7779A424" w:rsidR="00605158" w:rsidRDefault="000300F0" w:rsidP="00893E56">
    <w:pPr>
      <w:pStyle w:val="Piedepgina"/>
      <w:rPr>
        <w:b/>
        <w:sz w:val="16"/>
        <w:lang w:val="es-CO"/>
      </w:rPr>
    </w:pPr>
    <w:r>
      <w:rPr>
        <w:sz w:val="16"/>
        <w:lang w:val="es-CO"/>
      </w:rPr>
      <w:t xml:space="preserve">D – 901 030 DE 2023 </w:t>
    </w:r>
    <w:r w:rsidR="00893E56" w:rsidRPr="00893E56">
      <w:rPr>
        <w:sz w:val="16"/>
        <w:lang w:val="es-CO"/>
      </w:rPr>
      <w:t>ANÁLISIS DE COMENTARIOS</w:t>
    </w:r>
    <w:r w:rsidR="00893E56">
      <w:rPr>
        <w:sz w:val="16"/>
        <w:lang w:val="es-CO"/>
      </w:rPr>
      <w:t xml:space="preserve"> </w:t>
    </w:r>
    <w:r w:rsidR="00893E56" w:rsidRPr="00893E56">
      <w:rPr>
        <w:sz w:val="16"/>
        <w:lang w:val="es-CO"/>
      </w:rPr>
      <w:t>RESOLUCI</w:t>
    </w:r>
    <w:r w:rsidR="00893E56">
      <w:rPr>
        <w:sz w:val="16"/>
        <w:lang w:val="es-CO"/>
      </w:rPr>
      <w:t>O</w:t>
    </w:r>
    <w:r w:rsidR="00893E56" w:rsidRPr="00893E56">
      <w:rPr>
        <w:sz w:val="16"/>
        <w:lang w:val="es-CO"/>
      </w:rPr>
      <w:t>NES CREG 701 022 de 2022 Y 701 009 de 2023</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605158" w:rsidRPr="00456730" w14:paraId="551BAA3B" w14:textId="77777777" w:rsidTr="008E4B18">
      <w:trPr>
        <w:cantSplit/>
        <w:trHeight w:val="254"/>
        <w:jc w:val="center"/>
      </w:trPr>
      <w:tc>
        <w:tcPr>
          <w:tcW w:w="2314" w:type="pct"/>
          <w:vAlign w:val="center"/>
        </w:tcPr>
        <w:p w14:paraId="388D7FBF" w14:textId="77777777" w:rsidR="00605158" w:rsidRPr="00456730" w:rsidRDefault="00605158" w:rsidP="00456730">
          <w:pPr>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76A866C" w14:textId="77777777" w:rsidR="00605158" w:rsidRPr="00456730" w:rsidRDefault="00605158" w:rsidP="00456730">
          <w:pPr>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3CB3B460" w14:textId="77777777" w:rsidR="00605158" w:rsidRPr="00456730" w:rsidRDefault="00605158" w:rsidP="00456730">
          <w:pPr>
            <w:rPr>
              <w:rFonts w:cs="Arial"/>
              <w:iCs/>
              <w:sz w:val="14"/>
            </w:rPr>
          </w:pPr>
          <w:r w:rsidRPr="00456730">
            <w:rPr>
              <w:rFonts w:cs="Arial"/>
              <w:b/>
              <w:iCs/>
              <w:sz w:val="14"/>
            </w:rPr>
            <w:t xml:space="preserve">Versión: </w:t>
          </w:r>
          <w:r>
            <w:rPr>
              <w:rFonts w:cs="Arial"/>
              <w:iCs/>
              <w:sz w:val="14"/>
            </w:rPr>
            <w:t>0</w:t>
          </w:r>
        </w:p>
      </w:tc>
    </w:tr>
    <w:tr w:rsidR="00605158" w:rsidRPr="00456730" w14:paraId="1DB6FCF7" w14:textId="77777777" w:rsidTr="008E4B18">
      <w:trPr>
        <w:cantSplit/>
        <w:trHeight w:val="261"/>
        <w:jc w:val="center"/>
      </w:trPr>
      <w:tc>
        <w:tcPr>
          <w:tcW w:w="2314" w:type="pct"/>
          <w:vAlign w:val="center"/>
        </w:tcPr>
        <w:p w14:paraId="215E6DBB" w14:textId="77777777" w:rsidR="00605158" w:rsidRPr="00456730" w:rsidRDefault="00605158" w:rsidP="00456730">
          <w:pPr>
            <w:ind w:left="923" w:hanging="923"/>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3EA45FAC" w14:textId="77777777" w:rsidR="00605158" w:rsidRPr="00456730" w:rsidRDefault="00605158" w:rsidP="00456730">
          <w:pPr>
            <w:rPr>
              <w:rFonts w:cs="Arial"/>
              <w:iCs/>
              <w:sz w:val="14"/>
            </w:rPr>
          </w:pPr>
          <w:r w:rsidRPr="00456730">
            <w:rPr>
              <w:rFonts w:cs="Arial"/>
              <w:b/>
              <w:iCs/>
              <w:sz w:val="14"/>
            </w:rPr>
            <w:t xml:space="preserve">Fecha última revisión: </w:t>
          </w:r>
          <w:r>
            <w:rPr>
              <w:rFonts w:cs="Arial"/>
              <w:b/>
              <w:iCs/>
              <w:sz w:val="14"/>
            </w:rPr>
            <w:t>28/10/2016</w:t>
          </w:r>
        </w:p>
      </w:tc>
      <w:tc>
        <w:tcPr>
          <w:tcW w:w="1304" w:type="pct"/>
          <w:vAlign w:val="center"/>
        </w:tcPr>
        <w:p w14:paraId="42F720ED" w14:textId="02DE9711" w:rsidR="00605158" w:rsidRPr="00456730" w:rsidRDefault="00605158" w:rsidP="00B60742">
          <w:pPr>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Pr>
              <w:rFonts w:cs="Arial"/>
              <w:iCs/>
              <w:noProof/>
              <w:sz w:val="14"/>
            </w:rPr>
            <w:t>70</w:t>
          </w:r>
          <w:r w:rsidRPr="00456730">
            <w:rPr>
              <w:rFonts w:cs="Arial"/>
              <w:iCs/>
              <w:sz w:val="14"/>
            </w:rPr>
            <w:fldChar w:fldCharType="end"/>
          </w:r>
          <w:r>
            <w:rPr>
              <w:rFonts w:cs="Arial"/>
              <w:iCs/>
              <w:sz w:val="14"/>
            </w:rPr>
            <w:t xml:space="preserve"> </w:t>
          </w:r>
        </w:p>
      </w:tc>
    </w:tr>
  </w:tbl>
  <w:p w14:paraId="1013538B" w14:textId="77777777" w:rsidR="00605158" w:rsidRPr="00BE2C84" w:rsidRDefault="00605158"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5E3C" w14:textId="77777777" w:rsidR="0013050B" w:rsidRDefault="0013050B">
      <w:r>
        <w:separator/>
      </w:r>
    </w:p>
  </w:footnote>
  <w:footnote w:type="continuationSeparator" w:id="0">
    <w:p w14:paraId="74742BF7" w14:textId="77777777" w:rsidR="0013050B" w:rsidRDefault="0013050B">
      <w:r>
        <w:continuationSeparator/>
      </w:r>
    </w:p>
  </w:footnote>
  <w:footnote w:type="continuationNotice" w:id="1">
    <w:p w14:paraId="30861F5D" w14:textId="77777777" w:rsidR="0013050B" w:rsidRDefault="0013050B"/>
  </w:footnote>
  <w:footnote w:id="2">
    <w:p w14:paraId="03E32249" w14:textId="23F76BBD" w:rsidR="00D7337A" w:rsidRPr="00D7337A" w:rsidRDefault="00D7337A">
      <w:pPr>
        <w:pStyle w:val="Textonotapie"/>
      </w:pPr>
      <w:r>
        <w:rPr>
          <w:rStyle w:val="Refdenotaalpie"/>
        </w:rPr>
        <w:footnoteRef/>
      </w:r>
      <w:r>
        <w:t xml:space="preserve"> </w:t>
      </w:r>
      <w:r w:rsidRPr="00D7337A">
        <w:t>Por la cual se adiciona un parágrafo al artículo 2 de la Resolución CREG 004 de 2021</w:t>
      </w:r>
      <w:r>
        <w:t>.</w:t>
      </w:r>
    </w:p>
  </w:footnote>
  <w:footnote w:id="3">
    <w:p w14:paraId="303055F8" w14:textId="77777777" w:rsidR="00F609D0" w:rsidRPr="00B853EB" w:rsidRDefault="00F609D0" w:rsidP="00F609D0">
      <w:pPr>
        <w:pStyle w:val="TDC3"/>
      </w:pPr>
      <w:r w:rsidRPr="00B853EB">
        <w:footnoteRef/>
      </w:r>
      <w:r w:rsidRPr="00B853EB">
        <w:t xml:space="preserve"> Se debe precisar que estas disposiciones se encuentran recogidas actualmente en los numerales 2.2.2.30 y siguientes del Decreto 1074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A521" w14:textId="3A4E6BFA" w:rsidR="00605158" w:rsidRDefault="00605158">
    <w:pPr>
      <w:pStyle w:val="Encabezado"/>
    </w:pPr>
    <w:r>
      <w:rPr>
        <w:rFonts w:cs="Arial"/>
        <w:b/>
        <w:i/>
        <w:color w:val="808080"/>
        <w:sz w:val="16"/>
      </w:rPr>
      <w:t xml:space="preserve">Sesión </w:t>
    </w:r>
    <w:r w:rsidRPr="000300F0">
      <w:rPr>
        <w:rFonts w:cs="Arial"/>
        <w:b/>
        <w:i/>
        <w:color w:val="808080"/>
        <w:sz w:val="16"/>
      </w:rPr>
      <w:t>No.</w:t>
    </w:r>
    <w:r w:rsidR="00211D5E" w:rsidRPr="000300F0">
      <w:rPr>
        <w:rFonts w:cs="Arial"/>
        <w:b/>
        <w:i/>
        <w:color w:val="808080"/>
        <w:sz w:val="16"/>
      </w:rPr>
      <w:t xml:space="preserve"> 1290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437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C77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CAEF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F1F3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E13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9F0EBE"/>
    <w:multiLevelType w:val="hybridMultilevel"/>
    <w:tmpl w:val="D3804B2C"/>
    <w:lvl w:ilvl="0" w:tplc="CBE46E28">
      <w:start w:val="1"/>
      <w:numFmt w:val="decimal"/>
      <w:lvlText w:val="Comentario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359D7"/>
    <w:multiLevelType w:val="multilevel"/>
    <w:tmpl w:val="705CDC5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8A5355C"/>
    <w:multiLevelType w:val="hybridMultilevel"/>
    <w:tmpl w:val="B658BE76"/>
    <w:lvl w:ilvl="0" w:tplc="CBE46E28">
      <w:start w:val="1"/>
      <w:numFmt w:val="decimal"/>
      <w:lvlText w:val="Comentario %1."/>
      <w:lvlJc w:val="left"/>
      <w:pPr>
        <w:ind w:left="1428"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lang w:val="es-CO"/>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21F32520"/>
    <w:multiLevelType w:val="hybridMultilevel"/>
    <w:tmpl w:val="E89417F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28712E75"/>
    <w:multiLevelType w:val="hybridMultilevel"/>
    <w:tmpl w:val="F61AFE50"/>
    <w:lvl w:ilvl="0" w:tplc="CC9C21E0">
      <w:start w:val="1"/>
      <w:numFmt w:val="decimal"/>
      <w:lvlText w:val="Respuesta %1."/>
      <w:lvlJc w:val="left"/>
      <w:pPr>
        <w:ind w:left="144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992B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4B62A5"/>
    <w:multiLevelType w:val="hybridMultilevel"/>
    <w:tmpl w:val="22428FF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5380D6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560628"/>
    <w:multiLevelType w:val="hybridMultilevel"/>
    <w:tmpl w:val="0EBA73DC"/>
    <w:lvl w:ilvl="0" w:tplc="CC9C21E0">
      <w:start w:val="1"/>
      <w:numFmt w:val="decimal"/>
      <w:lvlText w:val="Respuesta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471EEB"/>
    <w:multiLevelType w:val="hybridMultilevel"/>
    <w:tmpl w:val="7F48610C"/>
    <w:name w:val="Nueva lista 3"/>
    <w:lvl w:ilvl="0" w:tplc="1CC6634E">
      <w:start w:val="1"/>
      <w:numFmt w:val="decimal"/>
      <w:pStyle w:val="Artculo"/>
      <w:suff w:val="space"/>
      <w:lvlText w:val="Artículo %1."/>
      <w:lvlJc w:val="left"/>
      <w:pPr>
        <w:ind w:left="2127" w:firstLine="0"/>
      </w:pPr>
      <w:rPr>
        <w:rFonts w:hint="default"/>
        <w:b/>
      </w:rPr>
    </w:lvl>
    <w:lvl w:ilvl="1" w:tplc="2460B8BA">
      <w:start w:val="1"/>
      <w:numFmt w:val="none"/>
      <w:suff w:val="nothing"/>
      <w:lvlText w:val=""/>
      <w:lvlJc w:val="left"/>
      <w:pPr>
        <w:ind w:left="0" w:firstLine="0"/>
      </w:pPr>
      <w:rPr>
        <w:rFonts w:hint="default"/>
      </w:rPr>
    </w:lvl>
    <w:lvl w:ilvl="2" w:tplc="2BE421C8">
      <w:start w:val="1"/>
      <w:numFmt w:val="none"/>
      <w:suff w:val="nothing"/>
      <w:lvlText w:val=""/>
      <w:lvlJc w:val="left"/>
      <w:pPr>
        <w:ind w:left="0" w:firstLine="0"/>
      </w:pPr>
      <w:rPr>
        <w:rFonts w:hint="default"/>
      </w:rPr>
    </w:lvl>
    <w:lvl w:ilvl="3" w:tplc="40D4504C">
      <w:start w:val="1"/>
      <w:numFmt w:val="none"/>
      <w:suff w:val="nothing"/>
      <w:lvlText w:val=""/>
      <w:lvlJc w:val="left"/>
      <w:pPr>
        <w:ind w:left="0" w:firstLine="0"/>
      </w:pPr>
      <w:rPr>
        <w:rFonts w:hint="default"/>
      </w:rPr>
    </w:lvl>
    <w:lvl w:ilvl="4" w:tplc="002CD740">
      <w:start w:val="1"/>
      <w:numFmt w:val="none"/>
      <w:suff w:val="nothing"/>
      <w:lvlText w:val=""/>
      <w:lvlJc w:val="left"/>
      <w:pPr>
        <w:ind w:left="0" w:firstLine="0"/>
      </w:pPr>
      <w:rPr>
        <w:rFonts w:hint="default"/>
      </w:rPr>
    </w:lvl>
    <w:lvl w:ilvl="5" w:tplc="60865FDE">
      <w:start w:val="1"/>
      <w:numFmt w:val="none"/>
      <w:suff w:val="nothing"/>
      <w:lvlText w:val=""/>
      <w:lvlJc w:val="left"/>
      <w:pPr>
        <w:ind w:left="0" w:firstLine="0"/>
      </w:pPr>
      <w:rPr>
        <w:rFonts w:hint="default"/>
      </w:rPr>
    </w:lvl>
    <w:lvl w:ilvl="6" w:tplc="34643C70">
      <w:start w:val="1"/>
      <w:numFmt w:val="none"/>
      <w:suff w:val="nothing"/>
      <w:lvlText w:val=""/>
      <w:lvlJc w:val="left"/>
      <w:pPr>
        <w:ind w:left="0" w:firstLine="0"/>
      </w:pPr>
      <w:rPr>
        <w:rFonts w:hint="default"/>
      </w:rPr>
    </w:lvl>
    <w:lvl w:ilvl="7" w:tplc="19288D58">
      <w:start w:val="1"/>
      <w:numFmt w:val="none"/>
      <w:suff w:val="nothing"/>
      <w:lvlText w:val=""/>
      <w:lvlJc w:val="left"/>
      <w:pPr>
        <w:ind w:left="0" w:firstLine="0"/>
      </w:pPr>
      <w:rPr>
        <w:rFonts w:hint="default"/>
      </w:rPr>
    </w:lvl>
    <w:lvl w:ilvl="8" w:tplc="FF6221BC">
      <w:start w:val="1"/>
      <w:numFmt w:val="none"/>
      <w:suff w:val="nothing"/>
      <w:lvlText w:val=""/>
      <w:lvlJc w:val="left"/>
      <w:pPr>
        <w:ind w:left="0" w:firstLine="0"/>
      </w:pPr>
      <w:rPr>
        <w:rFonts w:hint="default"/>
      </w:rPr>
    </w:lvl>
  </w:abstractNum>
  <w:abstractNum w:abstractNumId="15" w15:restartNumberingAfterBreak="0">
    <w:nsid w:val="503E1F11"/>
    <w:multiLevelType w:val="multilevel"/>
    <w:tmpl w:val="8068AC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19B5D4E"/>
    <w:multiLevelType w:val="hybridMultilevel"/>
    <w:tmpl w:val="111A98C2"/>
    <w:lvl w:ilvl="0" w:tplc="CC9C21E0">
      <w:start w:val="1"/>
      <w:numFmt w:val="decimal"/>
      <w:lvlText w:val="Respuesta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3E2150"/>
    <w:multiLevelType w:val="hybridMultilevel"/>
    <w:tmpl w:val="05E0A3A6"/>
    <w:lvl w:ilvl="0" w:tplc="080A0015">
      <w:start w:val="1"/>
      <w:numFmt w:val="decimal"/>
      <w:pStyle w:val="Respuestas"/>
      <w:lvlText w:val="Respuesta %1."/>
      <w:lvlJc w:val="left"/>
      <w:pPr>
        <w:ind w:left="1070" w:hanging="360"/>
      </w:pPr>
      <w:rPr>
        <w:rFonts w:ascii="Arial" w:hAnsi="Arial"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2513CC"/>
    <w:multiLevelType w:val="hybridMultilevel"/>
    <w:tmpl w:val="59AC759A"/>
    <w:lvl w:ilvl="0" w:tplc="BBA67A38">
      <w:start w:val="1"/>
      <w:numFmt w:val="low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686734"/>
    <w:multiLevelType w:val="hybridMultilevel"/>
    <w:tmpl w:val="EE1E8040"/>
    <w:lvl w:ilvl="0" w:tplc="CC9C21E0">
      <w:start w:val="1"/>
      <w:numFmt w:val="decimal"/>
      <w:lvlText w:val="Respuesta %1."/>
      <w:lvlJc w:val="left"/>
      <w:pPr>
        <w:ind w:left="1428"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21" w15:restartNumberingAfterBreak="0">
    <w:nsid w:val="6FD6416C"/>
    <w:multiLevelType w:val="hybridMultilevel"/>
    <w:tmpl w:val="019C303C"/>
    <w:styleLink w:val="Estilo1"/>
    <w:lvl w:ilvl="0" w:tplc="240A0001">
      <w:start w:val="1"/>
      <w:numFmt w:val="bullet"/>
      <w:lvlText w:val=""/>
      <w:lvlJc w:val="left"/>
      <w:pPr>
        <w:ind w:left="720" w:hanging="360"/>
      </w:pPr>
      <w:rPr>
        <w:rFonts w:ascii="Symbol" w:hAnsi="Symbol" w:hint="default"/>
      </w:rPr>
    </w:lvl>
    <w:lvl w:ilvl="1" w:tplc="C746488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3A72DA9"/>
    <w:multiLevelType w:val="hybridMultilevel"/>
    <w:tmpl w:val="DF2ACBF4"/>
    <w:lvl w:ilvl="0" w:tplc="CBE46E28">
      <w:start w:val="1"/>
      <w:numFmt w:val="decimal"/>
      <w:lvlText w:val="Comentario %1."/>
      <w:lvlJc w:val="left"/>
      <w:pPr>
        <w:ind w:left="720" w:hanging="360"/>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5606046">
    <w:abstractNumId w:val="21"/>
  </w:num>
  <w:num w:numId="2" w16cid:durableId="957683557">
    <w:abstractNumId w:val="17"/>
  </w:num>
  <w:num w:numId="3" w16cid:durableId="1351955311">
    <w:abstractNumId w:val="20"/>
  </w:num>
  <w:num w:numId="4" w16cid:durableId="1189369906">
    <w:abstractNumId w:val="14"/>
  </w:num>
  <w:num w:numId="5" w16cid:durableId="89590956">
    <w:abstractNumId w:val="15"/>
  </w:num>
  <w:num w:numId="6" w16cid:durableId="1229850979">
    <w:abstractNumId w:val="18"/>
  </w:num>
  <w:num w:numId="7" w16cid:durableId="1686982721">
    <w:abstractNumId w:val="6"/>
  </w:num>
  <w:num w:numId="8" w16cid:durableId="777917274">
    <w:abstractNumId w:val="5"/>
  </w:num>
  <w:num w:numId="9" w16cid:durableId="10185102">
    <w:abstractNumId w:val="13"/>
  </w:num>
  <w:num w:numId="10" w16cid:durableId="218251221">
    <w:abstractNumId w:val="8"/>
  </w:num>
  <w:num w:numId="11" w16cid:durableId="1462460720">
    <w:abstractNumId w:val="11"/>
  </w:num>
  <w:num w:numId="12" w16cid:durableId="44451618">
    <w:abstractNumId w:val="7"/>
  </w:num>
  <w:num w:numId="13" w16cid:durableId="819729181">
    <w:abstractNumId w:val="22"/>
  </w:num>
  <w:num w:numId="14" w16cid:durableId="1530070543">
    <w:abstractNumId w:val="9"/>
  </w:num>
  <w:num w:numId="15" w16cid:durableId="12346470">
    <w:abstractNumId w:val="19"/>
  </w:num>
  <w:num w:numId="16" w16cid:durableId="15542683">
    <w:abstractNumId w:val="16"/>
  </w:num>
  <w:num w:numId="17" w16cid:durableId="1363048103">
    <w:abstractNumId w:val="12"/>
  </w:num>
  <w:num w:numId="18" w16cid:durableId="878933165">
    <w:abstractNumId w:val="4"/>
  </w:num>
  <w:num w:numId="19" w16cid:durableId="1541895285">
    <w:abstractNumId w:val="3"/>
  </w:num>
  <w:num w:numId="20" w16cid:durableId="445120651">
    <w:abstractNumId w:val="2"/>
  </w:num>
  <w:num w:numId="21" w16cid:durableId="47001496">
    <w:abstractNumId w:val="0"/>
  </w:num>
  <w:num w:numId="22" w16cid:durableId="318116691">
    <w:abstractNumId w:val="1"/>
  </w:num>
  <w:num w:numId="23" w16cid:durableId="163205391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356"/>
    <w:rsid w:val="00000512"/>
    <w:rsid w:val="0000055F"/>
    <w:rsid w:val="00000695"/>
    <w:rsid w:val="000007FC"/>
    <w:rsid w:val="00000A40"/>
    <w:rsid w:val="00000E4C"/>
    <w:rsid w:val="00000E7A"/>
    <w:rsid w:val="00001050"/>
    <w:rsid w:val="0000133C"/>
    <w:rsid w:val="00001341"/>
    <w:rsid w:val="00001407"/>
    <w:rsid w:val="00001568"/>
    <w:rsid w:val="000016CB"/>
    <w:rsid w:val="00001A16"/>
    <w:rsid w:val="00001A6B"/>
    <w:rsid w:val="00001D0D"/>
    <w:rsid w:val="00001E5A"/>
    <w:rsid w:val="00001F6A"/>
    <w:rsid w:val="00002116"/>
    <w:rsid w:val="0000217F"/>
    <w:rsid w:val="0000242E"/>
    <w:rsid w:val="00002710"/>
    <w:rsid w:val="00002965"/>
    <w:rsid w:val="00002BC9"/>
    <w:rsid w:val="00002F74"/>
    <w:rsid w:val="00003152"/>
    <w:rsid w:val="000034D7"/>
    <w:rsid w:val="0000379A"/>
    <w:rsid w:val="000037BB"/>
    <w:rsid w:val="00003AE3"/>
    <w:rsid w:val="00003CD8"/>
    <w:rsid w:val="0000480A"/>
    <w:rsid w:val="00004E4C"/>
    <w:rsid w:val="00004F1E"/>
    <w:rsid w:val="000050D2"/>
    <w:rsid w:val="000052DD"/>
    <w:rsid w:val="00005337"/>
    <w:rsid w:val="000053F6"/>
    <w:rsid w:val="00005452"/>
    <w:rsid w:val="0000553B"/>
    <w:rsid w:val="0000597C"/>
    <w:rsid w:val="00005DC6"/>
    <w:rsid w:val="000060B2"/>
    <w:rsid w:val="0000610B"/>
    <w:rsid w:val="00006741"/>
    <w:rsid w:val="000067CC"/>
    <w:rsid w:val="000069FD"/>
    <w:rsid w:val="00006DB3"/>
    <w:rsid w:val="00006F3D"/>
    <w:rsid w:val="000075FD"/>
    <w:rsid w:val="00007790"/>
    <w:rsid w:val="0000788C"/>
    <w:rsid w:val="00007E33"/>
    <w:rsid w:val="00007EAD"/>
    <w:rsid w:val="00010100"/>
    <w:rsid w:val="000104B9"/>
    <w:rsid w:val="00010874"/>
    <w:rsid w:val="00010A41"/>
    <w:rsid w:val="00010A76"/>
    <w:rsid w:val="00010B52"/>
    <w:rsid w:val="00010C3C"/>
    <w:rsid w:val="00010DCF"/>
    <w:rsid w:val="00010E4A"/>
    <w:rsid w:val="00011099"/>
    <w:rsid w:val="000110B3"/>
    <w:rsid w:val="00011167"/>
    <w:rsid w:val="0001159A"/>
    <w:rsid w:val="00011628"/>
    <w:rsid w:val="000116CE"/>
    <w:rsid w:val="00011963"/>
    <w:rsid w:val="00011C8C"/>
    <w:rsid w:val="00011D5A"/>
    <w:rsid w:val="00011E17"/>
    <w:rsid w:val="00011F53"/>
    <w:rsid w:val="000120A0"/>
    <w:rsid w:val="000120C1"/>
    <w:rsid w:val="000121EB"/>
    <w:rsid w:val="00012983"/>
    <w:rsid w:val="00012A1B"/>
    <w:rsid w:val="00012CF2"/>
    <w:rsid w:val="00012D1B"/>
    <w:rsid w:val="00012D2A"/>
    <w:rsid w:val="00012E20"/>
    <w:rsid w:val="00012E76"/>
    <w:rsid w:val="0001310B"/>
    <w:rsid w:val="0001338E"/>
    <w:rsid w:val="00013400"/>
    <w:rsid w:val="0001367E"/>
    <w:rsid w:val="000137EE"/>
    <w:rsid w:val="0001385D"/>
    <w:rsid w:val="000139C3"/>
    <w:rsid w:val="00013A78"/>
    <w:rsid w:val="00013AD0"/>
    <w:rsid w:val="00013BC2"/>
    <w:rsid w:val="00014071"/>
    <w:rsid w:val="0001451D"/>
    <w:rsid w:val="00014626"/>
    <w:rsid w:val="000146AE"/>
    <w:rsid w:val="0001492B"/>
    <w:rsid w:val="00014AC0"/>
    <w:rsid w:val="000152D8"/>
    <w:rsid w:val="0001564C"/>
    <w:rsid w:val="000159A9"/>
    <w:rsid w:val="00015B92"/>
    <w:rsid w:val="00015DB3"/>
    <w:rsid w:val="00016061"/>
    <w:rsid w:val="00016297"/>
    <w:rsid w:val="000162A3"/>
    <w:rsid w:val="0001666C"/>
    <w:rsid w:val="000166EB"/>
    <w:rsid w:val="000166FA"/>
    <w:rsid w:val="000168D8"/>
    <w:rsid w:val="000169EC"/>
    <w:rsid w:val="00016BD8"/>
    <w:rsid w:val="00016CCD"/>
    <w:rsid w:val="00016D16"/>
    <w:rsid w:val="00016D8C"/>
    <w:rsid w:val="00016F2C"/>
    <w:rsid w:val="00017067"/>
    <w:rsid w:val="000170AD"/>
    <w:rsid w:val="000170BC"/>
    <w:rsid w:val="000177CE"/>
    <w:rsid w:val="000178FE"/>
    <w:rsid w:val="00017944"/>
    <w:rsid w:val="00017B03"/>
    <w:rsid w:val="00017F7B"/>
    <w:rsid w:val="00020080"/>
    <w:rsid w:val="0002022B"/>
    <w:rsid w:val="00020400"/>
    <w:rsid w:val="00020438"/>
    <w:rsid w:val="00020441"/>
    <w:rsid w:val="00020ABC"/>
    <w:rsid w:val="00020C66"/>
    <w:rsid w:val="00020D4E"/>
    <w:rsid w:val="00020D85"/>
    <w:rsid w:val="00020F34"/>
    <w:rsid w:val="00021355"/>
    <w:rsid w:val="000215E5"/>
    <w:rsid w:val="000217B2"/>
    <w:rsid w:val="000217B7"/>
    <w:rsid w:val="000218E0"/>
    <w:rsid w:val="00021B4F"/>
    <w:rsid w:val="00021C18"/>
    <w:rsid w:val="00021CD6"/>
    <w:rsid w:val="00021E3F"/>
    <w:rsid w:val="0002270D"/>
    <w:rsid w:val="00022757"/>
    <w:rsid w:val="000228B0"/>
    <w:rsid w:val="00023086"/>
    <w:rsid w:val="000230AD"/>
    <w:rsid w:val="0002391D"/>
    <w:rsid w:val="00023C94"/>
    <w:rsid w:val="00023DE9"/>
    <w:rsid w:val="0002408F"/>
    <w:rsid w:val="00024684"/>
    <w:rsid w:val="000249C1"/>
    <w:rsid w:val="00024A8F"/>
    <w:rsid w:val="00024B9B"/>
    <w:rsid w:val="00024CFD"/>
    <w:rsid w:val="00024DB6"/>
    <w:rsid w:val="00025009"/>
    <w:rsid w:val="000251A7"/>
    <w:rsid w:val="000259A4"/>
    <w:rsid w:val="000262F0"/>
    <w:rsid w:val="00026370"/>
    <w:rsid w:val="0002672E"/>
    <w:rsid w:val="00026964"/>
    <w:rsid w:val="00026B27"/>
    <w:rsid w:val="00026DF7"/>
    <w:rsid w:val="0002721E"/>
    <w:rsid w:val="00027238"/>
    <w:rsid w:val="0002728B"/>
    <w:rsid w:val="000272AE"/>
    <w:rsid w:val="00027624"/>
    <w:rsid w:val="000277F5"/>
    <w:rsid w:val="0002782E"/>
    <w:rsid w:val="000278E1"/>
    <w:rsid w:val="00027BEF"/>
    <w:rsid w:val="00027D67"/>
    <w:rsid w:val="00027EA8"/>
    <w:rsid w:val="00027F04"/>
    <w:rsid w:val="00027F96"/>
    <w:rsid w:val="000300F0"/>
    <w:rsid w:val="00030663"/>
    <w:rsid w:val="0003081D"/>
    <w:rsid w:val="000309A3"/>
    <w:rsid w:val="00030AA3"/>
    <w:rsid w:val="00030C2D"/>
    <w:rsid w:val="00031057"/>
    <w:rsid w:val="0003106A"/>
    <w:rsid w:val="00031272"/>
    <w:rsid w:val="000313B7"/>
    <w:rsid w:val="00031774"/>
    <w:rsid w:val="000318A4"/>
    <w:rsid w:val="000318DB"/>
    <w:rsid w:val="0003194F"/>
    <w:rsid w:val="00031ABC"/>
    <w:rsid w:val="00031BAF"/>
    <w:rsid w:val="000320AE"/>
    <w:rsid w:val="000320FF"/>
    <w:rsid w:val="00032124"/>
    <w:rsid w:val="00032508"/>
    <w:rsid w:val="000327BE"/>
    <w:rsid w:val="00032848"/>
    <w:rsid w:val="00032A32"/>
    <w:rsid w:val="000337D6"/>
    <w:rsid w:val="00033AD1"/>
    <w:rsid w:val="00033B0A"/>
    <w:rsid w:val="00033B1A"/>
    <w:rsid w:val="00033F22"/>
    <w:rsid w:val="00033F35"/>
    <w:rsid w:val="00034049"/>
    <w:rsid w:val="000344F1"/>
    <w:rsid w:val="0003455B"/>
    <w:rsid w:val="00034626"/>
    <w:rsid w:val="00034C90"/>
    <w:rsid w:val="00034D06"/>
    <w:rsid w:val="00034E6F"/>
    <w:rsid w:val="0003515F"/>
    <w:rsid w:val="00035321"/>
    <w:rsid w:val="00035351"/>
    <w:rsid w:val="000358E2"/>
    <w:rsid w:val="00035933"/>
    <w:rsid w:val="000359F0"/>
    <w:rsid w:val="00035DB7"/>
    <w:rsid w:val="00036142"/>
    <w:rsid w:val="000362B8"/>
    <w:rsid w:val="0003642A"/>
    <w:rsid w:val="00036870"/>
    <w:rsid w:val="000369A9"/>
    <w:rsid w:val="00036B1B"/>
    <w:rsid w:val="00036C75"/>
    <w:rsid w:val="00036C93"/>
    <w:rsid w:val="00036D1C"/>
    <w:rsid w:val="000372CF"/>
    <w:rsid w:val="00037667"/>
    <w:rsid w:val="000377B5"/>
    <w:rsid w:val="000377BD"/>
    <w:rsid w:val="00037CB3"/>
    <w:rsid w:val="00040449"/>
    <w:rsid w:val="0004051D"/>
    <w:rsid w:val="0004074B"/>
    <w:rsid w:val="0004076E"/>
    <w:rsid w:val="000409A5"/>
    <w:rsid w:val="00040C95"/>
    <w:rsid w:val="00040E61"/>
    <w:rsid w:val="00040F7E"/>
    <w:rsid w:val="00041388"/>
    <w:rsid w:val="000414E2"/>
    <w:rsid w:val="000414EF"/>
    <w:rsid w:val="00041590"/>
    <w:rsid w:val="000417A9"/>
    <w:rsid w:val="000419D0"/>
    <w:rsid w:val="00041C98"/>
    <w:rsid w:val="0004201D"/>
    <w:rsid w:val="000420E1"/>
    <w:rsid w:val="000421E5"/>
    <w:rsid w:val="00042262"/>
    <w:rsid w:val="000423EE"/>
    <w:rsid w:val="00042D43"/>
    <w:rsid w:val="00042EBF"/>
    <w:rsid w:val="00042FD1"/>
    <w:rsid w:val="0004350A"/>
    <w:rsid w:val="00043879"/>
    <w:rsid w:val="000438C7"/>
    <w:rsid w:val="00043A5A"/>
    <w:rsid w:val="00043B55"/>
    <w:rsid w:val="00043B98"/>
    <w:rsid w:val="00043EFA"/>
    <w:rsid w:val="00043F1E"/>
    <w:rsid w:val="00043F70"/>
    <w:rsid w:val="00044086"/>
    <w:rsid w:val="000441E1"/>
    <w:rsid w:val="0004429C"/>
    <w:rsid w:val="00044310"/>
    <w:rsid w:val="00044CC2"/>
    <w:rsid w:val="00044D49"/>
    <w:rsid w:val="00044ED2"/>
    <w:rsid w:val="00045022"/>
    <w:rsid w:val="000452B0"/>
    <w:rsid w:val="00045320"/>
    <w:rsid w:val="000454E5"/>
    <w:rsid w:val="0004594A"/>
    <w:rsid w:val="00045A1D"/>
    <w:rsid w:val="00045B96"/>
    <w:rsid w:val="00045FD0"/>
    <w:rsid w:val="00046239"/>
    <w:rsid w:val="000462CC"/>
    <w:rsid w:val="00046520"/>
    <w:rsid w:val="000465BB"/>
    <w:rsid w:val="0004661C"/>
    <w:rsid w:val="00046841"/>
    <w:rsid w:val="0004692F"/>
    <w:rsid w:val="00046972"/>
    <w:rsid w:val="00046B26"/>
    <w:rsid w:val="00046D9F"/>
    <w:rsid w:val="00047096"/>
    <w:rsid w:val="00047317"/>
    <w:rsid w:val="000473AA"/>
    <w:rsid w:val="00047438"/>
    <w:rsid w:val="00047769"/>
    <w:rsid w:val="00047931"/>
    <w:rsid w:val="00047AF1"/>
    <w:rsid w:val="00047C2A"/>
    <w:rsid w:val="00047CA9"/>
    <w:rsid w:val="00050013"/>
    <w:rsid w:val="00050077"/>
    <w:rsid w:val="000501A7"/>
    <w:rsid w:val="00050206"/>
    <w:rsid w:val="0005028E"/>
    <w:rsid w:val="00050331"/>
    <w:rsid w:val="00050472"/>
    <w:rsid w:val="0005047A"/>
    <w:rsid w:val="000505D8"/>
    <w:rsid w:val="000507CB"/>
    <w:rsid w:val="000509C1"/>
    <w:rsid w:val="00050C7D"/>
    <w:rsid w:val="00050C8F"/>
    <w:rsid w:val="00050DBA"/>
    <w:rsid w:val="00050E85"/>
    <w:rsid w:val="00050ED8"/>
    <w:rsid w:val="000511AF"/>
    <w:rsid w:val="0005127E"/>
    <w:rsid w:val="0005128B"/>
    <w:rsid w:val="0005144A"/>
    <w:rsid w:val="00051909"/>
    <w:rsid w:val="00051AB4"/>
    <w:rsid w:val="00051BF2"/>
    <w:rsid w:val="00051C44"/>
    <w:rsid w:val="00051C47"/>
    <w:rsid w:val="00051C8E"/>
    <w:rsid w:val="00051CEF"/>
    <w:rsid w:val="00051D49"/>
    <w:rsid w:val="00051D9C"/>
    <w:rsid w:val="0005229A"/>
    <w:rsid w:val="000524D4"/>
    <w:rsid w:val="00052820"/>
    <w:rsid w:val="00052BBC"/>
    <w:rsid w:val="00052C78"/>
    <w:rsid w:val="00052C88"/>
    <w:rsid w:val="00052CDC"/>
    <w:rsid w:val="00052E1D"/>
    <w:rsid w:val="00052E29"/>
    <w:rsid w:val="00052E56"/>
    <w:rsid w:val="00053179"/>
    <w:rsid w:val="00053274"/>
    <w:rsid w:val="00053578"/>
    <w:rsid w:val="00053860"/>
    <w:rsid w:val="00053916"/>
    <w:rsid w:val="0005393B"/>
    <w:rsid w:val="00053A94"/>
    <w:rsid w:val="00053AD2"/>
    <w:rsid w:val="00053DE4"/>
    <w:rsid w:val="00053E44"/>
    <w:rsid w:val="000540B4"/>
    <w:rsid w:val="0005417D"/>
    <w:rsid w:val="00054237"/>
    <w:rsid w:val="0005482C"/>
    <w:rsid w:val="0005492B"/>
    <w:rsid w:val="000549AC"/>
    <w:rsid w:val="00054B5C"/>
    <w:rsid w:val="00054E90"/>
    <w:rsid w:val="00055063"/>
    <w:rsid w:val="00055089"/>
    <w:rsid w:val="0005534D"/>
    <w:rsid w:val="000554CA"/>
    <w:rsid w:val="00055692"/>
    <w:rsid w:val="0005586D"/>
    <w:rsid w:val="000559D3"/>
    <w:rsid w:val="00055B26"/>
    <w:rsid w:val="00055BEE"/>
    <w:rsid w:val="00055D95"/>
    <w:rsid w:val="00055EE9"/>
    <w:rsid w:val="00056184"/>
    <w:rsid w:val="00056354"/>
    <w:rsid w:val="00056508"/>
    <w:rsid w:val="0005652D"/>
    <w:rsid w:val="000565F7"/>
    <w:rsid w:val="00056837"/>
    <w:rsid w:val="00056B6F"/>
    <w:rsid w:val="00056C9E"/>
    <w:rsid w:val="00056DFC"/>
    <w:rsid w:val="000570B7"/>
    <w:rsid w:val="00057581"/>
    <w:rsid w:val="0005760F"/>
    <w:rsid w:val="00057612"/>
    <w:rsid w:val="00057A23"/>
    <w:rsid w:val="00057BD0"/>
    <w:rsid w:val="00057E65"/>
    <w:rsid w:val="00057F67"/>
    <w:rsid w:val="00060028"/>
    <w:rsid w:val="00060129"/>
    <w:rsid w:val="00060236"/>
    <w:rsid w:val="00060316"/>
    <w:rsid w:val="0006043B"/>
    <w:rsid w:val="00060446"/>
    <w:rsid w:val="000604AF"/>
    <w:rsid w:val="000606EA"/>
    <w:rsid w:val="00060BD8"/>
    <w:rsid w:val="00060C00"/>
    <w:rsid w:val="00060E9D"/>
    <w:rsid w:val="00061176"/>
    <w:rsid w:val="0006129C"/>
    <w:rsid w:val="000616A1"/>
    <w:rsid w:val="0006176D"/>
    <w:rsid w:val="00061B0B"/>
    <w:rsid w:val="00061FA6"/>
    <w:rsid w:val="0006202C"/>
    <w:rsid w:val="00062062"/>
    <w:rsid w:val="000623EF"/>
    <w:rsid w:val="00062504"/>
    <w:rsid w:val="00062505"/>
    <w:rsid w:val="00062B07"/>
    <w:rsid w:val="000631D8"/>
    <w:rsid w:val="00063202"/>
    <w:rsid w:val="000632D1"/>
    <w:rsid w:val="00063405"/>
    <w:rsid w:val="000638BA"/>
    <w:rsid w:val="00063E2F"/>
    <w:rsid w:val="00063E60"/>
    <w:rsid w:val="00063F72"/>
    <w:rsid w:val="000641E8"/>
    <w:rsid w:val="000647FC"/>
    <w:rsid w:val="0006495A"/>
    <w:rsid w:val="00064B22"/>
    <w:rsid w:val="00064CF5"/>
    <w:rsid w:val="00064FED"/>
    <w:rsid w:val="00065206"/>
    <w:rsid w:val="00065234"/>
    <w:rsid w:val="00065357"/>
    <w:rsid w:val="000653C0"/>
    <w:rsid w:val="0006557F"/>
    <w:rsid w:val="00065869"/>
    <w:rsid w:val="00065897"/>
    <w:rsid w:val="000658A0"/>
    <w:rsid w:val="00065B46"/>
    <w:rsid w:val="00065D07"/>
    <w:rsid w:val="000660EB"/>
    <w:rsid w:val="0006636C"/>
    <w:rsid w:val="000663AE"/>
    <w:rsid w:val="0006661B"/>
    <w:rsid w:val="00066A77"/>
    <w:rsid w:val="00066BAE"/>
    <w:rsid w:val="0006701F"/>
    <w:rsid w:val="000670E5"/>
    <w:rsid w:val="000672C7"/>
    <w:rsid w:val="00067B18"/>
    <w:rsid w:val="00067C80"/>
    <w:rsid w:val="00067D5C"/>
    <w:rsid w:val="000705C7"/>
    <w:rsid w:val="000706F9"/>
    <w:rsid w:val="00070A90"/>
    <w:rsid w:val="00070D38"/>
    <w:rsid w:val="00070D9B"/>
    <w:rsid w:val="00070FCC"/>
    <w:rsid w:val="00071009"/>
    <w:rsid w:val="00071303"/>
    <w:rsid w:val="000716A8"/>
    <w:rsid w:val="0007173E"/>
    <w:rsid w:val="000717F6"/>
    <w:rsid w:val="00071A64"/>
    <w:rsid w:val="00071B66"/>
    <w:rsid w:val="00071E6C"/>
    <w:rsid w:val="00071F4D"/>
    <w:rsid w:val="0007213B"/>
    <w:rsid w:val="00072165"/>
    <w:rsid w:val="000722BA"/>
    <w:rsid w:val="000724F1"/>
    <w:rsid w:val="0007263C"/>
    <w:rsid w:val="00072A04"/>
    <w:rsid w:val="00072EF9"/>
    <w:rsid w:val="0007317C"/>
    <w:rsid w:val="0007346E"/>
    <w:rsid w:val="00073503"/>
    <w:rsid w:val="00073534"/>
    <w:rsid w:val="0007360A"/>
    <w:rsid w:val="000737AC"/>
    <w:rsid w:val="000737CB"/>
    <w:rsid w:val="00073A35"/>
    <w:rsid w:val="00073F44"/>
    <w:rsid w:val="00074426"/>
    <w:rsid w:val="00074520"/>
    <w:rsid w:val="0007457A"/>
    <w:rsid w:val="000748DF"/>
    <w:rsid w:val="00074ABA"/>
    <w:rsid w:val="00074D49"/>
    <w:rsid w:val="00074D61"/>
    <w:rsid w:val="00074D64"/>
    <w:rsid w:val="00074E23"/>
    <w:rsid w:val="00074E67"/>
    <w:rsid w:val="00075188"/>
    <w:rsid w:val="00075660"/>
    <w:rsid w:val="000756D4"/>
    <w:rsid w:val="000756F8"/>
    <w:rsid w:val="000757D5"/>
    <w:rsid w:val="000759D5"/>
    <w:rsid w:val="00075D2E"/>
    <w:rsid w:val="00075E3E"/>
    <w:rsid w:val="000763FA"/>
    <w:rsid w:val="00076623"/>
    <w:rsid w:val="0007694C"/>
    <w:rsid w:val="00076E39"/>
    <w:rsid w:val="00076E8C"/>
    <w:rsid w:val="000771AA"/>
    <w:rsid w:val="000772B5"/>
    <w:rsid w:val="000774B6"/>
    <w:rsid w:val="00077609"/>
    <w:rsid w:val="0007763F"/>
    <w:rsid w:val="000776CF"/>
    <w:rsid w:val="000778FC"/>
    <w:rsid w:val="00077A91"/>
    <w:rsid w:val="00077C31"/>
    <w:rsid w:val="00077CB3"/>
    <w:rsid w:val="00077F8C"/>
    <w:rsid w:val="00077FD4"/>
    <w:rsid w:val="00077FF2"/>
    <w:rsid w:val="00080024"/>
    <w:rsid w:val="00080130"/>
    <w:rsid w:val="00080255"/>
    <w:rsid w:val="00080495"/>
    <w:rsid w:val="00080AD1"/>
    <w:rsid w:val="00080CAA"/>
    <w:rsid w:val="000810AC"/>
    <w:rsid w:val="000810DC"/>
    <w:rsid w:val="0008130C"/>
    <w:rsid w:val="000814FB"/>
    <w:rsid w:val="000816B4"/>
    <w:rsid w:val="00081792"/>
    <w:rsid w:val="000817F2"/>
    <w:rsid w:val="00081B6A"/>
    <w:rsid w:val="00081D02"/>
    <w:rsid w:val="00081D1D"/>
    <w:rsid w:val="00081D50"/>
    <w:rsid w:val="00081D63"/>
    <w:rsid w:val="00081DBE"/>
    <w:rsid w:val="00081E89"/>
    <w:rsid w:val="00081EA3"/>
    <w:rsid w:val="00081F80"/>
    <w:rsid w:val="000822D8"/>
    <w:rsid w:val="00082342"/>
    <w:rsid w:val="000825CF"/>
    <w:rsid w:val="00082746"/>
    <w:rsid w:val="000828F6"/>
    <w:rsid w:val="000829B8"/>
    <w:rsid w:val="000829C7"/>
    <w:rsid w:val="00082B32"/>
    <w:rsid w:val="00082B45"/>
    <w:rsid w:val="00082D36"/>
    <w:rsid w:val="00082E23"/>
    <w:rsid w:val="000831FA"/>
    <w:rsid w:val="00083304"/>
    <w:rsid w:val="00083827"/>
    <w:rsid w:val="000838BD"/>
    <w:rsid w:val="00083AE6"/>
    <w:rsid w:val="000843AB"/>
    <w:rsid w:val="000843D3"/>
    <w:rsid w:val="000844F7"/>
    <w:rsid w:val="00084836"/>
    <w:rsid w:val="00084AAC"/>
    <w:rsid w:val="00085047"/>
    <w:rsid w:val="0008552B"/>
    <w:rsid w:val="000855B8"/>
    <w:rsid w:val="00085638"/>
    <w:rsid w:val="000858A7"/>
    <w:rsid w:val="0008596B"/>
    <w:rsid w:val="00085985"/>
    <w:rsid w:val="00085BE3"/>
    <w:rsid w:val="00085C1C"/>
    <w:rsid w:val="000860B2"/>
    <w:rsid w:val="000860E4"/>
    <w:rsid w:val="00086BE9"/>
    <w:rsid w:val="00086E32"/>
    <w:rsid w:val="00086E78"/>
    <w:rsid w:val="00087002"/>
    <w:rsid w:val="000872FC"/>
    <w:rsid w:val="00087F5F"/>
    <w:rsid w:val="0009025E"/>
    <w:rsid w:val="000904E8"/>
    <w:rsid w:val="00090509"/>
    <w:rsid w:val="000906E1"/>
    <w:rsid w:val="00090754"/>
    <w:rsid w:val="0009087A"/>
    <w:rsid w:val="00090890"/>
    <w:rsid w:val="000909D8"/>
    <w:rsid w:val="00090B5A"/>
    <w:rsid w:val="00090B8D"/>
    <w:rsid w:val="00090D9F"/>
    <w:rsid w:val="00090FBB"/>
    <w:rsid w:val="0009103E"/>
    <w:rsid w:val="00091143"/>
    <w:rsid w:val="00091256"/>
    <w:rsid w:val="000915D5"/>
    <w:rsid w:val="0009179D"/>
    <w:rsid w:val="00091817"/>
    <w:rsid w:val="000918F6"/>
    <w:rsid w:val="00091933"/>
    <w:rsid w:val="00091CD9"/>
    <w:rsid w:val="0009211A"/>
    <w:rsid w:val="0009248D"/>
    <w:rsid w:val="00092C6C"/>
    <w:rsid w:val="00092E12"/>
    <w:rsid w:val="000930E1"/>
    <w:rsid w:val="0009321C"/>
    <w:rsid w:val="00093248"/>
    <w:rsid w:val="00093593"/>
    <w:rsid w:val="00093737"/>
    <w:rsid w:val="000937FB"/>
    <w:rsid w:val="00093B53"/>
    <w:rsid w:val="00093E8E"/>
    <w:rsid w:val="0009416F"/>
    <w:rsid w:val="00094473"/>
    <w:rsid w:val="000944CF"/>
    <w:rsid w:val="00094846"/>
    <w:rsid w:val="00094887"/>
    <w:rsid w:val="00094B45"/>
    <w:rsid w:val="00094BF5"/>
    <w:rsid w:val="000951A0"/>
    <w:rsid w:val="00095546"/>
    <w:rsid w:val="00095594"/>
    <w:rsid w:val="000955D9"/>
    <w:rsid w:val="000956A6"/>
    <w:rsid w:val="00095A83"/>
    <w:rsid w:val="00095A97"/>
    <w:rsid w:val="00095AB5"/>
    <w:rsid w:val="00095C1F"/>
    <w:rsid w:val="000960B9"/>
    <w:rsid w:val="0009636C"/>
    <w:rsid w:val="000965E3"/>
    <w:rsid w:val="0009676B"/>
    <w:rsid w:val="000967C5"/>
    <w:rsid w:val="00096B85"/>
    <w:rsid w:val="00096C82"/>
    <w:rsid w:val="00096F24"/>
    <w:rsid w:val="00096F64"/>
    <w:rsid w:val="00097068"/>
    <w:rsid w:val="000970C9"/>
    <w:rsid w:val="000970D8"/>
    <w:rsid w:val="000970E6"/>
    <w:rsid w:val="000971FC"/>
    <w:rsid w:val="0009721A"/>
    <w:rsid w:val="000974D9"/>
    <w:rsid w:val="000974F7"/>
    <w:rsid w:val="00097C93"/>
    <w:rsid w:val="00097D54"/>
    <w:rsid w:val="000A0035"/>
    <w:rsid w:val="000A03A8"/>
    <w:rsid w:val="000A0446"/>
    <w:rsid w:val="000A04BE"/>
    <w:rsid w:val="000A04D5"/>
    <w:rsid w:val="000A0644"/>
    <w:rsid w:val="000A0811"/>
    <w:rsid w:val="000A0812"/>
    <w:rsid w:val="000A0A2F"/>
    <w:rsid w:val="000A0AA5"/>
    <w:rsid w:val="000A0B3E"/>
    <w:rsid w:val="000A0BCC"/>
    <w:rsid w:val="000A0F8C"/>
    <w:rsid w:val="000A11BD"/>
    <w:rsid w:val="000A129A"/>
    <w:rsid w:val="000A1402"/>
    <w:rsid w:val="000A1A22"/>
    <w:rsid w:val="000A1F68"/>
    <w:rsid w:val="000A212E"/>
    <w:rsid w:val="000A22D6"/>
    <w:rsid w:val="000A2329"/>
    <w:rsid w:val="000A239E"/>
    <w:rsid w:val="000A2497"/>
    <w:rsid w:val="000A2638"/>
    <w:rsid w:val="000A2D26"/>
    <w:rsid w:val="000A30B0"/>
    <w:rsid w:val="000A33AE"/>
    <w:rsid w:val="000A3576"/>
    <w:rsid w:val="000A37F0"/>
    <w:rsid w:val="000A3960"/>
    <w:rsid w:val="000A3B24"/>
    <w:rsid w:val="000A3BDE"/>
    <w:rsid w:val="000A3CFD"/>
    <w:rsid w:val="000A3D9C"/>
    <w:rsid w:val="000A3EBF"/>
    <w:rsid w:val="000A3FD6"/>
    <w:rsid w:val="000A442A"/>
    <w:rsid w:val="000A47A5"/>
    <w:rsid w:val="000A4870"/>
    <w:rsid w:val="000A48F9"/>
    <w:rsid w:val="000A4909"/>
    <w:rsid w:val="000A4D0D"/>
    <w:rsid w:val="000A54DA"/>
    <w:rsid w:val="000A5602"/>
    <w:rsid w:val="000A573B"/>
    <w:rsid w:val="000A5801"/>
    <w:rsid w:val="000A587F"/>
    <w:rsid w:val="000A58B1"/>
    <w:rsid w:val="000A5960"/>
    <w:rsid w:val="000A5AA3"/>
    <w:rsid w:val="000A5D9F"/>
    <w:rsid w:val="000A5FEB"/>
    <w:rsid w:val="000A60BB"/>
    <w:rsid w:val="000A618D"/>
    <w:rsid w:val="000A6490"/>
    <w:rsid w:val="000A6A4C"/>
    <w:rsid w:val="000A6C51"/>
    <w:rsid w:val="000A6C70"/>
    <w:rsid w:val="000A6C87"/>
    <w:rsid w:val="000A6CAF"/>
    <w:rsid w:val="000A77FE"/>
    <w:rsid w:val="000A7849"/>
    <w:rsid w:val="000A7B2E"/>
    <w:rsid w:val="000A7C56"/>
    <w:rsid w:val="000A7D57"/>
    <w:rsid w:val="000A7D82"/>
    <w:rsid w:val="000A7E7A"/>
    <w:rsid w:val="000B0093"/>
    <w:rsid w:val="000B0145"/>
    <w:rsid w:val="000B0251"/>
    <w:rsid w:val="000B02F9"/>
    <w:rsid w:val="000B033C"/>
    <w:rsid w:val="000B04B8"/>
    <w:rsid w:val="000B0585"/>
    <w:rsid w:val="000B05BE"/>
    <w:rsid w:val="000B0ACD"/>
    <w:rsid w:val="000B0AD4"/>
    <w:rsid w:val="000B0B99"/>
    <w:rsid w:val="000B0D1F"/>
    <w:rsid w:val="000B0D93"/>
    <w:rsid w:val="000B0E3B"/>
    <w:rsid w:val="000B0EEA"/>
    <w:rsid w:val="000B0F38"/>
    <w:rsid w:val="000B112A"/>
    <w:rsid w:val="000B1218"/>
    <w:rsid w:val="000B129B"/>
    <w:rsid w:val="000B14A6"/>
    <w:rsid w:val="000B1523"/>
    <w:rsid w:val="000B195D"/>
    <w:rsid w:val="000B1A17"/>
    <w:rsid w:val="000B1A60"/>
    <w:rsid w:val="000B1B13"/>
    <w:rsid w:val="000B1F5D"/>
    <w:rsid w:val="000B2170"/>
    <w:rsid w:val="000B229F"/>
    <w:rsid w:val="000B22E5"/>
    <w:rsid w:val="000B23C8"/>
    <w:rsid w:val="000B27DC"/>
    <w:rsid w:val="000B2B47"/>
    <w:rsid w:val="000B30AC"/>
    <w:rsid w:val="000B31E3"/>
    <w:rsid w:val="000B38E7"/>
    <w:rsid w:val="000B3985"/>
    <w:rsid w:val="000B3CBB"/>
    <w:rsid w:val="000B3F82"/>
    <w:rsid w:val="000B40AA"/>
    <w:rsid w:val="000B42A8"/>
    <w:rsid w:val="000B4406"/>
    <w:rsid w:val="000B4495"/>
    <w:rsid w:val="000B44FB"/>
    <w:rsid w:val="000B4541"/>
    <w:rsid w:val="000B478A"/>
    <w:rsid w:val="000B4A0F"/>
    <w:rsid w:val="000B4C1B"/>
    <w:rsid w:val="000B4D3B"/>
    <w:rsid w:val="000B4DDA"/>
    <w:rsid w:val="000B4F7A"/>
    <w:rsid w:val="000B511F"/>
    <w:rsid w:val="000B53DE"/>
    <w:rsid w:val="000B550F"/>
    <w:rsid w:val="000B5FB4"/>
    <w:rsid w:val="000B63D4"/>
    <w:rsid w:val="000B64FB"/>
    <w:rsid w:val="000B68E5"/>
    <w:rsid w:val="000B6A82"/>
    <w:rsid w:val="000B6E95"/>
    <w:rsid w:val="000B6F24"/>
    <w:rsid w:val="000B6FB4"/>
    <w:rsid w:val="000B71E1"/>
    <w:rsid w:val="000B7399"/>
    <w:rsid w:val="000B73CF"/>
    <w:rsid w:val="000B7E5C"/>
    <w:rsid w:val="000B7ED4"/>
    <w:rsid w:val="000C0079"/>
    <w:rsid w:val="000C024B"/>
    <w:rsid w:val="000C0289"/>
    <w:rsid w:val="000C02BD"/>
    <w:rsid w:val="000C03B4"/>
    <w:rsid w:val="000C03EA"/>
    <w:rsid w:val="000C03F4"/>
    <w:rsid w:val="000C04AA"/>
    <w:rsid w:val="000C05D5"/>
    <w:rsid w:val="000C0696"/>
    <w:rsid w:val="000C0791"/>
    <w:rsid w:val="000C10ED"/>
    <w:rsid w:val="000C111C"/>
    <w:rsid w:val="000C1326"/>
    <w:rsid w:val="000C197F"/>
    <w:rsid w:val="000C1BB1"/>
    <w:rsid w:val="000C1D14"/>
    <w:rsid w:val="000C1DDC"/>
    <w:rsid w:val="000C1EDE"/>
    <w:rsid w:val="000C2050"/>
    <w:rsid w:val="000C21A6"/>
    <w:rsid w:val="000C238A"/>
    <w:rsid w:val="000C2722"/>
    <w:rsid w:val="000C29A4"/>
    <w:rsid w:val="000C2CEB"/>
    <w:rsid w:val="000C2F0D"/>
    <w:rsid w:val="000C311C"/>
    <w:rsid w:val="000C3212"/>
    <w:rsid w:val="000C33AE"/>
    <w:rsid w:val="000C389C"/>
    <w:rsid w:val="000C3F7E"/>
    <w:rsid w:val="000C407D"/>
    <w:rsid w:val="000C40DF"/>
    <w:rsid w:val="000C4223"/>
    <w:rsid w:val="000C4330"/>
    <w:rsid w:val="000C43CD"/>
    <w:rsid w:val="000C45E1"/>
    <w:rsid w:val="000C4BB3"/>
    <w:rsid w:val="000C4D8C"/>
    <w:rsid w:val="000C4D91"/>
    <w:rsid w:val="000C4D95"/>
    <w:rsid w:val="000C4EC1"/>
    <w:rsid w:val="000C4F9D"/>
    <w:rsid w:val="000C506E"/>
    <w:rsid w:val="000C5092"/>
    <w:rsid w:val="000C5174"/>
    <w:rsid w:val="000C542D"/>
    <w:rsid w:val="000C5489"/>
    <w:rsid w:val="000C5D56"/>
    <w:rsid w:val="000C61DE"/>
    <w:rsid w:val="000C688B"/>
    <w:rsid w:val="000C6A18"/>
    <w:rsid w:val="000C6BB6"/>
    <w:rsid w:val="000C6F2C"/>
    <w:rsid w:val="000C7003"/>
    <w:rsid w:val="000C7288"/>
    <w:rsid w:val="000C757B"/>
    <w:rsid w:val="000C77CF"/>
    <w:rsid w:val="000C7A82"/>
    <w:rsid w:val="000C7AFF"/>
    <w:rsid w:val="000C7D56"/>
    <w:rsid w:val="000C7E85"/>
    <w:rsid w:val="000C7FAE"/>
    <w:rsid w:val="000D03C2"/>
    <w:rsid w:val="000D0425"/>
    <w:rsid w:val="000D04B1"/>
    <w:rsid w:val="000D0641"/>
    <w:rsid w:val="000D09DA"/>
    <w:rsid w:val="000D0A4C"/>
    <w:rsid w:val="000D0AB1"/>
    <w:rsid w:val="000D0EDA"/>
    <w:rsid w:val="000D12A9"/>
    <w:rsid w:val="000D12D0"/>
    <w:rsid w:val="000D177C"/>
    <w:rsid w:val="000D1796"/>
    <w:rsid w:val="000D18C5"/>
    <w:rsid w:val="000D1B9D"/>
    <w:rsid w:val="000D1D54"/>
    <w:rsid w:val="000D210E"/>
    <w:rsid w:val="000D21C8"/>
    <w:rsid w:val="000D22EE"/>
    <w:rsid w:val="000D23DF"/>
    <w:rsid w:val="000D2474"/>
    <w:rsid w:val="000D24B2"/>
    <w:rsid w:val="000D2743"/>
    <w:rsid w:val="000D2BCA"/>
    <w:rsid w:val="000D2D6A"/>
    <w:rsid w:val="000D2EB1"/>
    <w:rsid w:val="000D2FC2"/>
    <w:rsid w:val="000D30CB"/>
    <w:rsid w:val="000D3164"/>
    <w:rsid w:val="000D33AF"/>
    <w:rsid w:val="000D356C"/>
    <w:rsid w:val="000D37B3"/>
    <w:rsid w:val="000D3855"/>
    <w:rsid w:val="000D3D05"/>
    <w:rsid w:val="000D3E33"/>
    <w:rsid w:val="000D3EEF"/>
    <w:rsid w:val="000D3F02"/>
    <w:rsid w:val="000D4176"/>
    <w:rsid w:val="000D4208"/>
    <w:rsid w:val="000D4305"/>
    <w:rsid w:val="000D43B8"/>
    <w:rsid w:val="000D4571"/>
    <w:rsid w:val="000D475C"/>
    <w:rsid w:val="000D48D5"/>
    <w:rsid w:val="000D4CC6"/>
    <w:rsid w:val="000D51BB"/>
    <w:rsid w:val="000D54DC"/>
    <w:rsid w:val="000D57C5"/>
    <w:rsid w:val="000D59A5"/>
    <w:rsid w:val="000D623D"/>
    <w:rsid w:val="000D6916"/>
    <w:rsid w:val="000D6AD2"/>
    <w:rsid w:val="000D6F1A"/>
    <w:rsid w:val="000D71DB"/>
    <w:rsid w:val="000D798B"/>
    <w:rsid w:val="000D7A97"/>
    <w:rsid w:val="000D7BF0"/>
    <w:rsid w:val="000D7C94"/>
    <w:rsid w:val="000D7CD7"/>
    <w:rsid w:val="000D7D55"/>
    <w:rsid w:val="000D7EC4"/>
    <w:rsid w:val="000D7EE9"/>
    <w:rsid w:val="000D7FCC"/>
    <w:rsid w:val="000E0053"/>
    <w:rsid w:val="000E00DB"/>
    <w:rsid w:val="000E0124"/>
    <w:rsid w:val="000E012F"/>
    <w:rsid w:val="000E0190"/>
    <w:rsid w:val="000E0293"/>
    <w:rsid w:val="000E0332"/>
    <w:rsid w:val="000E0661"/>
    <w:rsid w:val="000E097B"/>
    <w:rsid w:val="000E0B2D"/>
    <w:rsid w:val="000E0E00"/>
    <w:rsid w:val="000E0E33"/>
    <w:rsid w:val="000E0F8C"/>
    <w:rsid w:val="000E118A"/>
    <w:rsid w:val="000E150B"/>
    <w:rsid w:val="000E1630"/>
    <w:rsid w:val="000E16FC"/>
    <w:rsid w:val="000E17F4"/>
    <w:rsid w:val="000E1C87"/>
    <w:rsid w:val="000E1F89"/>
    <w:rsid w:val="000E201C"/>
    <w:rsid w:val="000E2240"/>
    <w:rsid w:val="000E2534"/>
    <w:rsid w:val="000E2617"/>
    <w:rsid w:val="000E27A0"/>
    <w:rsid w:val="000E29EC"/>
    <w:rsid w:val="000E2A97"/>
    <w:rsid w:val="000E2B01"/>
    <w:rsid w:val="000E2CBE"/>
    <w:rsid w:val="000E2F90"/>
    <w:rsid w:val="000E30A4"/>
    <w:rsid w:val="000E316F"/>
    <w:rsid w:val="000E35A8"/>
    <w:rsid w:val="000E3A27"/>
    <w:rsid w:val="000E3AB7"/>
    <w:rsid w:val="000E3D6B"/>
    <w:rsid w:val="000E3FFE"/>
    <w:rsid w:val="000E4244"/>
    <w:rsid w:val="000E45F2"/>
    <w:rsid w:val="000E475A"/>
    <w:rsid w:val="000E4945"/>
    <w:rsid w:val="000E4C0E"/>
    <w:rsid w:val="000E4E19"/>
    <w:rsid w:val="000E51DA"/>
    <w:rsid w:val="000E5554"/>
    <w:rsid w:val="000E56A6"/>
    <w:rsid w:val="000E5754"/>
    <w:rsid w:val="000E5829"/>
    <w:rsid w:val="000E5847"/>
    <w:rsid w:val="000E5A8D"/>
    <w:rsid w:val="000E5DA1"/>
    <w:rsid w:val="000E600F"/>
    <w:rsid w:val="000E6664"/>
    <w:rsid w:val="000E6729"/>
    <w:rsid w:val="000E6A1D"/>
    <w:rsid w:val="000E6A9D"/>
    <w:rsid w:val="000E6AC4"/>
    <w:rsid w:val="000E6D61"/>
    <w:rsid w:val="000E6E1A"/>
    <w:rsid w:val="000E710A"/>
    <w:rsid w:val="000E7131"/>
    <w:rsid w:val="000E717A"/>
    <w:rsid w:val="000E730C"/>
    <w:rsid w:val="000E73A7"/>
    <w:rsid w:val="000E73F2"/>
    <w:rsid w:val="000E7BA2"/>
    <w:rsid w:val="000E7BB1"/>
    <w:rsid w:val="000F006F"/>
    <w:rsid w:val="000F024F"/>
    <w:rsid w:val="000F0792"/>
    <w:rsid w:val="000F0F02"/>
    <w:rsid w:val="000F0F92"/>
    <w:rsid w:val="000F1179"/>
    <w:rsid w:val="000F1525"/>
    <w:rsid w:val="000F17BD"/>
    <w:rsid w:val="000F17CD"/>
    <w:rsid w:val="000F191E"/>
    <w:rsid w:val="000F1929"/>
    <w:rsid w:val="000F1DB7"/>
    <w:rsid w:val="000F1F56"/>
    <w:rsid w:val="000F2027"/>
    <w:rsid w:val="000F2261"/>
    <w:rsid w:val="000F2369"/>
    <w:rsid w:val="000F2793"/>
    <w:rsid w:val="000F2C52"/>
    <w:rsid w:val="000F2DDD"/>
    <w:rsid w:val="000F2F94"/>
    <w:rsid w:val="000F3B88"/>
    <w:rsid w:val="000F3CD5"/>
    <w:rsid w:val="000F3D1C"/>
    <w:rsid w:val="000F3D94"/>
    <w:rsid w:val="000F4138"/>
    <w:rsid w:val="000F4774"/>
    <w:rsid w:val="000F4793"/>
    <w:rsid w:val="000F47B4"/>
    <w:rsid w:val="000F4BA7"/>
    <w:rsid w:val="000F5327"/>
    <w:rsid w:val="000F565E"/>
    <w:rsid w:val="000F5669"/>
    <w:rsid w:val="000F5770"/>
    <w:rsid w:val="000F588E"/>
    <w:rsid w:val="000F59DC"/>
    <w:rsid w:val="000F6158"/>
    <w:rsid w:val="000F6699"/>
    <w:rsid w:val="000F6A0C"/>
    <w:rsid w:val="000F6D4C"/>
    <w:rsid w:val="000F6FFF"/>
    <w:rsid w:val="000F718B"/>
    <w:rsid w:val="000F74CE"/>
    <w:rsid w:val="000F74EA"/>
    <w:rsid w:val="000F7872"/>
    <w:rsid w:val="000F7905"/>
    <w:rsid w:val="000F7956"/>
    <w:rsid w:val="000F7986"/>
    <w:rsid w:val="000F7A83"/>
    <w:rsid w:val="000F7BD7"/>
    <w:rsid w:val="000F7C15"/>
    <w:rsid w:val="000F7D36"/>
    <w:rsid w:val="000F7DA2"/>
    <w:rsid w:val="000F7DAD"/>
    <w:rsid w:val="000F7E72"/>
    <w:rsid w:val="000F7F31"/>
    <w:rsid w:val="001000BD"/>
    <w:rsid w:val="001001D4"/>
    <w:rsid w:val="001001E9"/>
    <w:rsid w:val="00100658"/>
    <w:rsid w:val="00100B55"/>
    <w:rsid w:val="00100BDB"/>
    <w:rsid w:val="00100C43"/>
    <w:rsid w:val="00100C70"/>
    <w:rsid w:val="00100CDF"/>
    <w:rsid w:val="00100EA6"/>
    <w:rsid w:val="00100EE9"/>
    <w:rsid w:val="00100F5D"/>
    <w:rsid w:val="001014F2"/>
    <w:rsid w:val="00101BE6"/>
    <w:rsid w:val="00101D4B"/>
    <w:rsid w:val="00101E9A"/>
    <w:rsid w:val="00101F69"/>
    <w:rsid w:val="0010236D"/>
    <w:rsid w:val="0010237F"/>
    <w:rsid w:val="001023C0"/>
    <w:rsid w:val="001024CB"/>
    <w:rsid w:val="00102933"/>
    <w:rsid w:val="00102A65"/>
    <w:rsid w:val="00103020"/>
    <w:rsid w:val="0010315C"/>
    <w:rsid w:val="0010318B"/>
    <w:rsid w:val="0010326E"/>
    <w:rsid w:val="001036C8"/>
    <w:rsid w:val="00103CB6"/>
    <w:rsid w:val="00103F9D"/>
    <w:rsid w:val="001040B7"/>
    <w:rsid w:val="001042D8"/>
    <w:rsid w:val="00104442"/>
    <w:rsid w:val="001053CB"/>
    <w:rsid w:val="00105583"/>
    <w:rsid w:val="001056DD"/>
    <w:rsid w:val="001058BB"/>
    <w:rsid w:val="00105918"/>
    <w:rsid w:val="00105E1A"/>
    <w:rsid w:val="0010608C"/>
    <w:rsid w:val="001062A0"/>
    <w:rsid w:val="00106318"/>
    <w:rsid w:val="0010637B"/>
    <w:rsid w:val="0010651A"/>
    <w:rsid w:val="00106647"/>
    <w:rsid w:val="00106A63"/>
    <w:rsid w:val="00106DDE"/>
    <w:rsid w:val="00106F41"/>
    <w:rsid w:val="001075CE"/>
    <w:rsid w:val="0011004D"/>
    <w:rsid w:val="001100A3"/>
    <w:rsid w:val="0011011F"/>
    <w:rsid w:val="00110674"/>
    <w:rsid w:val="00110B28"/>
    <w:rsid w:val="00111548"/>
    <w:rsid w:val="00111885"/>
    <w:rsid w:val="0011199D"/>
    <w:rsid w:val="00111BF3"/>
    <w:rsid w:val="00111E69"/>
    <w:rsid w:val="001120C0"/>
    <w:rsid w:val="001124B8"/>
    <w:rsid w:val="001125A9"/>
    <w:rsid w:val="0011283A"/>
    <w:rsid w:val="001128C7"/>
    <w:rsid w:val="001129CA"/>
    <w:rsid w:val="0011337E"/>
    <w:rsid w:val="001134BA"/>
    <w:rsid w:val="00113A7C"/>
    <w:rsid w:val="00113B2F"/>
    <w:rsid w:val="00113BE6"/>
    <w:rsid w:val="00113DE5"/>
    <w:rsid w:val="00113FB1"/>
    <w:rsid w:val="0011428E"/>
    <w:rsid w:val="001142A0"/>
    <w:rsid w:val="001143EF"/>
    <w:rsid w:val="00114536"/>
    <w:rsid w:val="00114601"/>
    <w:rsid w:val="0011488E"/>
    <w:rsid w:val="001149A8"/>
    <w:rsid w:val="00114ABF"/>
    <w:rsid w:val="00114AC8"/>
    <w:rsid w:val="00114E0B"/>
    <w:rsid w:val="00114F7F"/>
    <w:rsid w:val="0011526B"/>
    <w:rsid w:val="001152C6"/>
    <w:rsid w:val="001154A9"/>
    <w:rsid w:val="00115A77"/>
    <w:rsid w:val="00115D32"/>
    <w:rsid w:val="00115F14"/>
    <w:rsid w:val="00115F89"/>
    <w:rsid w:val="00116221"/>
    <w:rsid w:val="001168CA"/>
    <w:rsid w:val="001168DA"/>
    <w:rsid w:val="00116C52"/>
    <w:rsid w:val="00116E7E"/>
    <w:rsid w:val="001175B3"/>
    <w:rsid w:val="001176A3"/>
    <w:rsid w:val="0011789F"/>
    <w:rsid w:val="001178A4"/>
    <w:rsid w:val="00117BEE"/>
    <w:rsid w:val="00117D70"/>
    <w:rsid w:val="001202B8"/>
    <w:rsid w:val="0012042F"/>
    <w:rsid w:val="001204B5"/>
    <w:rsid w:val="001209E6"/>
    <w:rsid w:val="00120A38"/>
    <w:rsid w:val="00120A4B"/>
    <w:rsid w:val="00120A95"/>
    <w:rsid w:val="00120B84"/>
    <w:rsid w:val="00120B89"/>
    <w:rsid w:val="00120C31"/>
    <w:rsid w:val="00120D49"/>
    <w:rsid w:val="0012111B"/>
    <w:rsid w:val="0012113A"/>
    <w:rsid w:val="0012126B"/>
    <w:rsid w:val="001217AE"/>
    <w:rsid w:val="00121B7B"/>
    <w:rsid w:val="00121BB9"/>
    <w:rsid w:val="00121E5C"/>
    <w:rsid w:val="0012208C"/>
    <w:rsid w:val="001220D1"/>
    <w:rsid w:val="001226C6"/>
    <w:rsid w:val="001226F0"/>
    <w:rsid w:val="00122807"/>
    <w:rsid w:val="00122CE6"/>
    <w:rsid w:val="00122E4A"/>
    <w:rsid w:val="00123063"/>
    <w:rsid w:val="0012314E"/>
    <w:rsid w:val="00123470"/>
    <w:rsid w:val="0012388E"/>
    <w:rsid w:val="0012394F"/>
    <w:rsid w:val="00123BD8"/>
    <w:rsid w:val="0012430E"/>
    <w:rsid w:val="0012438D"/>
    <w:rsid w:val="00124503"/>
    <w:rsid w:val="00124636"/>
    <w:rsid w:val="00124C75"/>
    <w:rsid w:val="00124D0F"/>
    <w:rsid w:val="00124DA4"/>
    <w:rsid w:val="00125045"/>
    <w:rsid w:val="001250B8"/>
    <w:rsid w:val="0012516F"/>
    <w:rsid w:val="0012522D"/>
    <w:rsid w:val="0012531F"/>
    <w:rsid w:val="00125358"/>
    <w:rsid w:val="001255A3"/>
    <w:rsid w:val="001255E7"/>
    <w:rsid w:val="00125639"/>
    <w:rsid w:val="00125718"/>
    <w:rsid w:val="001258DA"/>
    <w:rsid w:val="001258F6"/>
    <w:rsid w:val="00125D48"/>
    <w:rsid w:val="00125F67"/>
    <w:rsid w:val="00126063"/>
    <w:rsid w:val="0012652F"/>
    <w:rsid w:val="00126618"/>
    <w:rsid w:val="001266C6"/>
    <w:rsid w:val="00126A96"/>
    <w:rsid w:val="00126B0D"/>
    <w:rsid w:val="00126C96"/>
    <w:rsid w:val="00126D84"/>
    <w:rsid w:val="00126E2E"/>
    <w:rsid w:val="0012728F"/>
    <w:rsid w:val="00127526"/>
    <w:rsid w:val="0012775A"/>
    <w:rsid w:val="00127B43"/>
    <w:rsid w:val="00127DB4"/>
    <w:rsid w:val="00127EF0"/>
    <w:rsid w:val="00127F32"/>
    <w:rsid w:val="0013050B"/>
    <w:rsid w:val="0013063E"/>
    <w:rsid w:val="0013071E"/>
    <w:rsid w:val="00130A1F"/>
    <w:rsid w:val="00130A4C"/>
    <w:rsid w:val="00130E0F"/>
    <w:rsid w:val="00130FEE"/>
    <w:rsid w:val="00131063"/>
    <w:rsid w:val="00131142"/>
    <w:rsid w:val="00131173"/>
    <w:rsid w:val="0013117E"/>
    <w:rsid w:val="00131302"/>
    <w:rsid w:val="00131355"/>
    <w:rsid w:val="00131460"/>
    <w:rsid w:val="001316D8"/>
    <w:rsid w:val="00131780"/>
    <w:rsid w:val="00131B92"/>
    <w:rsid w:val="00131D71"/>
    <w:rsid w:val="0013201B"/>
    <w:rsid w:val="001320CF"/>
    <w:rsid w:val="001321D1"/>
    <w:rsid w:val="00132400"/>
    <w:rsid w:val="001324E6"/>
    <w:rsid w:val="001324FD"/>
    <w:rsid w:val="00132569"/>
    <w:rsid w:val="001325B1"/>
    <w:rsid w:val="00132BE1"/>
    <w:rsid w:val="00132CCD"/>
    <w:rsid w:val="00132F53"/>
    <w:rsid w:val="00132F9C"/>
    <w:rsid w:val="0013310F"/>
    <w:rsid w:val="001331F7"/>
    <w:rsid w:val="00133A5D"/>
    <w:rsid w:val="00133D54"/>
    <w:rsid w:val="00134191"/>
    <w:rsid w:val="00134532"/>
    <w:rsid w:val="00134A5C"/>
    <w:rsid w:val="00134DFD"/>
    <w:rsid w:val="001353E2"/>
    <w:rsid w:val="00135DD8"/>
    <w:rsid w:val="00135FAA"/>
    <w:rsid w:val="0013658F"/>
    <w:rsid w:val="00136909"/>
    <w:rsid w:val="00136CAE"/>
    <w:rsid w:val="00136CD1"/>
    <w:rsid w:val="00136E66"/>
    <w:rsid w:val="00137598"/>
    <w:rsid w:val="0013782E"/>
    <w:rsid w:val="00137B31"/>
    <w:rsid w:val="00137C10"/>
    <w:rsid w:val="00137CE6"/>
    <w:rsid w:val="00137E3E"/>
    <w:rsid w:val="00137EEE"/>
    <w:rsid w:val="00137F1A"/>
    <w:rsid w:val="00140011"/>
    <w:rsid w:val="0014024E"/>
    <w:rsid w:val="00140298"/>
    <w:rsid w:val="001405CF"/>
    <w:rsid w:val="001406B5"/>
    <w:rsid w:val="001407C2"/>
    <w:rsid w:val="00140B39"/>
    <w:rsid w:val="00140BDB"/>
    <w:rsid w:val="00140DF8"/>
    <w:rsid w:val="00141077"/>
    <w:rsid w:val="00141230"/>
    <w:rsid w:val="001412A0"/>
    <w:rsid w:val="0014142F"/>
    <w:rsid w:val="0014196B"/>
    <w:rsid w:val="00141BCF"/>
    <w:rsid w:val="00141DB6"/>
    <w:rsid w:val="00142546"/>
    <w:rsid w:val="00142592"/>
    <w:rsid w:val="00142D51"/>
    <w:rsid w:val="00142DB3"/>
    <w:rsid w:val="00142DF3"/>
    <w:rsid w:val="00142F07"/>
    <w:rsid w:val="00143055"/>
    <w:rsid w:val="00143269"/>
    <w:rsid w:val="0014326A"/>
    <w:rsid w:val="00143273"/>
    <w:rsid w:val="001432FB"/>
    <w:rsid w:val="001433D6"/>
    <w:rsid w:val="0014398C"/>
    <w:rsid w:val="00143B70"/>
    <w:rsid w:val="00143CF3"/>
    <w:rsid w:val="00143FD2"/>
    <w:rsid w:val="001441CA"/>
    <w:rsid w:val="001442B2"/>
    <w:rsid w:val="0014455B"/>
    <w:rsid w:val="001447C3"/>
    <w:rsid w:val="0014498C"/>
    <w:rsid w:val="00144AC4"/>
    <w:rsid w:val="00145191"/>
    <w:rsid w:val="0014524C"/>
    <w:rsid w:val="00145648"/>
    <w:rsid w:val="001457A7"/>
    <w:rsid w:val="001458A5"/>
    <w:rsid w:val="001459EE"/>
    <w:rsid w:val="00145D7A"/>
    <w:rsid w:val="00146036"/>
    <w:rsid w:val="001460BA"/>
    <w:rsid w:val="001460F5"/>
    <w:rsid w:val="0014621F"/>
    <w:rsid w:val="001462B3"/>
    <w:rsid w:val="00146300"/>
    <w:rsid w:val="001464EC"/>
    <w:rsid w:val="00146694"/>
    <w:rsid w:val="00146874"/>
    <w:rsid w:val="001468EE"/>
    <w:rsid w:val="00146C3D"/>
    <w:rsid w:val="00146EA4"/>
    <w:rsid w:val="0014700B"/>
    <w:rsid w:val="001474CB"/>
    <w:rsid w:val="0014787B"/>
    <w:rsid w:val="0014787F"/>
    <w:rsid w:val="0014793D"/>
    <w:rsid w:val="00147A9D"/>
    <w:rsid w:val="00147AAC"/>
    <w:rsid w:val="00147CCC"/>
    <w:rsid w:val="00147F1D"/>
    <w:rsid w:val="00150685"/>
    <w:rsid w:val="00150A59"/>
    <w:rsid w:val="00150AE2"/>
    <w:rsid w:val="00150D48"/>
    <w:rsid w:val="00150F14"/>
    <w:rsid w:val="00151066"/>
    <w:rsid w:val="001510E1"/>
    <w:rsid w:val="001511DB"/>
    <w:rsid w:val="001512F4"/>
    <w:rsid w:val="0015148A"/>
    <w:rsid w:val="00151524"/>
    <w:rsid w:val="00151987"/>
    <w:rsid w:val="00151B12"/>
    <w:rsid w:val="00151C37"/>
    <w:rsid w:val="00151E99"/>
    <w:rsid w:val="00151F32"/>
    <w:rsid w:val="001520A6"/>
    <w:rsid w:val="00152146"/>
    <w:rsid w:val="001522E7"/>
    <w:rsid w:val="001522E8"/>
    <w:rsid w:val="001523E1"/>
    <w:rsid w:val="001523F0"/>
    <w:rsid w:val="0015255E"/>
    <w:rsid w:val="00152655"/>
    <w:rsid w:val="00152758"/>
    <w:rsid w:val="00152BC9"/>
    <w:rsid w:val="00152C09"/>
    <w:rsid w:val="00152C4E"/>
    <w:rsid w:val="00152CA5"/>
    <w:rsid w:val="00152D08"/>
    <w:rsid w:val="00152F1B"/>
    <w:rsid w:val="001532CC"/>
    <w:rsid w:val="0015336C"/>
    <w:rsid w:val="001533A4"/>
    <w:rsid w:val="00153523"/>
    <w:rsid w:val="0015376E"/>
    <w:rsid w:val="00153C4E"/>
    <w:rsid w:val="00153C79"/>
    <w:rsid w:val="00154053"/>
    <w:rsid w:val="00154368"/>
    <w:rsid w:val="00154581"/>
    <w:rsid w:val="0015467C"/>
    <w:rsid w:val="00154688"/>
    <w:rsid w:val="001546A6"/>
    <w:rsid w:val="00154706"/>
    <w:rsid w:val="001548AF"/>
    <w:rsid w:val="0015496B"/>
    <w:rsid w:val="00154C60"/>
    <w:rsid w:val="00154DC6"/>
    <w:rsid w:val="0015518A"/>
    <w:rsid w:val="0015525A"/>
    <w:rsid w:val="001553F8"/>
    <w:rsid w:val="00155468"/>
    <w:rsid w:val="00155654"/>
    <w:rsid w:val="001557F5"/>
    <w:rsid w:val="001558E6"/>
    <w:rsid w:val="00155C18"/>
    <w:rsid w:val="00155C45"/>
    <w:rsid w:val="00155CB9"/>
    <w:rsid w:val="00155DAE"/>
    <w:rsid w:val="00155DFE"/>
    <w:rsid w:val="00155E81"/>
    <w:rsid w:val="00156207"/>
    <w:rsid w:val="00156486"/>
    <w:rsid w:val="00156542"/>
    <w:rsid w:val="0015707C"/>
    <w:rsid w:val="0015734F"/>
    <w:rsid w:val="0015760C"/>
    <w:rsid w:val="00157727"/>
    <w:rsid w:val="00157762"/>
    <w:rsid w:val="00157B30"/>
    <w:rsid w:val="00157B3A"/>
    <w:rsid w:val="00157D60"/>
    <w:rsid w:val="00157E16"/>
    <w:rsid w:val="00160046"/>
    <w:rsid w:val="00160062"/>
    <w:rsid w:val="0016006A"/>
    <w:rsid w:val="00160184"/>
    <w:rsid w:val="001601DB"/>
    <w:rsid w:val="001602EB"/>
    <w:rsid w:val="001603C9"/>
    <w:rsid w:val="001609DB"/>
    <w:rsid w:val="00160D2C"/>
    <w:rsid w:val="00160D8C"/>
    <w:rsid w:val="001610BE"/>
    <w:rsid w:val="001613EF"/>
    <w:rsid w:val="001615EF"/>
    <w:rsid w:val="0016162E"/>
    <w:rsid w:val="00161C59"/>
    <w:rsid w:val="00161D20"/>
    <w:rsid w:val="00161F1B"/>
    <w:rsid w:val="0016210A"/>
    <w:rsid w:val="001625EA"/>
    <w:rsid w:val="001626C1"/>
    <w:rsid w:val="0016279D"/>
    <w:rsid w:val="00162955"/>
    <w:rsid w:val="001629D7"/>
    <w:rsid w:val="00162D3E"/>
    <w:rsid w:val="0016300D"/>
    <w:rsid w:val="00163A4E"/>
    <w:rsid w:val="00163C4C"/>
    <w:rsid w:val="00163CA5"/>
    <w:rsid w:val="00163F23"/>
    <w:rsid w:val="00164241"/>
    <w:rsid w:val="0016454A"/>
    <w:rsid w:val="00164738"/>
    <w:rsid w:val="00164910"/>
    <w:rsid w:val="001649CB"/>
    <w:rsid w:val="00164BB5"/>
    <w:rsid w:val="00164C5B"/>
    <w:rsid w:val="00164E13"/>
    <w:rsid w:val="00164E57"/>
    <w:rsid w:val="00164F52"/>
    <w:rsid w:val="0016501E"/>
    <w:rsid w:val="00165146"/>
    <w:rsid w:val="00165399"/>
    <w:rsid w:val="0016543F"/>
    <w:rsid w:val="0016550B"/>
    <w:rsid w:val="001657B7"/>
    <w:rsid w:val="00165A30"/>
    <w:rsid w:val="00165D51"/>
    <w:rsid w:val="00165F26"/>
    <w:rsid w:val="001660F2"/>
    <w:rsid w:val="0016634C"/>
    <w:rsid w:val="00166885"/>
    <w:rsid w:val="00166A5C"/>
    <w:rsid w:val="00166ABB"/>
    <w:rsid w:val="00166EE1"/>
    <w:rsid w:val="00167359"/>
    <w:rsid w:val="001673DA"/>
    <w:rsid w:val="00167414"/>
    <w:rsid w:val="001677F4"/>
    <w:rsid w:val="00167B14"/>
    <w:rsid w:val="00167B8F"/>
    <w:rsid w:val="00167CDC"/>
    <w:rsid w:val="001700C2"/>
    <w:rsid w:val="00170207"/>
    <w:rsid w:val="00170336"/>
    <w:rsid w:val="00170C8C"/>
    <w:rsid w:val="001710C1"/>
    <w:rsid w:val="00171655"/>
    <w:rsid w:val="001717A2"/>
    <w:rsid w:val="0017186F"/>
    <w:rsid w:val="0017201B"/>
    <w:rsid w:val="0017225C"/>
    <w:rsid w:val="001722BA"/>
    <w:rsid w:val="00172306"/>
    <w:rsid w:val="00172468"/>
    <w:rsid w:val="001724AC"/>
    <w:rsid w:val="001726FA"/>
    <w:rsid w:val="00172912"/>
    <w:rsid w:val="00172AFB"/>
    <w:rsid w:val="00172B93"/>
    <w:rsid w:val="00172B9F"/>
    <w:rsid w:val="00172DD4"/>
    <w:rsid w:val="00172F6C"/>
    <w:rsid w:val="001732CA"/>
    <w:rsid w:val="00173462"/>
    <w:rsid w:val="001734B3"/>
    <w:rsid w:val="00173537"/>
    <w:rsid w:val="00173B4D"/>
    <w:rsid w:val="00173BE4"/>
    <w:rsid w:val="00173D9A"/>
    <w:rsid w:val="00173DDA"/>
    <w:rsid w:val="00173FFE"/>
    <w:rsid w:val="001746CE"/>
    <w:rsid w:val="00174BA3"/>
    <w:rsid w:val="00174BE0"/>
    <w:rsid w:val="00174C27"/>
    <w:rsid w:val="00174CF2"/>
    <w:rsid w:val="00174EA2"/>
    <w:rsid w:val="00174FD4"/>
    <w:rsid w:val="001753DA"/>
    <w:rsid w:val="00175682"/>
    <w:rsid w:val="00175815"/>
    <w:rsid w:val="00175ADA"/>
    <w:rsid w:val="00175C5C"/>
    <w:rsid w:val="00175CE5"/>
    <w:rsid w:val="00175EAD"/>
    <w:rsid w:val="00176592"/>
    <w:rsid w:val="00176829"/>
    <w:rsid w:val="00176D83"/>
    <w:rsid w:val="00176E72"/>
    <w:rsid w:val="00176F91"/>
    <w:rsid w:val="00176FB3"/>
    <w:rsid w:val="001770AF"/>
    <w:rsid w:val="00177673"/>
    <w:rsid w:val="001779AC"/>
    <w:rsid w:val="00177CC3"/>
    <w:rsid w:val="00177EAF"/>
    <w:rsid w:val="0018010B"/>
    <w:rsid w:val="001802C9"/>
    <w:rsid w:val="00180310"/>
    <w:rsid w:val="00180516"/>
    <w:rsid w:val="00180517"/>
    <w:rsid w:val="00180694"/>
    <w:rsid w:val="001806B1"/>
    <w:rsid w:val="00180925"/>
    <w:rsid w:val="00180D4F"/>
    <w:rsid w:val="00181019"/>
    <w:rsid w:val="0018151A"/>
    <w:rsid w:val="00181624"/>
    <w:rsid w:val="0018178E"/>
    <w:rsid w:val="001817D3"/>
    <w:rsid w:val="00181B0E"/>
    <w:rsid w:val="00181FD0"/>
    <w:rsid w:val="00182469"/>
    <w:rsid w:val="00182BE7"/>
    <w:rsid w:val="00182CCF"/>
    <w:rsid w:val="00182F62"/>
    <w:rsid w:val="00182FE8"/>
    <w:rsid w:val="001832BD"/>
    <w:rsid w:val="00183667"/>
    <w:rsid w:val="00183A47"/>
    <w:rsid w:val="00183FA1"/>
    <w:rsid w:val="00183FE7"/>
    <w:rsid w:val="00184098"/>
    <w:rsid w:val="00184156"/>
    <w:rsid w:val="00184242"/>
    <w:rsid w:val="00184493"/>
    <w:rsid w:val="001844CA"/>
    <w:rsid w:val="00184754"/>
    <w:rsid w:val="00184928"/>
    <w:rsid w:val="00184A56"/>
    <w:rsid w:val="00184C63"/>
    <w:rsid w:val="00184E82"/>
    <w:rsid w:val="00184F67"/>
    <w:rsid w:val="00185120"/>
    <w:rsid w:val="0018537A"/>
    <w:rsid w:val="001853E6"/>
    <w:rsid w:val="001855D3"/>
    <w:rsid w:val="0018567F"/>
    <w:rsid w:val="0018590D"/>
    <w:rsid w:val="00185911"/>
    <w:rsid w:val="00185930"/>
    <w:rsid w:val="00185BAE"/>
    <w:rsid w:val="00186230"/>
    <w:rsid w:val="00186400"/>
    <w:rsid w:val="0018672E"/>
    <w:rsid w:val="001868F0"/>
    <w:rsid w:val="00186F31"/>
    <w:rsid w:val="001870BC"/>
    <w:rsid w:val="0018718E"/>
    <w:rsid w:val="001871F8"/>
    <w:rsid w:val="00187214"/>
    <w:rsid w:val="00187355"/>
    <w:rsid w:val="00187455"/>
    <w:rsid w:val="00187524"/>
    <w:rsid w:val="0018762A"/>
    <w:rsid w:val="00187657"/>
    <w:rsid w:val="0018767D"/>
    <w:rsid w:val="00187A8E"/>
    <w:rsid w:val="00187B9D"/>
    <w:rsid w:val="00187BC1"/>
    <w:rsid w:val="00187C12"/>
    <w:rsid w:val="00187C26"/>
    <w:rsid w:val="0019031B"/>
    <w:rsid w:val="001903D7"/>
    <w:rsid w:val="00190440"/>
    <w:rsid w:val="0019055E"/>
    <w:rsid w:val="0019061B"/>
    <w:rsid w:val="0019085B"/>
    <w:rsid w:val="00190B31"/>
    <w:rsid w:val="00190B96"/>
    <w:rsid w:val="00190F1D"/>
    <w:rsid w:val="00190F8A"/>
    <w:rsid w:val="00191085"/>
    <w:rsid w:val="00191895"/>
    <w:rsid w:val="00191D68"/>
    <w:rsid w:val="00192167"/>
    <w:rsid w:val="00192188"/>
    <w:rsid w:val="0019225E"/>
    <w:rsid w:val="001925E1"/>
    <w:rsid w:val="00192767"/>
    <w:rsid w:val="00192ECB"/>
    <w:rsid w:val="00192FB3"/>
    <w:rsid w:val="00193112"/>
    <w:rsid w:val="0019330E"/>
    <w:rsid w:val="001933DF"/>
    <w:rsid w:val="00193657"/>
    <w:rsid w:val="00193794"/>
    <w:rsid w:val="0019379B"/>
    <w:rsid w:val="00193823"/>
    <w:rsid w:val="001938BF"/>
    <w:rsid w:val="00193B6B"/>
    <w:rsid w:val="00193FC4"/>
    <w:rsid w:val="0019435B"/>
    <w:rsid w:val="00194451"/>
    <w:rsid w:val="00194570"/>
    <w:rsid w:val="001946C6"/>
    <w:rsid w:val="00194767"/>
    <w:rsid w:val="00194778"/>
    <w:rsid w:val="001948A5"/>
    <w:rsid w:val="001948B0"/>
    <w:rsid w:val="00194928"/>
    <w:rsid w:val="00194A10"/>
    <w:rsid w:val="00194D14"/>
    <w:rsid w:val="00194E77"/>
    <w:rsid w:val="001952DA"/>
    <w:rsid w:val="0019532C"/>
    <w:rsid w:val="00195372"/>
    <w:rsid w:val="00195479"/>
    <w:rsid w:val="0019561E"/>
    <w:rsid w:val="001958D2"/>
    <w:rsid w:val="001958F1"/>
    <w:rsid w:val="00195A76"/>
    <w:rsid w:val="00195B08"/>
    <w:rsid w:val="00195C39"/>
    <w:rsid w:val="00195E3C"/>
    <w:rsid w:val="00195EF1"/>
    <w:rsid w:val="00196165"/>
    <w:rsid w:val="0019642E"/>
    <w:rsid w:val="0019662D"/>
    <w:rsid w:val="0019666E"/>
    <w:rsid w:val="001966AD"/>
    <w:rsid w:val="00196AD5"/>
    <w:rsid w:val="00196C8F"/>
    <w:rsid w:val="00196C9A"/>
    <w:rsid w:val="00196CC4"/>
    <w:rsid w:val="00196FCC"/>
    <w:rsid w:val="00196FF4"/>
    <w:rsid w:val="001970CF"/>
    <w:rsid w:val="001976AB"/>
    <w:rsid w:val="00197AAE"/>
    <w:rsid w:val="00197B6D"/>
    <w:rsid w:val="00197D4F"/>
    <w:rsid w:val="00197E10"/>
    <w:rsid w:val="00197E95"/>
    <w:rsid w:val="00197F46"/>
    <w:rsid w:val="00197F8D"/>
    <w:rsid w:val="001A06CE"/>
    <w:rsid w:val="001A0939"/>
    <w:rsid w:val="001A0CD5"/>
    <w:rsid w:val="001A0DAB"/>
    <w:rsid w:val="001A0DDB"/>
    <w:rsid w:val="001A0EE1"/>
    <w:rsid w:val="001A1065"/>
    <w:rsid w:val="001A108E"/>
    <w:rsid w:val="001A14B4"/>
    <w:rsid w:val="001A165C"/>
    <w:rsid w:val="001A1849"/>
    <w:rsid w:val="001A184B"/>
    <w:rsid w:val="001A1B08"/>
    <w:rsid w:val="001A1B27"/>
    <w:rsid w:val="001A1DFA"/>
    <w:rsid w:val="001A209E"/>
    <w:rsid w:val="001A2316"/>
    <w:rsid w:val="001A2343"/>
    <w:rsid w:val="001A24A8"/>
    <w:rsid w:val="001A2553"/>
    <w:rsid w:val="001A2C37"/>
    <w:rsid w:val="001A2C4E"/>
    <w:rsid w:val="001A2F4B"/>
    <w:rsid w:val="001A3282"/>
    <w:rsid w:val="001A34D4"/>
    <w:rsid w:val="001A3DD2"/>
    <w:rsid w:val="001A4036"/>
    <w:rsid w:val="001A4332"/>
    <w:rsid w:val="001A445E"/>
    <w:rsid w:val="001A44AA"/>
    <w:rsid w:val="001A45C9"/>
    <w:rsid w:val="001A4674"/>
    <w:rsid w:val="001A4977"/>
    <w:rsid w:val="001A4AA8"/>
    <w:rsid w:val="001A4FA8"/>
    <w:rsid w:val="001A54DD"/>
    <w:rsid w:val="001A5566"/>
    <w:rsid w:val="001A571C"/>
    <w:rsid w:val="001A5877"/>
    <w:rsid w:val="001A5B51"/>
    <w:rsid w:val="001A5B5B"/>
    <w:rsid w:val="001A61C0"/>
    <w:rsid w:val="001A684D"/>
    <w:rsid w:val="001A69F9"/>
    <w:rsid w:val="001A6BED"/>
    <w:rsid w:val="001A6D30"/>
    <w:rsid w:val="001A715E"/>
    <w:rsid w:val="001A72A1"/>
    <w:rsid w:val="001A7326"/>
    <w:rsid w:val="001A737C"/>
    <w:rsid w:val="001A755E"/>
    <w:rsid w:val="001A7609"/>
    <w:rsid w:val="001A770E"/>
    <w:rsid w:val="001A7ADD"/>
    <w:rsid w:val="001A7D1F"/>
    <w:rsid w:val="001A7E48"/>
    <w:rsid w:val="001A7EAF"/>
    <w:rsid w:val="001B0194"/>
    <w:rsid w:val="001B0242"/>
    <w:rsid w:val="001B02ED"/>
    <w:rsid w:val="001B03D9"/>
    <w:rsid w:val="001B0581"/>
    <w:rsid w:val="001B06D8"/>
    <w:rsid w:val="001B075D"/>
    <w:rsid w:val="001B0798"/>
    <w:rsid w:val="001B092F"/>
    <w:rsid w:val="001B0A88"/>
    <w:rsid w:val="001B0E73"/>
    <w:rsid w:val="001B1005"/>
    <w:rsid w:val="001B1264"/>
    <w:rsid w:val="001B165B"/>
    <w:rsid w:val="001B1B99"/>
    <w:rsid w:val="001B1ED2"/>
    <w:rsid w:val="001B1EDA"/>
    <w:rsid w:val="001B1F56"/>
    <w:rsid w:val="001B201B"/>
    <w:rsid w:val="001B2328"/>
    <w:rsid w:val="001B2508"/>
    <w:rsid w:val="001B2580"/>
    <w:rsid w:val="001B25DA"/>
    <w:rsid w:val="001B279F"/>
    <w:rsid w:val="001B2A27"/>
    <w:rsid w:val="001B2B6A"/>
    <w:rsid w:val="001B2BED"/>
    <w:rsid w:val="001B2D15"/>
    <w:rsid w:val="001B2E8A"/>
    <w:rsid w:val="001B2EC1"/>
    <w:rsid w:val="001B3286"/>
    <w:rsid w:val="001B3313"/>
    <w:rsid w:val="001B3351"/>
    <w:rsid w:val="001B3731"/>
    <w:rsid w:val="001B3748"/>
    <w:rsid w:val="001B37F8"/>
    <w:rsid w:val="001B3A44"/>
    <w:rsid w:val="001B3CAE"/>
    <w:rsid w:val="001B422E"/>
    <w:rsid w:val="001B44C6"/>
    <w:rsid w:val="001B4584"/>
    <w:rsid w:val="001B4CC5"/>
    <w:rsid w:val="001B51AA"/>
    <w:rsid w:val="001B5277"/>
    <w:rsid w:val="001B5609"/>
    <w:rsid w:val="001B5B6F"/>
    <w:rsid w:val="001B5CA7"/>
    <w:rsid w:val="001B61AC"/>
    <w:rsid w:val="001B6319"/>
    <w:rsid w:val="001B6426"/>
    <w:rsid w:val="001B6481"/>
    <w:rsid w:val="001B658E"/>
    <w:rsid w:val="001B65EA"/>
    <w:rsid w:val="001B6C18"/>
    <w:rsid w:val="001B6D49"/>
    <w:rsid w:val="001B6F6C"/>
    <w:rsid w:val="001B72D9"/>
    <w:rsid w:val="001B75FA"/>
    <w:rsid w:val="001B7646"/>
    <w:rsid w:val="001B767F"/>
    <w:rsid w:val="001B76A7"/>
    <w:rsid w:val="001B7811"/>
    <w:rsid w:val="001B7ABD"/>
    <w:rsid w:val="001C00BF"/>
    <w:rsid w:val="001C025D"/>
    <w:rsid w:val="001C0844"/>
    <w:rsid w:val="001C0A37"/>
    <w:rsid w:val="001C0B65"/>
    <w:rsid w:val="001C0B6D"/>
    <w:rsid w:val="001C0E0A"/>
    <w:rsid w:val="001C0F81"/>
    <w:rsid w:val="001C114C"/>
    <w:rsid w:val="001C154B"/>
    <w:rsid w:val="001C15DD"/>
    <w:rsid w:val="001C171C"/>
    <w:rsid w:val="001C17D9"/>
    <w:rsid w:val="001C1B3A"/>
    <w:rsid w:val="001C1B74"/>
    <w:rsid w:val="001C1D6C"/>
    <w:rsid w:val="001C1E06"/>
    <w:rsid w:val="001C1F42"/>
    <w:rsid w:val="001C21BE"/>
    <w:rsid w:val="001C21E8"/>
    <w:rsid w:val="001C2332"/>
    <w:rsid w:val="001C25AD"/>
    <w:rsid w:val="001C269E"/>
    <w:rsid w:val="001C26F4"/>
    <w:rsid w:val="001C275C"/>
    <w:rsid w:val="001C2904"/>
    <w:rsid w:val="001C3056"/>
    <w:rsid w:val="001C3163"/>
    <w:rsid w:val="001C3280"/>
    <w:rsid w:val="001C32C0"/>
    <w:rsid w:val="001C35CA"/>
    <w:rsid w:val="001C367F"/>
    <w:rsid w:val="001C38C3"/>
    <w:rsid w:val="001C3B93"/>
    <w:rsid w:val="001C3CA8"/>
    <w:rsid w:val="001C3F4C"/>
    <w:rsid w:val="001C40BF"/>
    <w:rsid w:val="001C4133"/>
    <w:rsid w:val="001C417D"/>
    <w:rsid w:val="001C43F9"/>
    <w:rsid w:val="001C4499"/>
    <w:rsid w:val="001C4691"/>
    <w:rsid w:val="001C4829"/>
    <w:rsid w:val="001C4949"/>
    <w:rsid w:val="001C4992"/>
    <w:rsid w:val="001C4ABF"/>
    <w:rsid w:val="001C4ACA"/>
    <w:rsid w:val="001C52C3"/>
    <w:rsid w:val="001C5437"/>
    <w:rsid w:val="001C5D58"/>
    <w:rsid w:val="001C5DA4"/>
    <w:rsid w:val="001C6111"/>
    <w:rsid w:val="001C6184"/>
    <w:rsid w:val="001C6AF6"/>
    <w:rsid w:val="001C709B"/>
    <w:rsid w:val="001C73BE"/>
    <w:rsid w:val="001C7532"/>
    <w:rsid w:val="001C7AF1"/>
    <w:rsid w:val="001C7DB5"/>
    <w:rsid w:val="001D0154"/>
    <w:rsid w:val="001D019B"/>
    <w:rsid w:val="001D02A4"/>
    <w:rsid w:val="001D031E"/>
    <w:rsid w:val="001D0373"/>
    <w:rsid w:val="001D0944"/>
    <w:rsid w:val="001D0E4E"/>
    <w:rsid w:val="001D0EC0"/>
    <w:rsid w:val="001D10FB"/>
    <w:rsid w:val="001D11EB"/>
    <w:rsid w:val="001D17BF"/>
    <w:rsid w:val="001D1820"/>
    <w:rsid w:val="001D18D4"/>
    <w:rsid w:val="001D18F3"/>
    <w:rsid w:val="001D19E5"/>
    <w:rsid w:val="001D1BA1"/>
    <w:rsid w:val="001D1E40"/>
    <w:rsid w:val="001D1F12"/>
    <w:rsid w:val="001D1F3E"/>
    <w:rsid w:val="001D1F7E"/>
    <w:rsid w:val="001D20B5"/>
    <w:rsid w:val="001D246B"/>
    <w:rsid w:val="001D2485"/>
    <w:rsid w:val="001D2A1A"/>
    <w:rsid w:val="001D2A52"/>
    <w:rsid w:val="001D2DD3"/>
    <w:rsid w:val="001D2EE7"/>
    <w:rsid w:val="001D32F9"/>
    <w:rsid w:val="001D35FD"/>
    <w:rsid w:val="001D3826"/>
    <w:rsid w:val="001D382C"/>
    <w:rsid w:val="001D3A9C"/>
    <w:rsid w:val="001D41B9"/>
    <w:rsid w:val="001D43B1"/>
    <w:rsid w:val="001D4528"/>
    <w:rsid w:val="001D471A"/>
    <w:rsid w:val="001D4B94"/>
    <w:rsid w:val="001D4BB9"/>
    <w:rsid w:val="001D4BE2"/>
    <w:rsid w:val="001D5436"/>
    <w:rsid w:val="001D5FA2"/>
    <w:rsid w:val="001D62CB"/>
    <w:rsid w:val="001D662B"/>
    <w:rsid w:val="001D66AD"/>
    <w:rsid w:val="001D675C"/>
    <w:rsid w:val="001D6890"/>
    <w:rsid w:val="001D6C60"/>
    <w:rsid w:val="001D6E4E"/>
    <w:rsid w:val="001D7262"/>
    <w:rsid w:val="001D726F"/>
    <w:rsid w:val="001D72B4"/>
    <w:rsid w:val="001D7596"/>
    <w:rsid w:val="001D77CD"/>
    <w:rsid w:val="001D789B"/>
    <w:rsid w:val="001E03C0"/>
    <w:rsid w:val="001E0481"/>
    <w:rsid w:val="001E0A19"/>
    <w:rsid w:val="001E0DBC"/>
    <w:rsid w:val="001E10C5"/>
    <w:rsid w:val="001E13F4"/>
    <w:rsid w:val="001E167A"/>
    <w:rsid w:val="001E1B78"/>
    <w:rsid w:val="001E1BFB"/>
    <w:rsid w:val="001E1C80"/>
    <w:rsid w:val="001E1E11"/>
    <w:rsid w:val="001E1EF4"/>
    <w:rsid w:val="001E1F85"/>
    <w:rsid w:val="001E23E1"/>
    <w:rsid w:val="001E247F"/>
    <w:rsid w:val="001E25A3"/>
    <w:rsid w:val="001E28E7"/>
    <w:rsid w:val="001E2BE8"/>
    <w:rsid w:val="001E2C9E"/>
    <w:rsid w:val="001E3027"/>
    <w:rsid w:val="001E31B2"/>
    <w:rsid w:val="001E32A3"/>
    <w:rsid w:val="001E33CD"/>
    <w:rsid w:val="001E34D8"/>
    <w:rsid w:val="001E3525"/>
    <w:rsid w:val="001E363D"/>
    <w:rsid w:val="001E3879"/>
    <w:rsid w:val="001E38E7"/>
    <w:rsid w:val="001E3A3A"/>
    <w:rsid w:val="001E3A71"/>
    <w:rsid w:val="001E3C96"/>
    <w:rsid w:val="001E42E4"/>
    <w:rsid w:val="001E44F5"/>
    <w:rsid w:val="001E4563"/>
    <w:rsid w:val="001E4660"/>
    <w:rsid w:val="001E47D1"/>
    <w:rsid w:val="001E4AF9"/>
    <w:rsid w:val="001E4D50"/>
    <w:rsid w:val="001E53B2"/>
    <w:rsid w:val="001E55B1"/>
    <w:rsid w:val="001E56B6"/>
    <w:rsid w:val="001E5A2A"/>
    <w:rsid w:val="001E5B0E"/>
    <w:rsid w:val="001E5BE2"/>
    <w:rsid w:val="001E5BEC"/>
    <w:rsid w:val="001E5D1C"/>
    <w:rsid w:val="001E5E41"/>
    <w:rsid w:val="001E5F54"/>
    <w:rsid w:val="001E62E8"/>
    <w:rsid w:val="001E640E"/>
    <w:rsid w:val="001E6484"/>
    <w:rsid w:val="001E65C9"/>
    <w:rsid w:val="001E6864"/>
    <w:rsid w:val="001E694A"/>
    <w:rsid w:val="001E6A58"/>
    <w:rsid w:val="001E6AA7"/>
    <w:rsid w:val="001E6C07"/>
    <w:rsid w:val="001E6D5A"/>
    <w:rsid w:val="001E6E46"/>
    <w:rsid w:val="001E74AF"/>
    <w:rsid w:val="001E74E9"/>
    <w:rsid w:val="001E764B"/>
    <w:rsid w:val="001E789C"/>
    <w:rsid w:val="001E7A93"/>
    <w:rsid w:val="001E7AB5"/>
    <w:rsid w:val="001E7DCE"/>
    <w:rsid w:val="001F063D"/>
    <w:rsid w:val="001F0A04"/>
    <w:rsid w:val="001F0AE4"/>
    <w:rsid w:val="001F0B80"/>
    <w:rsid w:val="001F0FE6"/>
    <w:rsid w:val="001F1303"/>
    <w:rsid w:val="001F1357"/>
    <w:rsid w:val="001F1481"/>
    <w:rsid w:val="001F14C2"/>
    <w:rsid w:val="001F15D1"/>
    <w:rsid w:val="001F1F3F"/>
    <w:rsid w:val="001F20F7"/>
    <w:rsid w:val="001F2218"/>
    <w:rsid w:val="001F22CF"/>
    <w:rsid w:val="001F230B"/>
    <w:rsid w:val="001F25C2"/>
    <w:rsid w:val="001F2742"/>
    <w:rsid w:val="001F2996"/>
    <w:rsid w:val="001F2DE5"/>
    <w:rsid w:val="001F3025"/>
    <w:rsid w:val="001F316B"/>
    <w:rsid w:val="001F341F"/>
    <w:rsid w:val="001F3443"/>
    <w:rsid w:val="001F35D2"/>
    <w:rsid w:val="001F3626"/>
    <w:rsid w:val="001F387A"/>
    <w:rsid w:val="001F390A"/>
    <w:rsid w:val="001F3BE3"/>
    <w:rsid w:val="001F3D87"/>
    <w:rsid w:val="001F3FB6"/>
    <w:rsid w:val="001F408B"/>
    <w:rsid w:val="001F415D"/>
    <w:rsid w:val="001F43C8"/>
    <w:rsid w:val="001F4633"/>
    <w:rsid w:val="001F4690"/>
    <w:rsid w:val="001F4845"/>
    <w:rsid w:val="001F4997"/>
    <w:rsid w:val="001F49F2"/>
    <w:rsid w:val="001F4A74"/>
    <w:rsid w:val="001F4F0A"/>
    <w:rsid w:val="001F4F23"/>
    <w:rsid w:val="001F5040"/>
    <w:rsid w:val="001F5077"/>
    <w:rsid w:val="001F5160"/>
    <w:rsid w:val="001F53C1"/>
    <w:rsid w:val="001F54EF"/>
    <w:rsid w:val="001F57F4"/>
    <w:rsid w:val="001F5C17"/>
    <w:rsid w:val="001F5C8F"/>
    <w:rsid w:val="001F5D33"/>
    <w:rsid w:val="001F5E62"/>
    <w:rsid w:val="001F5E89"/>
    <w:rsid w:val="001F5F45"/>
    <w:rsid w:val="001F6A10"/>
    <w:rsid w:val="001F6C04"/>
    <w:rsid w:val="001F70A2"/>
    <w:rsid w:val="001F70FF"/>
    <w:rsid w:val="001F71E2"/>
    <w:rsid w:val="001F72B2"/>
    <w:rsid w:val="001F72BB"/>
    <w:rsid w:val="001F7692"/>
    <w:rsid w:val="001F79EF"/>
    <w:rsid w:val="001F7A1E"/>
    <w:rsid w:val="001F7C72"/>
    <w:rsid w:val="001F7D7B"/>
    <w:rsid w:val="001F7DC2"/>
    <w:rsid w:val="001F7EC6"/>
    <w:rsid w:val="001F7FBC"/>
    <w:rsid w:val="001F7FC0"/>
    <w:rsid w:val="00200277"/>
    <w:rsid w:val="0020044C"/>
    <w:rsid w:val="0020048E"/>
    <w:rsid w:val="00200529"/>
    <w:rsid w:val="00200D41"/>
    <w:rsid w:val="00200EC4"/>
    <w:rsid w:val="00201198"/>
    <w:rsid w:val="0020133C"/>
    <w:rsid w:val="002013F5"/>
    <w:rsid w:val="002015C9"/>
    <w:rsid w:val="002018E3"/>
    <w:rsid w:val="002018F2"/>
    <w:rsid w:val="00201ED3"/>
    <w:rsid w:val="002020DC"/>
    <w:rsid w:val="002021C5"/>
    <w:rsid w:val="0020225C"/>
    <w:rsid w:val="002022A7"/>
    <w:rsid w:val="002023C4"/>
    <w:rsid w:val="00202DEE"/>
    <w:rsid w:val="00202E5E"/>
    <w:rsid w:val="00203037"/>
    <w:rsid w:val="00203175"/>
    <w:rsid w:val="00203353"/>
    <w:rsid w:val="0020361B"/>
    <w:rsid w:val="00203974"/>
    <w:rsid w:val="0020398A"/>
    <w:rsid w:val="00203CF9"/>
    <w:rsid w:val="00203F10"/>
    <w:rsid w:val="00203FD7"/>
    <w:rsid w:val="002041EB"/>
    <w:rsid w:val="002043D8"/>
    <w:rsid w:val="002044F0"/>
    <w:rsid w:val="00204B02"/>
    <w:rsid w:val="00204CEF"/>
    <w:rsid w:val="00204D3F"/>
    <w:rsid w:val="00204D6D"/>
    <w:rsid w:val="00204DEC"/>
    <w:rsid w:val="00205195"/>
    <w:rsid w:val="0020559E"/>
    <w:rsid w:val="00205A92"/>
    <w:rsid w:val="00205B6C"/>
    <w:rsid w:val="00205CB8"/>
    <w:rsid w:val="00205D33"/>
    <w:rsid w:val="00205DE5"/>
    <w:rsid w:val="00205E36"/>
    <w:rsid w:val="00205E4F"/>
    <w:rsid w:val="00206FB1"/>
    <w:rsid w:val="00206FDD"/>
    <w:rsid w:val="002071B1"/>
    <w:rsid w:val="002072E7"/>
    <w:rsid w:val="002073D9"/>
    <w:rsid w:val="002076C8"/>
    <w:rsid w:val="00207CBA"/>
    <w:rsid w:val="00207E8C"/>
    <w:rsid w:val="002100C6"/>
    <w:rsid w:val="00210171"/>
    <w:rsid w:val="002104C4"/>
    <w:rsid w:val="00210501"/>
    <w:rsid w:val="002105AA"/>
    <w:rsid w:val="0021061C"/>
    <w:rsid w:val="00210964"/>
    <w:rsid w:val="00210E08"/>
    <w:rsid w:val="00210EED"/>
    <w:rsid w:val="00210F54"/>
    <w:rsid w:val="0021112E"/>
    <w:rsid w:val="002111E3"/>
    <w:rsid w:val="0021164B"/>
    <w:rsid w:val="00211763"/>
    <w:rsid w:val="0021177D"/>
    <w:rsid w:val="002118A0"/>
    <w:rsid w:val="00211BBB"/>
    <w:rsid w:val="00211BFF"/>
    <w:rsid w:val="00211C10"/>
    <w:rsid w:val="00211C5C"/>
    <w:rsid w:val="00211D5E"/>
    <w:rsid w:val="00211DF2"/>
    <w:rsid w:val="00211E25"/>
    <w:rsid w:val="00211E7B"/>
    <w:rsid w:val="00211F51"/>
    <w:rsid w:val="00211F8E"/>
    <w:rsid w:val="00211FC9"/>
    <w:rsid w:val="002126C6"/>
    <w:rsid w:val="0021274E"/>
    <w:rsid w:val="00212856"/>
    <w:rsid w:val="002128FF"/>
    <w:rsid w:val="00212CE1"/>
    <w:rsid w:val="00212EC4"/>
    <w:rsid w:val="00212ED3"/>
    <w:rsid w:val="00213019"/>
    <w:rsid w:val="002131C8"/>
    <w:rsid w:val="002131DC"/>
    <w:rsid w:val="00213468"/>
    <w:rsid w:val="0021359D"/>
    <w:rsid w:val="0021366C"/>
    <w:rsid w:val="00213C49"/>
    <w:rsid w:val="00213FD0"/>
    <w:rsid w:val="00214033"/>
    <w:rsid w:val="002143DE"/>
    <w:rsid w:val="002143E5"/>
    <w:rsid w:val="002149F6"/>
    <w:rsid w:val="00214B28"/>
    <w:rsid w:val="00214CBF"/>
    <w:rsid w:val="00215416"/>
    <w:rsid w:val="00215432"/>
    <w:rsid w:val="00215607"/>
    <w:rsid w:val="00215887"/>
    <w:rsid w:val="002158FA"/>
    <w:rsid w:val="00215BCF"/>
    <w:rsid w:val="00215CAE"/>
    <w:rsid w:val="00215DF3"/>
    <w:rsid w:val="00216036"/>
    <w:rsid w:val="00216433"/>
    <w:rsid w:val="002165F9"/>
    <w:rsid w:val="00216693"/>
    <w:rsid w:val="002166B1"/>
    <w:rsid w:val="002166C8"/>
    <w:rsid w:val="00216997"/>
    <w:rsid w:val="00216A7E"/>
    <w:rsid w:val="00216B3F"/>
    <w:rsid w:val="00216C04"/>
    <w:rsid w:val="00216D87"/>
    <w:rsid w:val="00216E49"/>
    <w:rsid w:val="00216E61"/>
    <w:rsid w:val="0021746A"/>
    <w:rsid w:val="00217613"/>
    <w:rsid w:val="00217735"/>
    <w:rsid w:val="002179D1"/>
    <w:rsid w:val="00217B66"/>
    <w:rsid w:val="00217CE1"/>
    <w:rsid w:val="00217DFA"/>
    <w:rsid w:val="00217E71"/>
    <w:rsid w:val="0022015B"/>
    <w:rsid w:val="00220642"/>
    <w:rsid w:val="00220DA6"/>
    <w:rsid w:val="00220EFA"/>
    <w:rsid w:val="00220F4D"/>
    <w:rsid w:val="00221239"/>
    <w:rsid w:val="00221282"/>
    <w:rsid w:val="00221321"/>
    <w:rsid w:val="002213FB"/>
    <w:rsid w:val="0022147B"/>
    <w:rsid w:val="00221678"/>
    <w:rsid w:val="002218CF"/>
    <w:rsid w:val="00221A84"/>
    <w:rsid w:val="00222281"/>
    <w:rsid w:val="002222EB"/>
    <w:rsid w:val="0022276A"/>
    <w:rsid w:val="002227EA"/>
    <w:rsid w:val="002227F0"/>
    <w:rsid w:val="0022281E"/>
    <w:rsid w:val="00222CAB"/>
    <w:rsid w:val="00222CBD"/>
    <w:rsid w:val="00222D1C"/>
    <w:rsid w:val="00222D6B"/>
    <w:rsid w:val="00222ED8"/>
    <w:rsid w:val="00222F51"/>
    <w:rsid w:val="00223258"/>
    <w:rsid w:val="002233B3"/>
    <w:rsid w:val="00223576"/>
    <w:rsid w:val="00223773"/>
    <w:rsid w:val="002239FD"/>
    <w:rsid w:val="00223BC2"/>
    <w:rsid w:val="00223CD7"/>
    <w:rsid w:val="00223D8B"/>
    <w:rsid w:val="00223E9D"/>
    <w:rsid w:val="002240B3"/>
    <w:rsid w:val="00224252"/>
    <w:rsid w:val="0022458F"/>
    <w:rsid w:val="002245E0"/>
    <w:rsid w:val="00224600"/>
    <w:rsid w:val="00224751"/>
    <w:rsid w:val="002247F9"/>
    <w:rsid w:val="00224A8C"/>
    <w:rsid w:val="00224DD6"/>
    <w:rsid w:val="00224F28"/>
    <w:rsid w:val="0022511F"/>
    <w:rsid w:val="00225618"/>
    <w:rsid w:val="00225991"/>
    <w:rsid w:val="00225E08"/>
    <w:rsid w:val="00225EAA"/>
    <w:rsid w:val="002260C6"/>
    <w:rsid w:val="0022629B"/>
    <w:rsid w:val="00226442"/>
    <w:rsid w:val="00226455"/>
    <w:rsid w:val="002266C6"/>
    <w:rsid w:val="00226794"/>
    <w:rsid w:val="00226B28"/>
    <w:rsid w:val="0022709C"/>
    <w:rsid w:val="002274B0"/>
    <w:rsid w:val="00227942"/>
    <w:rsid w:val="00227AD1"/>
    <w:rsid w:val="00227BD5"/>
    <w:rsid w:val="00227C48"/>
    <w:rsid w:val="00227E46"/>
    <w:rsid w:val="00227F2E"/>
    <w:rsid w:val="00230173"/>
    <w:rsid w:val="0023057D"/>
    <w:rsid w:val="002307FF"/>
    <w:rsid w:val="00230949"/>
    <w:rsid w:val="0023097B"/>
    <w:rsid w:val="00230ECB"/>
    <w:rsid w:val="002311CA"/>
    <w:rsid w:val="002315C3"/>
    <w:rsid w:val="002315D4"/>
    <w:rsid w:val="00231AD8"/>
    <w:rsid w:val="00231BF5"/>
    <w:rsid w:val="00231CC8"/>
    <w:rsid w:val="00232293"/>
    <w:rsid w:val="002324D4"/>
    <w:rsid w:val="0023261F"/>
    <w:rsid w:val="002328AA"/>
    <w:rsid w:val="00232BF4"/>
    <w:rsid w:val="00232C90"/>
    <w:rsid w:val="00232F80"/>
    <w:rsid w:val="00232FC9"/>
    <w:rsid w:val="002330C7"/>
    <w:rsid w:val="00233419"/>
    <w:rsid w:val="00233420"/>
    <w:rsid w:val="00233BCA"/>
    <w:rsid w:val="00233CC8"/>
    <w:rsid w:val="00233EBD"/>
    <w:rsid w:val="00233FA6"/>
    <w:rsid w:val="0023405B"/>
    <w:rsid w:val="00234329"/>
    <w:rsid w:val="002343F5"/>
    <w:rsid w:val="00234407"/>
    <w:rsid w:val="00234B7C"/>
    <w:rsid w:val="00234D0F"/>
    <w:rsid w:val="00234D4D"/>
    <w:rsid w:val="00234E77"/>
    <w:rsid w:val="00234EAA"/>
    <w:rsid w:val="00235009"/>
    <w:rsid w:val="0023511C"/>
    <w:rsid w:val="002351BE"/>
    <w:rsid w:val="00235366"/>
    <w:rsid w:val="00235379"/>
    <w:rsid w:val="00235542"/>
    <w:rsid w:val="0023584B"/>
    <w:rsid w:val="00235C6D"/>
    <w:rsid w:val="00235C95"/>
    <w:rsid w:val="00235D46"/>
    <w:rsid w:val="00235F55"/>
    <w:rsid w:val="002360F0"/>
    <w:rsid w:val="00236176"/>
    <w:rsid w:val="00236721"/>
    <w:rsid w:val="00236798"/>
    <w:rsid w:val="00236836"/>
    <w:rsid w:val="002368AF"/>
    <w:rsid w:val="00236907"/>
    <w:rsid w:val="00236B53"/>
    <w:rsid w:val="00236BC6"/>
    <w:rsid w:val="00236BF1"/>
    <w:rsid w:val="00236CE2"/>
    <w:rsid w:val="00236D0F"/>
    <w:rsid w:val="00236E04"/>
    <w:rsid w:val="00236E87"/>
    <w:rsid w:val="0023714D"/>
    <w:rsid w:val="00237951"/>
    <w:rsid w:val="002379A1"/>
    <w:rsid w:val="00237AAE"/>
    <w:rsid w:val="00237B1C"/>
    <w:rsid w:val="00237B76"/>
    <w:rsid w:val="00237D6C"/>
    <w:rsid w:val="00237F82"/>
    <w:rsid w:val="00237FFD"/>
    <w:rsid w:val="002400F8"/>
    <w:rsid w:val="00240157"/>
    <w:rsid w:val="00240216"/>
    <w:rsid w:val="0024026A"/>
    <w:rsid w:val="0024036D"/>
    <w:rsid w:val="00240C13"/>
    <w:rsid w:val="00240CC4"/>
    <w:rsid w:val="0024100C"/>
    <w:rsid w:val="0024106D"/>
    <w:rsid w:val="00241386"/>
    <w:rsid w:val="00241904"/>
    <w:rsid w:val="00241B0D"/>
    <w:rsid w:val="00241B59"/>
    <w:rsid w:val="00241BBC"/>
    <w:rsid w:val="00241F90"/>
    <w:rsid w:val="0024225C"/>
    <w:rsid w:val="0024226D"/>
    <w:rsid w:val="002424ED"/>
    <w:rsid w:val="0024273B"/>
    <w:rsid w:val="002427D6"/>
    <w:rsid w:val="002431CB"/>
    <w:rsid w:val="00243ADB"/>
    <w:rsid w:val="00243BB1"/>
    <w:rsid w:val="00243D76"/>
    <w:rsid w:val="0024404D"/>
    <w:rsid w:val="00244129"/>
    <w:rsid w:val="0024452E"/>
    <w:rsid w:val="00244645"/>
    <w:rsid w:val="00244669"/>
    <w:rsid w:val="0024480A"/>
    <w:rsid w:val="002449C8"/>
    <w:rsid w:val="00244E1E"/>
    <w:rsid w:val="00244E90"/>
    <w:rsid w:val="00244E91"/>
    <w:rsid w:val="002452C1"/>
    <w:rsid w:val="00245313"/>
    <w:rsid w:val="00245318"/>
    <w:rsid w:val="00245469"/>
    <w:rsid w:val="002458AD"/>
    <w:rsid w:val="00245930"/>
    <w:rsid w:val="00245A41"/>
    <w:rsid w:val="00246081"/>
    <w:rsid w:val="0024644E"/>
    <w:rsid w:val="002468BB"/>
    <w:rsid w:val="00246BEF"/>
    <w:rsid w:val="00246DBA"/>
    <w:rsid w:val="00246DFA"/>
    <w:rsid w:val="0024710F"/>
    <w:rsid w:val="00247466"/>
    <w:rsid w:val="0024785E"/>
    <w:rsid w:val="0024787C"/>
    <w:rsid w:val="00247A6D"/>
    <w:rsid w:val="00247B1A"/>
    <w:rsid w:val="00247E46"/>
    <w:rsid w:val="00247E50"/>
    <w:rsid w:val="002501F5"/>
    <w:rsid w:val="0025023D"/>
    <w:rsid w:val="002504AE"/>
    <w:rsid w:val="00250524"/>
    <w:rsid w:val="0025054B"/>
    <w:rsid w:val="00250568"/>
    <w:rsid w:val="00250623"/>
    <w:rsid w:val="00250682"/>
    <w:rsid w:val="00250696"/>
    <w:rsid w:val="0025069F"/>
    <w:rsid w:val="00250782"/>
    <w:rsid w:val="002507DA"/>
    <w:rsid w:val="0025081D"/>
    <w:rsid w:val="002508B8"/>
    <w:rsid w:val="00250957"/>
    <w:rsid w:val="00250BDC"/>
    <w:rsid w:val="00250EA1"/>
    <w:rsid w:val="0025108C"/>
    <w:rsid w:val="0025109F"/>
    <w:rsid w:val="002516E5"/>
    <w:rsid w:val="00251774"/>
    <w:rsid w:val="00251900"/>
    <w:rsid w:val="00251B60"/>
    <w:rsid w:val="00251C72"/>
    <w:rsid w:val="00251D5E"/>
    <w:rsid w:val="00251E2B"/>
    <w:rsid w:val="002521CB"/>
    <w:rsid w:val="0025265C"/>
    <w:rsid w:val="00252690"/>
    <w:rsid w:val="00252815"/>
    <w:rsid w:val="0025287B"/>
    <w:rsid w:val="0025298C"/>
    <w:rsid w:val="00252A06"/>
    <w:rsid w:val="00252A69"/>
    <w:rsid w:val="00252E11"/>
    <w:rsid w:val="00253458"/>
    <w:rsid w:val="00253541"/>
    <w:rsid w:val="00253581"/>
    <w:rsid w:val="0025395B"/>
    <w:rsid w:val="00253AB9"/>
    <w:rsid w:val="00253F9E"/>
    <w:rsid w:val="00253FC9"/>
    <w:rsid w:val="002543CF"/>
    <w:rsid w:val="002543D0"/>
    <w:rsid w:val="00254497"/>
    <w:rsid w:val="00254511"/>
    <w:rsid w:val="00254629"/>
    <w:rsid w:val="00254A01"/>
    <w:rsid w:val="00254A48"/>
    <w:rsid w:val="00254B88"/>
    <w:rsid w:val="00254F37"/>
    <w:rsid w:val="00254F5C"/>
    <w:rsid w:val="00255003"/>
    <w:rsid w:val="0025508F"/>
    <w:rsid w:val="00255627"/>
    <w:rsid w:val="00255741"/>
    <w:rsid w:val="00255875"/>
    <w:rsid w:val="00256064"/>
    <w:rsid w:val="00256333"/>
    <w:rsid w:val="00256883"/>
    <w:rsid w:val="00256DFF"/>
    <w:rsid w:val="0025714B"/>
    <w:rsid w:val="002575D0"/>
    <w:rsid w:val="0025766C"/>
    <w:rsid w:val="00257817"/>
    <w:rsid w:val="0025788A"/>
    <w:rsid w:val="00257ADE"/>
    <w:rsid w:val="00257C6B"/>
    <w:rsid w:val="00257C8D"/>
    <w:rsid w:val="00257E35"/>
    <w:rsid w:val="00257F01"/>
    <w:rsid w:val="00260275"/>
    <w:rsid w:val="002603FC"/>
    <w:rsid w:val="00260C06"/>
    <w:rsid w:val="00260CEF"/>
    <w:rsid w:val="00260D02"/>
    <w:rsid w:val="00261017"/>
    <w:rsid w:val="00261364"/>
    <w:rsid w:val="002615A6"/>
    <w:rsid w:val="002616CE"/>
    <w:rsid w:val="00261BF5"/>
    <w:rsid w:val="00261D45"/>
    <w:rsid w:val="00261DAC"/>
    <w:rsid w:val="002620DF"/>
    <w:rsid w:val="00262A25"/>
    <w:rsid w:val="00262CFB"/>
    <w:rsid w:val="00263072"/>
    <w:rsid w:val="00263111"/>
    <w:rsid w:val="00263339"/>
    <w:rsid w:val="002635AA"/>
    <w:rsid w:val="002635D3"/>
    <w:rsid w:val="002639EB"/>
    <w:rsid w:val="00263B01"/>
    <w:rsid w:val="00263B3C"/>
    <w:rsid w:val="00263D56"/>
    <w:rsid w:val="00263EE3"/>
    <w:rsid w:val="00263F35"/>
    <w:rsid w:val="002641DF"/>
    <w:rsid w:val="0026443D"/>
    <w:rsid w:val="00264618"/>
    <w:rsid w:val="00264884"/>
    <w:rsid w:val="00264B98"/>
    <w:rsid w:val="0026509A"/>
    <w:rsid w:val="002650C9"/>
    <w:rsid w:val="00265293"/>
    <w:rsid w:val="00265757"/>
    <w:rsid w:val="00265879"/>
    <w:rsid w:val="00265890"/>
    <w:rsid w:val="002658C4"/>
    <w:rsid w:val="00265DDD"/>
    <w:rsid w:val="0026617A"/>
    <w:rsid w:val="00266241"/>
    <w:rsid w:val="00266338"/>
    <w:rsid w:val="00266372"/>
    <w:rsid w:val="002666ED"/>
    <w:rsid w:val="002671D5"/>
    <w:rsid w:val="002676B6"/>
    <w:rsid w:val="00267771"/>
    <w:rsid w:val="00267B57"/>
    <w:rsid w:val="00267F99"/>
    <w:rsid w:val="002700E6"/>
    <w:rsid w:val="0027042A"/>
    <w:rsid w:val="00270608"/>
    <w:rsid w:val="0027069E"/>
    <w:rsid w:val="002707CB"/>
    <w:rsid w:val="00270986"/>
    <w:rsid w:val="00270DF5"/>
    <w:rsid w:val="00270E3E"/>
    <w:rsid w:val="00270E86"/>
    <w:rsid w:val="00271056"/>
    <w:rsid w:val="00271428"/>
    <w:rsid w:val="002718DB"/>
    <w:rsid w:val="00271ADD"/>
    <w:rsid w:val="00271AEB"/>
    <w:rsid w:val="00271C0A"/>
    <w:rsid w:val="00271CF5"/>
    <w:rsid w:val="00272240"/>
    <w:rsid w:val="0027288F"/>
    <w:rsid w:val="0027295F"/>
    <w:rsid w:val="002729DA"/>
    <w:rsid w:val="00272BB4"/>
    <w:rsid w:val="00272FF9"/>
    <w:rsid w:val="00273082"/>
    <w:rsid w:val="00273336"/>
    <w:rsid w:val="00273415"/>
    <w:rsid w:val="00273798"/>
    <w:rsid w:val="00273834"/>
    <w:rsid w:val="00273865"/>
    <w:rsid w:val="00273D9D"/>
    <w:rsid w:val="00274329"/>
    <w:rsid w:val="00274825"/>
    <w:rsid w:val="00274C48"/>
    <w:rsid w:val="00274D5B"/>
    <w:rsid w:val="002750A0"/>
    <w:rsid w:val="002750A9"/>
    <w:rsid w:val="002750BE"/>
    <w:rsid w:val="0027521F"/>
    <w:rsid w:val="002754AC"/>
    <w:rsid w:val="0027550A"/>
    <w:rsid w:val="00275E12"/>
    <w:rsid w:val="002760C7"/>
    <w:rsid w:val="00276230"/>
    <w:rsid w:val="002763EA"/>
    <w:rsid w:val="002768C4"/>
    <w:rsid w:val="00276ABF"/>
    <w:rsid w:val="00276AF8"/>
    <w:rsid w:val="00276BCB"/>
    <w:rsid w:val="00276C99"/>
    <w:rsid w:val="00276CCE"/>
    <w:rsid w:val="00276CFC"/>
    <w:rsid w:val="00276F2A"/>
    <w:rsid w:val="002772DC"/>
    <w:rsid w:val="002774B3"/>
    <w:rsid w:val="0027761A"/>
    <w:rsid w:val="00277644"/>
    <w:rsid w:val="0027778D"/>
    <w:rsid w:val="00277A71"/>
    <w:rsid w:val="00277D8F"/>
    <w:rsid w:val="00277DD8"/>
    <w:rsid w:val="00280145"/>
    <w:rsid w:val="00280329"/>
    <w:rsid w:val="002803FA"/>
    <w:rsid w:val="0028053E"/>
    <w:rsid w:val="00280564"/>
    <w:rsid w:val="00280B51"/>
    <w:rsid w:val="00280BCC"/>
    <w:rsid w:val="00280BDE"/>
    <w:rsid w:val="00280EAF"/>
    <w:rsid w:val="00280EC8"/>
    <w:rsid w:val="00281061"/>
    <w:rsid w:val="002814EA"/>
    <w:rsid w:val="00281A90"/>
    <w:rsid w:val="00281E33"/>
    <w:rsid w:val="00282047"/>
    <w:rsid w:val="0028232C"/>
    <w:rsid w:val="00282380"/>
    <w:rsid w:val="002824A5"/>
    <w:rsid w:val="00282501"/>
    <w:rsid w:val="00282637"/>
    <w:rsid w:val="0028272E"/>
    <w:rsid w:val="00282A94"/>
    <w:rsid w:val="00282C1B"/>
    <w:rsid w:val="00282DD8"/>
    <w:rsid w:val="00282FB0"/>
    <w:rsid w:val="00283105"/>
    <w:rsid w:val="0028350A"/>
    <w:rsid w:val="002836D8"/>
    <w:rsid w:val="00283790"/>
    <w:rsid w:val="00283840"/>
    <w:rsid w:val="00283C65"/>
    <w:rsid w:val="00283D94"/>
    <w:rsid w:val="00283E56"/>
    <w:rsid w:val="00283FF9"/>
    <w:rsid w:val="0028403E"/>
    <w:rsid w:val="00284048"/>
    <w:rsid w:val="0028461C"/>
    <w:rsid w:val="002847BD"/>
    <w:rsid w:val="00284CF8"/>
    <w:rsid w:val="00284D6D"/>
    <w:rsid w:val="00285180"/>
    <w:rsid w:val="002854FE"/>
    <w:rsid w:val="00285658"/>
    <w:rsid w:val="00285763"/>
    <w:rsid w:val="00285C37"/>
    <w:rsid w:val="00285E08"/>
    <w:rsid w:val="0028606E"/>
    <w:rsid w:val="00286124"/>
    <w:rsid w:val="0028619D"/>
    <w:rsid w:val="002863FD"/>
    <w:rsid w:val="00286470"/>
    <w:rsid w:val="00286A38"/>
    <w:rsid w:val="00286B92"/>
    <w:rsid w:val="00286B9D"/>
    <w:rsid w:val="00286D91"/>
    <w:rsid w:val="00286E64"/>
    <w:rsid w:val="00287212"/>
    <w:rsid w:val="00287276"/>
    <w:rsid w:val="002874E6"/>
    <w:rsid w:val="00287687"/>
    <w:rsid w:val="002877A2"/>
    <w:rsid w:val="002877A4"/>
    <w:rsid w:val="00287830"/>
    <w:rsid w:val="0028783B"/>
    <w:rsid w:val="00287AAE"/>
    <w:rsid w:val="00287E8F"/>
    <w:rsid w:val="00290121"/>
    <w:rsid w:val="00290171"/>
    <w:rsid w:val="0029038F"/>
    <w:rsid w:val="0029042F"/>
    <w:rsid w:val="00290557"/>
    <w:rsid w:val="00290C3C"/>
    <w:rsid w:val="00290CA2"/>
    <w:rsid w:val="00291123"/>
    <w:rsid w:val="002914EB"/>
    <w:rsid w:val="002916F2"/>
    <w:rsid w:val="002918A4"/>
    <w:rsid w:val="00291C04"/>
    <w:rsid w:val="0029226A"/>
    <w:rsid w:val="00292755"/>
    <w:rsid w:val="002927EB"/>
    <w:rsid w:val="00292831"/>
    <w:rsid w:val="002928D1"/>
    <w:rsid w:val="00292987"/>
    <w:rsid w:val="00292D3A"/>
    <w:rsid w:val="00292EFF"/>
    <w:rsid w:val="002930C8"/>
    <w:rsid w:val="00293236"/>
    <w:rsid w:val="0029352F"/>
    <w:rsid w:val="002935DF"/>
    <w:rsid w:val="00293706"/>
    <w:rsid w:val="00293813"/>
    <w:rsid w:val="002938FD"/>
    <w:rsid w:val="00293A82"/>
    <w:rsid w:val="00293CFD"/>
    <w:rsid w:val="00293DC0"/>
    <w:rsid w:val="00293E14"/>
    <w:rsid w:val="002945A4"/>
    <w:rsid w:val="002945DF"/>
    <w:rsid w:val="0029475F"/>
    <w:rsid w:val="00294AD5"/>
    <w:rsid w:val="00294EC5"/>
    <w:rsid w:val="00295029"/>
    <w:rsid w:val="00295316"/>
    <w:rsid w:val="002953FB"/>
    <w:rsid w:val="0029548E"/>
    <w:rsid w:val="0029550D"/>
    <w:rsid w:val="0029572E"/>
    <w:rsid w:val="00295731"/>
    <w:rsid w:val="002957AD"/>
    <w:rsid w:val="00295BDA"/>
    <w:rsid w:val="00295E05"/>
    <w:rsid w:val="00295E7B"/>
    <w:rsid w:val="002960C8"/>
    <w:rsid w:val="0029634A"/>
    <w:rsid w:val="00296425"/>
    <w:rsid w:val="00296C71"/>
    <w:rsid w:val="00296DCF"/>
    <w:rsid w:val="00297211"/>
    <w:rsid w:val="002974AE"/>
    <w:rsid w:val="0029753B"/>
    <w:rsid w:val="002975AD"/>
    <w:rsid w:val="002975CF"/>
    <w:rsid w:val="0029763C"/>
    <w:rsid w:val="00297AD3"/>
    <w:rsid w:val="00297BB0"/>
    <w:rsid w:val="00297D50"/>
    <w:rsid w:val="00297D59"/>
    <w:rsid w:val="00297F3B"/>
    <w:rsid w:val="002A00DC"/>
    <w:rsid w:val="002A02F9"/>
    <w:rsid w:val="002A033A"/>
    <w:rsid w:val="002A036F"/>
    <w:rsid w:val="002A03A7"/>
    <w:rsid w:val="002A04B1"/>
    <w:rsid w:val="002A0A1D"/>
    <w:rsid w:val="002A10AC"/>
    <w:rsid w:val="002A10CA"/>
    <w:rsid w:val="002A1140"/>
    <w:rsid w:val="002A1315"/>
    <w:rsid w:val="002A13B6"/>
    <w:rsid w:val="002A158B"/>
    <w:rsid w:val="002A160C"/>
    <w:rsid w:val="002A1C55"/>
    <w:rsid w:val="002A1E06"/>
    <w:rsid w:val="002A1FBA"/>
    <w:rsid w:val="002A1FEE"/>
    <w:rsid w:val="002A208F"/>
    <w:rsid w:val="002A21AC"/>
    <w:rsid w:val="002A221A"/>
    <w:rsid w:val="002A2351"/>
    <w:rsid w:val="002A24BB"/>
    <w:rsid w:val="002A26C6"/>
    <w:rsid w:val="002A2706"/>
    <w:rsid w:val="002A2964"/>
    <w:rsid w:val="002A29CF"/>
    <w:rsid w:val="002A2A1C"/>
    <w:rsid w:val="002A2A49"/>
    <w:rsid w:val="002A2CB2"/>
    <w:rsid w:val="002A3039"/>
    <w:rsid w:val="002A3B40"/>
    <w:rsid w:val="002A3BB5"/>
    <w:rsid w:val="002A3C27"/>
    <w:rsid w:val="002A4112"/>
    <w:rsid w:val="002A424F"/>
    <w:rsid w:val="002A442D"/>
    <w:rsid w:val="002A442E"/>
    <w:rsid w:val="002A4830"/>
    <w:rsid w:val="002A4964"/>
    <w:rsid w:val="002A49BF"/>
    <w:rsid w:val="002A534E"/>
    <w:rsid w:val="002A578A"/>
    <w:rsid w:val="002A5875"/>
    <w:rsid w:val="002A5929"/>
    <w:rsid w:val="002A592D"/>
    <w:rsid w:val="002A599A"/>
    <w:rsid w:val="002A5AFD"/>
    <w:rsid w:val="002A60B6"/>
    <w:rsid w:val="002A60BF"/>
    <w:rsid w:val="002A62D9"/>
    <w:rsid w:val="002A652C"/>
    <w:rsid w:val="002A6A02"/>
    <w:rsid w:val="002A6AC4"/>
    <w:rsid w:val="002A6AF1"/>
    <w:rsid w:val="002A6B72"/>
    <w:rsid w:val="002A6F82"/>
    <w:rsid w:val="002A74BB"/>
    <w:rsid w:val="002A76C9"/>
    <w:rsid w:val="002A786E"/>
    <w:rsid w:val="002A7F5C"/>
    <w:rsid w:val="002A7F92"/>
    <w:rsid w:val="002A7FBE"/>
    <w:rsid w:val="002B002F"/>
    <w:rsid w:val="002B0127"/>
    <w:rsid w:val="002B0317"/>
    <w:rsid w:val="002B031A"/>
    <w:rsid w:val="002B057D"/>
    <w:rsid w:val="002B0A24"/>
    <w:rsid w:val="002B0F4E"/>
    <w:rsid w:val="002B11AE"/>
    <w:rsid w:val="002B1442"/>
    <w:rsid w:val="002B158B"/>
    <w:rsid w:val="002B1899"/>
    <w:rsid w:val="002B18D9"/>
    <w:rsid w:val="002B1916"/>
    <w:rsid w:val="002B1933"/>
    <w:rsid w:val="002B197E"/>
    <w:rsid w:val="002B1A70"/>
    <w:rsid w:val="002B1B6E"/>
    <w:rsid w:val="002B1C7C"/>
    <w:rsid w:val="002B1D8A"/>
    <w:rsid w:val="002B1DD6"/>
    <w:rsid w:val="002B1FBF"/>
    <w:rsid w:val="002B23CB"/>
    <w:rsid w:val="002B2602"/>
    <w:rsid w:val="002B271C"/>
    <w:rsid w:val="002B2A01"/>
    <w:rsid w:val="002B2F59"/>
    <w:rsid w:val="002B31CE"/>
    <w:rsid w:val="002B33D2"/>
    <w:rsid w:val="002B3464"/>
    <w:rsid w:val="002B3564"/>
    <w:rsid w:val="002B3626"/>
    <w:rsid w:val="002B37E7"/>
    <w:rsid w:val="002B382F"/>
    <w:rsid w:val="002B39CA"/>
    <w:rsid w:val="002B3DFA"/>
    <w:rsid w:val="002B3EF6"/>
    <w:rsid w:val="002B413C"/>
    <w:rsid w:val="002B457B"/>
    <w:rsid w:val="002B4896"/>
    <w:rsid w:val="002B4B1F"/>
    <w:rsid w:val="002B4B3C"/>
    <w:rsid w:val="002B4B3E"/>
    <w:rsid w:val="002B4DE9"/>
    <w:rsid w:val="002B4FDC"/>
    <w:rsid w:val="002B5062"/>
    <w:rsid w:val="002B50C0"/>
    <w:rsid w:val="002B50E7"/>
    <w:rsid w:val="002B5186"/>
    <w:rsid w:val="002B58ED"/>
    <w:rsid w:val="002B5B49"/>
    <w:rsid w:val="002B5C35"/>
    <w:rsid w:val="002B60F5"/>
    <w:rsid w:val="002B6168"/>
    <w:rsid w:val="002B6777"/>
    <w:rsid w:val="002B68B3"/>
    <w:rsid w:val="002B68D1"/>
    <w:rsid w:val="002B6CFA"/>
    <w:rsid w:val="002B7013"/>
    <w:rsid w:val="002B7272"/>
    <w:rsid w:val="002B73C0"/>
    <w:rsid w:val="002B7481"/>
    <w:rsid w:val="002B7576"/>
    <w:rsid w:val="002B76F5"/>
    <w:rsid w:val="002B7CDD"/>
    <w:rsid w:val="002B7D03"/>
    <w:rsid w:val="002B7DD1"/>
    <w:rsid w:val="002B7F09"/>
    <w:rsid w:val="002B7F71"/>
    <w:rsid w:val="002C023B"/>
    <w:rsid w:val="002C039B"/>
    <w:rsid w:val="002C05FB"/>
    <w:rsid w:val="002C0763"/>
    <w:rsid w:val="002C07C8"/>
    <w:rsid w:val="002C0BB8"/>
    <w:rsid w:val="002C0FFA"/>
    <w:rsid w:val="002C1436"/>
    <w:rsid w:val="002C15E0"/>
    <w:rsid w:val="002C1727"/>
    <w:rsid w:val="002C1910"/>
    <w:rsid w:val="002C2000"/>
    <w:rsid w:val="002C209D"/>
    <w:rsid w:val="002C20EE"/>
    <w:rsid w:val="002C23D7"/>
    <w:rsid w:val="002C23F9"/>
    <w:rsid w:val="002C246A"/>
    <w:rsid w:val="002C2930"/>
    <w:rsid w:val="002C2AC8"/>
    <w:rsid w:val="002C2ACF"/>
    <w:rsid w:val="002C2C4A"/>
    <w:rsid w:val="002C2FED"/>
    <w:rsid w:val="002C3069"/>
    <w:rsid w:val="002C30F3"/>
    <w:rsid w:val="002C3303"/>
    <w:rsid w:val="002C33E3"/>
    <w:rsid w:val="002C34CA"/>
    <w:rsid w:val="002C351B"/>
    <w:rsid w:val="002C38B3"/>
    <w:rsid w:val="002C38E1"/>
    <w:rsid w:val="002C3958"/>
    <w:rsid w:val="002C3AF3"/>
    <w:rsid w:val="002C3C34"/>
    <w:rsid w:val="002C3C58"/>
    <w:rsid w:val="002C3E2F"/>
    <w:rsid w:val="002C4391"/>
    <w:rsid w:val="002C478B"/>
    <w:rsid w:val="002C4EE1"/>
    <w:rsid w:val="002C5069"/>
    <w:rsid w:val="002C50B6"/>
    <w:rsid w:val="002C50C4"/>
    <w:rsid w:val="002C559C"/>
    <w:rsid w:val="002C5986"/>
    <w:rsid w:val="002C5ACD"/>
    <w:rsid w:val="002C5C29"/>
    <w:rsid w:val="002C5F09"/>
    <w:rsid w:val="002C5F21"/>
    <w:rsid w:val="002C60FB"/>
    <w:rsid w:val="002C64F9"/>
    <w:rsid w:val="002C6852"/>
    <w:rsid w:val="002C69FF"/>
    <w:rsid w:val="002C6A11"/>
    <w:rsid w:val="002C7026"/>
    <w:rsid w:val="002C7AE0"/>
    <w:rsid w:val="002C7D93"/>
    <w:rsid w:val="002C7F19"/>
    <w:rsid w:val="002C7FE1"/>
    <w:rsid w:val="002D0426"/>
    <w:rsid w:val="002D05CA"/>
    <w:rsid w:val="002D069F"/>
    <w:rsid w:val="002D07D4"/>
    <w:rsid w:val="002D0822"/>
    <w:rsid w:val="002D08D5"/>
    <w:rsid w:val="002D0CCE"/>
    <w:rsid w:val="002D0D92"/>
    <w:rsid w:val="002D1318"/>
    <w:rsid w:val="002D13E5"/>
    <w:rsid w:val="002D161B"/>
    <w:rsid w:val="002D164E"/>
    <w:rsid w:val="002D16CF"/>
    <w:rsid w:val="002D17FC"/>
    <w:rsid w:val="002D1933"/>
    <w:rsid w:val="002D1A6F"/>
    <w:rsid w:val="002D1B17"/>
    <w:rsid w:val="002D1CF0"/>
    <w:rsid w:val="002D1E19"/>
    <w:rsid w:val="002D1E2E"/>
    <w:rsid w:val="002D1E69"/>
    <w:rsid w:val="002D2018"/>
    <w:rsid w:val="002D203C"/>
    <w:rsid w:val="002D21D8"/>
    <w:rsid w:val="002D234C"/>
    <w:rsid w:val="002D2498"/>
    <w:rsid w:val="002D2510"/>
    <w:rsid w:val="002D2550"/>
    <w:rsid w:val="002D2556"/>
    <w:rsid w:val="002D2691"/>
    <w:rsid w:val="002D28EC"/>
    <w:rsid w:val="002D29B9"/>
    <w:rsid w:val="002D2B60"/>
    <w:rsid w:val="002D2CB8"/>
    <w:rsid w:val="002D3360"/>
    <w:rsid w:val="002D36E7"/>
    <w:rsid w:val="002D39C9"/>
    <w:rsid w:val="002D39F9"/>
    <w:rsid w:val="002D3A9C"/>
    <w:rsid w:val="002D3DB4"/>
    <w:rsid w:val="002D3FDA"/>
    <w:rsid w:val="002D4039"/>
    <w:rsid w:val="002D413E"/>
    <w:rsid w:val="002D46C5"/>
    <w:rsid w:val="002D4A31"/>
    <w:rsid w:val="002D4A8B"/>
    <w:rsid w:val="002D4AE4"/>
    <w:rsid w:val="002D4C4B"/>
    <w:rsid w:val="002D4C9C"/>
    <w:rsid w:val="002D4ECD"/>
    <w:rsid w:val="002D5082"/>
    <w:rsid w:val="002D5227"/>
    <w:rsid w:val="002D526A"/>
    <w:rsid w:val="002D52F9"/>
    <w:rsid w:val="002D5502"/>
    <w:rsid w:val="002D597D"/>
    <w:rsid w:val="002D59A4"/>
    <w:rsid w:val="002D5B25"/>
    <w:rsid w:val="002D5BFE"/>
    <w:rsid w:val="002D6534"/>
    <w:rsid w:val="002D65D8"/>
    <w:rsid w:val="002D6826"/>
    <w:rsid w:val="002D6B48"/>
    <w:rsid w:val="002D6D98"/>
    <w:rsid w:val="002D6D9F"/>
    <w:rsid w:val="002D702A"/>
    <w:rsid w:val="002D705D"/>
    <w:rsid w:val="002D7239"/>
    <w:rsid w:val="002D7678"/>
    <w:rsid w:val="002D79C4"/>
    <w:rsid w:val="002D7B0A"/>
    <w:rsid w:val="002D7B2E"/>
    <w:rsid w:val="002D7C54"/>
    <w:rsid w:val="002D7D44"/>
    <w:rsid w:val="002D7E23"/>
    <w:rsid w:val="002E019B"/>
    <w:rsid w:val="002E0497"/>
    <w:rsid w:val="002E0588"/>
    <w:rsid w:val="002E073D"/>
    <w:rsid w:val="002E0772"/>
    <w:rsid w:val="002E0A1D"/>
    <w:rsid w:val="002E0C24"/>
    <w:rsid w:val="002E0D85"/>
    <w:rsid w:val="002E0F05"/>
    <w:rsid w:val="002E0F2F"/>
    <w:rsid w:val="002E0FF0"/>
    <w:rsid w:val="002E14BB"/>
    <w:rsid w:val="002E155F"/>
    <w:rsid w:val="002E1593"/>
    <w:rsid w:val="002E15B3"/>
    <w:rsid w:val="002E1813"/>
    <w:rsid w:val="002E19C6"/>
    <w:rsid w:val="002E1BAC"/>
    <w:rsid w:val="002E1C42"/>
    <w:rsid w:val="002E1C54"/>
    <w:rsid w:val="002E1D89"/>
    <w:rsid w:val="002E1F22"/>
    <w:rsid w:val="002E1FF9"/>
    <w:rsid w:val="002E2120"/>
    <w:rsid w:val="002E227C"/>
    <w:rsid w:val="002E2E66"/>
    <w:rsid w:val="002E30C9"/>
    <w:rsid w:val="002E3115"/>
    <w:rsid w:val="002E311F"/>
    <w:rsid w:val="002E3173"/>
    <w:rsid w:val="002E31FA"/>
    <w:rsid w:val="002E328B"/>
    <w:rsid w:val="002E34DA"/>
    <w:rsid w:val="002E3595"/>
    <w:rsid w:val="002E375E"/>
    <w:rsid w:val="002E37EA"/>
    <w:rsid w:val="002E3818"/>
    <w:rsid w:val="002E3949"/>
    <w:rsid w:val="002E3DCD"/>
    <w:rsid w:val="002E4359"/>
    <w:rsid w:val="002E44E1"/>
    <w:rsid w:val="002E4621"/>
    <w:rsid w:val="002E4660"/>
    <w:rsid w:val="002E4755"/>
    <w:rsid w:val="002E48EC"/>
    <w:rsid w:val="002E501E"/>
    <w:rsid w:val="002E518C"/>
    <w:rsid w:val="002E55DC"/>
    <w:rsid w:val="002E5668"/>
    <w:rsid w:val="002E574F"/>
    <w:rsid w:val="002E58AA"/>
    <w:rsid w:val="002E5922"/>
    <w:rsid w:val="002E6028"/>
    <w:rsid w:val="002E61AC"/>
    <w:rsid w:val="002E62A7"/>
    <w:rsid w:val="002E62B4"/>
    <w:rsid w:val="002E6337"/>
    <w:rsid w:val="002E6398"/>
    <w:rsid w:val="002E64CA"/>
    <w:rsid w:val="002E64E1"/>
    <w:rsid w:val="002E681D"/>
    <w:rsid w:val="002E688F"/>
    <w:rsid w:val="002E6BB5"/>
    <w:rsid w:val="002E6EA9"/>
    <w:rsid w:val="002E6EDC"/>
    <w:rsid w:val="002E6FA8"/>
    <w:rsid w:val="002E71B1"/>
    <w:rsid w:val="002E74AE"/>
    <w:rsid w:val="002E74BD"/>
    <w:rsid w:val="002E763C"/>
    <w:rsid w:val="002E79B4"/>
    <w:rsid w:val="002E7CFF"/>
    <w:rsid w:val="002E7FE3"/>
    <w:rsid w:val="002F0134"/>
    <w:rsid w:val="002F02BA"/>
    <w:rsid w:val="002F0503"/>
    <w:rsid w:val="002F0685"/>
    <w:rsid w:val="002F0764"/>
    <w:rsid w:val="002F0BA2"/>
    <w:rsid w:val="002F159D"/>
    <w:rsid w:val="002F16DB"/>
    <w:rsid w:val="002F16DD"/>
    <w:rsid w:val="002F1A30"/>
    <w:rsid w:val="002F1A58"/>
    <w:rsid w:val="002F1BF1"/>
    <w:rsid w:val="002F2336"/>
    <w:rsid w:val="002F2819"/>
    <w:rsid w:val="002F281A"/>
    <w:rsid w:val="002F2A19"/>
    <w:rsid w:val="002F2A76"/>
    <w:rsid w:val="002F2FCE"/>
    <w:rsid w:val="002F3201"/>
    <w:rsid w:val="002F34F3"/>
    <w:rsid w:val="002F3870"/>
    <w:rsid w:val="002F3885"/>
    <w:rsid w:val="002F39E4"/>
    <w:rsid w:val="002F3AAF"/>
    <w:rsid w:val="002F3EC1"/>
    <w:rsid w:val="002F4181"/>
    <w:rsid w:val="002F41FD"/>
    <w:rsid w:val="002F420B"/>
    <w:rsid w:val="002F420F"/>
    <w:rsid w:val="002F4267"/>
    <w:rsid w:val="002F46AE"/>
    <w:rsid w:val="002F46BB"/>
    <w:rsid w:val="002F48A6"/>
    <w:rsid w:val="002F4963"/>
    <w:rsid w:val="002F4B47"/>
    <w:rsid w:val="002F53BE"/>
    <w:rsid w:val="002F5522"/>
    <w:rsid w:val="002F573F"/>
    <w:rsid w:val="002F5796"/>
    <w:rsid w:val="002F5D62"/>
    <w:rsid w:val="002F5DCB"/>
    <w:rsid w:val="002F60E3"/>
    <w:rsid w:val="002F62E6"/>
    <w:rsid w:val="002F681A"/>
    <w:rsid w:val="002F6967"/>
    <w:rsid w:val="002F6B09"/>
    <w:rsid w:val="002F6B62"/>
    <w:rsid w:val="002F6BA6"/>
    <w:rsid w:val="002F6F25"/>
    <w:rsid w:val="002F6F4E"/>
    <w:rsid w:val="002F717D"/>
    <w:rsid w:val="002F7476"/>
    <w:rsid w:val="002F74A1"/>
    <w:rsid w:val="002F74CE"/>
    <w:rsid w:val="002F79BE"/>
    <w:rsid w:val="002F7C68"/>
    <w:rsid w:val="002F7CCD"/>
    <w:rsid w:val="002F7D84"/>
    <w:rsid w:val="002F7F8E"/>
    <w:rsid w:val="00300223"/>
    <w:rsid w:val="00300276"/>
    <w:rsid w:val="00300367"/>
    <w:rsid w:val="003003D8"/>
    <w:rsid w:val="00300425"/>
    <w:rsid w:val="0030071F"/>
    <w:rsid w:val="003012CA"/>
    <w:rsid w:val="003012EB"/>
    <w:rsid w:val="00301660"/>
    <w:rsid w:val="003019CE"/>
    <w:rsid w:val="00301BB6"/>
    <w:rsid w:val="00301CFD"/>
    <w:rsid w:val="00301D7F"/>
    <w:rsid w:val="00301EE2"/>
    <w:rsid w:val="00301EF7"/>
    <w:rsid w:val="0030221E"/>
    <w:rsid w:val="003022FB"/>
    <w:rsid w:val="00302509"/>
    <w:rsid w:val="003026DC"/>
    <w:rsid w:val="003029CD"/>
    <w:rsid w:val="003029D7"/>
    <w:rsid w:val="003029DC"/>
    <w:rsid w:val="003029FD"/>
    <w:rsid w:val="00302A99"/>
    <w:rsid w:val="00302AB7"/>
    <w:rsid w:val="00302B1D"/>
    <w:rsid w:val="00302C4B"/>
    <w:rsid w:val="00302D63"/>
    <w:rsid w:val="00302E1A"/>
    <w:rsid w:val="00302EA8"/>
    <w:rsid w:val="00302FA8"/>
    <w:rsid w:val="00303052"/>
    <w:rsid w:val="003031A9"/>
    <w:rsid w:val="003031AE"/>
    <w:rsid w:val="003031CA"/>
    <w:rsid w:val="00303348"/>
    <w:rsid w:val="00303503"/>
    <w:rsid w:val="0030353F"/>
    <w:rsid w:val="00303562"/>
    <w:rsid w:val="00303AA0"/>
    <w:rsid w:val="00303BA9"/>
    <w:rsid w:val="00303BB9"/>
    <w:rsid w:val="00304362"/>
    <w:rsid w:val="003043CF"/>
    <w:rsid w:val="0030450F"/>
    <w:rsid w:val="003047F8"/>
    <w:rsid w:val="00304B80"/>
    <w:rsid w:val="00304BE7"/>
    <w:rsid w:val="00304C78"/>
    <w:rsid w:val="00305222"/>
    <w:rsid w:val="00305468"/>
    <w:rsid w:val="00305556"/>
    <w:rsid w:val="003056E9"/>
    <w:rsid w:val="0030581D"/>
    <w:rsid w:val="00305944"/>
    <w:rsid w:val="0030599D"/>
    <w:rsid w:val="00305A98"/>
    <w:rsid w:val="00305B62"/>
    <w:rsid w:val="00306158"/>
    <w:rsid w:val="003062BD"/>
    <w:rsid w:val="00306510"/>
    <w:rsid w:val="003066B9"/>
    <w:rsid w:val="0030671E"/>
    <w:rsid w:val="0030681A"/>
    <w:rsid w:val="00306C2D"/>
    <w:rsid w:val="00306E16"/>
    <w:rsid w:val="00306FE9"/>
    <w:rsid w:val="003072D6"/>
    <w:rsid w:val="0030731C"/>
    <w:rsid w:val="003076A5"/>
    <w:rsid w:val="00307742"/>
    <w:rsid w:val="00307995"/>
    <w:rsid w:val="003079CF"/>
    <w:rsid w:val="0031016D"/>
    <w:rsid w:val="003104D2"/>
    <w:rsid w:val="0031057F"/>
    <w:rsid w:val="00310B34"/>
    <w:rsid w:val="00310B56"/>
    <w:rsid w:val="00310C20"/>
    <w:rsid w:val="00310E94"/>
    <w:rsid w:val="00310EFD"/>
    <w:rsid w:val="00310FDA"/>
    <w:rsid w:val="0031124A"/>
    <w:rsid w:val="0031131E"/>
    <w:rsid w:val="0031174E"/>
    <w:rsid w:val="003117BC"/>
    <w:rsid w:val="00311CAC"/>
    <w:rsid w:val="00311DAE"/>
    <w:rsid w:val="00311E7B"/>
    <w:rsid w:val="00312054"/>
    <w:rsid w:val="003121AF"/>
    <w:rsid w:val="00312233"/>
    <w:rsid w:val="003122F4"/>
    <w:rsid w:val="0031280F"/>
    <w:rsid w:val="00312B8B"/>
    <w:rsid w:val="0031325C"/>
    <w:rsid w:val="003133BE"/>
    <w:rsid w:val="003136B8"/>
    <w:rsid w:val="00313B1E"/>
    <w:rsid w:val="00314177"/>
    <w:rsid w:val="00314381"/>
    <w:rsid w:val="003144A5"/>
    <w:rsid w:val="00314503"/>
    <w:rsid w:val="003148DF"/>
    <w:rsid w:val="00314959"/>
    <w:rsid w:val="003149B2"/>
    <w:rsid w:val="00314CA8"/>
    <w:rsid w:val="00314E5E"/>
    <w:rsid w:val="00314E6B"/>
    <w:rsid w:val="00314F9D"/>
    <w:rsid w:val="003151B6"/>
    <w:rsid w:val="003153A1"/>
    <w:rsid w:val="00315438"/>
    <w:rsid w:val="0031548E"/>
    <w:rsid w:val="00315538"/>
    <w:rsid w:val="003157AD"/>
    <w:rsid w:val="0031587C"/>
    <w:rsid w:val="00315A74"/>
    <w:rsid w:val="00315B37"/>
    <w:rsid w:val="00315BA1"/>
    <w:rsid w:val="00315D51"/>
    <w:rsid w:val="00316040"/>
    <w:rsid w:val="00316489"/>
    <w:rsid w:val="003165B6"/>
    <w:rsid w:val="00316633"/>
    <w:rsid w:val="003168F0"/>
    <w:rsid w:val="00316D41"/>
    <w:rsid w:val="0031707A"/>
    <w:rsid w:val="00317167"/>
    <w:rsid w:val="0031763C"/>
    <w:rsid w:val="00317A23"/>
    <w:rsid w:val="00317A34"/>
    <w:rsid w:val="00317D0D"/>
    <w:rsid w:val="00317FD0"/>
    <w:rsid w:val="003200FE"/>
    <w:rsid w:val="00320156"/>
    <w:rsid w:val="00320626"/>
    <w:rsid w:val="00320658"/>
    <w:rsid w:val="003206C8"/>
    <w:rsid w:val="003207FB"/>
    <w:rsid w:val="0032083B"/>
    <w:rsid w:val="00321200"/>
    <w:rsid w:val="003213DD"/>
    <w:rsid w:val="0032147D"/>
    <w:rsid w:val="00321830"/>
    <w:rsid w:val="00321954"/>
    <w:rsid w:val="00321BB9"/>
    <w:rsid w:val="00321CCE"/>
    <w:rsid w:val="00321D76"/>
    <w:rsid w:val="00321F02"/>
    <w:rsid w:val="0032223F"/>
    <w:rsid w:val="0032248C"/>
    <w:rsid w:val="00322766"/>
    <w:rsid w:val="003227A3"/>
    <w:rsid w:val="003227AC"/>
    <w:rsid w:val="00322818"/>
    <w:rsid w:val="00322844"/>
    <w:rsid w:val="003229E5"/>
    <w:rsid w:val="00322AE0"/>
    <w:rsid w:val="00322C7C"/>
    <w:rsid w:val="00322D22"/>
    <w:rsid w:val="00322D5F"/>
    <w:rsid w:val="00322F09"/>
    <w:rsid w:val="00323142"/>
    <w:rsid w:val="003233ED"/>
    <w:rsid w:val="003233F4"/>
    <w:rsid w:val="00323827"/>
    <w:rsid w:val="00323991"/>
    <w:rsid w:val="00323B0A"/>
    <w:rsid w:val="00324525"/>
    <w:rsid w:val="0032453F"/>
    <w:rsid w:val="00324545"/>
    <w:rsid w:val="003248FF"/>
    <w:rsid w:val="00324B9F"/>
    <w:rsid w:val="00324CB6"/>
    <w:rsid w:val="00324E59"/>
    <w:rsid w:val="00325151"/>
    <w:rsid w:val="00325564"/>
    <w:rsid w:val="00325567"/>
    <w:rsid w:val="00325856"/>
    <w:rsid w:val="00325941"/>
    <w:rsid w:val="00325F57"/>
    <w:rsid w:val="00325F7E"/>
    <w:rsid w:val="0032615C"/>
    <w:rsid w:val="00326812"/>
    <w:rsid w:val="00326819"/>
    <w:rsid w:val="003269D7"/>
    <w:rsid w:val="00326B3E"/>
    <w:rsid w:val="00326D10"/>
    <w:rsid w:val="00326D52"/>
    <w:rsid w:val="00326F59"/>
    <w:rsid w:val="00326FB3"/>
    <w:rsid w:val="00327000"/>
    <w:rsid w:val="0032715C"/>
    <w:rsid w:val="003274CD"/>
    <w:rsid w:val="003277A5"/>
    <w:rsid w:val="00327856"/>
    <w:rsid w:val="00327974"/>
    <w:rsid w:val="00327A48"/>
    <w:rsid w:val="00327B75"/>
    <w:rsid w:val="00327B84"/>
    <w:rsid w:val="00327D8E"/>
    <w:rsid w:val="00327E8B"/>
    <w:rsid w:val="00327F14"/>
    <w:rsid w:val="00327FF7"/>
    <w:rsid w:val="003303CF"/>
    <w:rsid w:val="00330B32"/>
    <w:rsid w:val="00331020"/>
    <w:rsid w:val="00331174"/>
    <w:rsid w:val="0033117A"/>
    <w:rsid w:val="003311A3"/>
    <w:rsid w:val="0033137F"/>
    <w:rsid w:val="0033185A"/>
    <w:rsid w:val="003319D8"/>
    <w:rsid w:val="00331C2E"/>
    <w:rsid w:val="00332408"/>
    <w:rsid w:val="0033251C"/>
    <w:rsid w:val="00332D99"/>
    <w:rsid w:val="00332E2D"/>
    <w:rsid w:val="00332EF7"/>
    <w:rsid w:val="003331B4"/>
    <w:rsid w:val="003334BD"/>
    <w:rsid w:val="003336E1"/>
    <w:rsid w:val="003337B4"/>
    <w:rsid w:val="00333BB8"/>
    <w:rsid w:val="00333D52"/>
    <w:rsid w:val="00333DE7"/>
    <w:rsid w:val="0033409F"/>
    <w:rsid w:val="003340E1"/>
    <w:rsid w:val="0033429C"/>
    <w:rsid w:val="0033440F"/>
    <w:rsid w:val="003344F2"/>
    <w:rsid w:val="00334704"/>
    <w:rsid w:val="0033480B"/>
    <w:rsid w:val="00334962"/>
    <w:rsid w:val="00334B87"/>
    <w:rsid w:val="00334D43"/>
    <w:rsid w:val="0033517B"/>
    <w:rsid w:val="003351DB"/>
    <w:rsid w:val="00335277"/>
    <w:rsid w:val="003354A2"/>
    <w:rsid w:val="0033598B"/>
    <w:rsid w:val="003359F8"/>
    <w:rsid w:val="00335A7A"/>
    <w:rsid w:val="00335B2A"/>
    <w:rsid w:val="00335D25"/>
    <w:rsid w:val="0033602B"/>
    <w:rsid w:val="0033628F"/>
    <w:rsid w:val="003363DC"/>
    <w:rsid w:val="00336AE7"/>
    <w:rsid w:val="00337484"/>
    <w:rsid w:val="003376AB"/>
    <w:rsid w:val="003377A5"/>
    <w:rsid w:val="003378F2"/>
    <w:rsid w:val="00337C17"/>
    <w:rsid w:val="00337C4A"/>
    <w:rsid w:val="00337CF8"/>
    <w:rsid w:val="00337D58"/>
    <w:rsid w:val="00337E35"/>
    <w:rsid w:val="00337F9C"/>
    <w:rsid w:val="003402A2"/>
    <w:rsid w:val="003403C3"/>
    <w:rsid w:val="00340558"/>
    <w:rsid w:val="0034061B"/>
    <w:rsid w:val="00340741"/>
    <w:rsid w:val="00340749"/>
    <w:rsid w:val="00340810"/>
    <w:rsid w:val="00340960"/>
    <w:rsid w:val="00340F46"/>
    <w:rsid w:val="00340FAF"/>
    <w:rsid w:val="0034125E"/>
    <w:rsid w:val="003413F1"/>
    <w:rsid w:val="003414A2"/>
    <w:rsid w:val="00341519"/>
    <w:rsid w:val="003415AC"/>
    <w:rsid w:val="00341772"/>
    <w:rsid w:val="00341952"/>
    <w:rsid w:val="003419B8"/>
    <w:rsid w:val="00341BFB"/>
    <w:rsid w:val="00341D99"/>
    <w:rsid w:val="00341DE6"/>
    <w:rsid w:val="00341F1E"/>
    <w:rsid w:val="00341F93"/>
    <w:rsid w:val="0034204E"/>
    <w:rsid w:val="00342278"/>
    <w:rsid w:val="003422EE"/>
    <w:rsid w:val="00342525"/>
    <w:rsid w:val="00342752"/>
    <w:rsid w:val="00342812"/>
    <w:rsid w:val="00342F8B"/>
    <w:rsid w:val="00343052"/>
    <w:rsid w:val="00343174"/>
    <w:rsid w:val="003431B0"/>
    <w:rsid w:val="0034320B"/>
    <w:rsid w:val="00343494"/>
    <w:rsid w:val="003439F1"/>
    <w:rsid w:val="00343B45"/>
    <w:rsid w:val="00343BD3"/>
    <w:rsid w:val="00343C15"/>
    <w:rsid w:val="00343F8F"/>
    <w:rsid w:val="0034411C"/>
    <w:rsid w:val="0034428E"/>
    <w:rsid w:val="003442AC"/>
    <w:rsid w:val="003443C8"/>
    <w:rsid w:val="0034445D"/>
    <w:rsid w:val="00344543"/>
    <w:rsid w:val="00344C79"/>
    <w:rsid w:val="00344ECC"/>
    <w:rsid w:val="003451F6"/>
    <w:rsid w:val="0034528B"/>
    <w:rsid w:val="00345405"/>
    <w:rsid w:val="00345AAC"/>
    <w:rsid w:val="00345D34"/>
    <w:rsid w:val="00345E7C"/>
    <w:rsid w:val="00346029"/>
    <w:rsid w:val="003461A3"/>
    <w:rsid w:val="00346226"/>
    <w:rsid w:val="00346243"/>
    <w:rsid w:val="0034628A"/>
    <w:rsid w:val="00346452"/>
    <w:rsid w:val="00346763"/>
    <w:rsid w:val="00346BC3"/>
    <w:rsid w:val="00346C53"/>
    <w:rsid w:val="0034715E"/>
    <w:rsid w:val="0034716C"/>
    <w:rsid w:val="0034772D"/>
    <w:rsid w:val="003479D8"/>
    <w:rsid w:val="00347DF8"/>
    <w:rsid w:val="00347E66"/>
    <w:rsid w:val="00350206"/>
    <w:rsid w:val="00350220"/>
    <w:rsid w:val="00350336"/>
    <w:rsid w:val="00350637"/>
    <w:rsid w:val="00350725"/>
    <w:rsid w:val="00350BAE"/>
    <w:rsid w:val="00350D33"/>
    <w:rsid w:val="00350EFD"/>
    <w:rsid w:val="00350F8B"/>
    <w:rsid w:val="0035103F"/>
    <w:rsid w:val="003512A5"/>
    <w:rsid w:val="00351655"/>
    <w:rsid w:val="003516B9"/>
    <w:rsid w:val="0035244B"/>
    <w:rsid w:val="0035244E"/>
    <w:rsid w:val="00352637"/>
    <w:rsid w:val="00352847"/>
    <w:rsid w:val="0035288E"/>
    <w:rsid w:val="003529D1"/>
    <w:rsid w:val="00352B67"/>
    <w:rsid w:val="0035354F"/>
    <w:rsid w:val="00353680"/>
    <w:rsid w:val="0035392D"/>
    <w:rsid w:val="00353CAB"/>
    <w:rsid w:val="00353CF9"/>
    <w:rsid w:val="00353F58"/>
    <w:rsid w:val="003540F5"/>
    <w:rsid w:val="00354A51"/>
    <w:rsid w:val="00354A73"/>
    <w:rsid w:val="00354D05"/>
    <w:rsid w:val="00354F09"/>
    <w:rsid w:val="00355220"/>
    <w:rsid w:val="003552CC"/>
    <w:rsid w:val="003554B6"/>
    <w:rsid w:val="00355A04"/>
    <w:rsid w:val="00355B85"/>
    <w:rsid w:val="00355B8F"/>
    <w:rsid w:val="00356077"/>
    <w:rsid w:val="003561A1"/>
    <w:rsid w:val="0035626C"/>
    <w:rsid w:val="00356279"/>
    <w:rsid w:val="003564C9"/>
    <w:rsid w:val="0035678B"/>
    <w:rsid w:val="0035691F"/>
    <w:rsid w:val="00356B78"/>
    <w:rsid w:val="00356E7F"/>
    <w:rsid w:val="00356ECE"/>
    <w:rsid w:val="00357114"/>
    <w:rsid w:val="003573EA"/>
    <w:rsid w:val="0035757A"/>
    <w:rsid w:val="00357627"/>
    <w:rsid w:val="003576F7"/>
    <w:rsid w:val="00357868"/>
    <w:rsid w:val="00357EDF"/>
    <w:rsid w:val="0036031F"/>
    <w:rsid w:val="003604C7"/>
    <w:rsid w:val="00360539"/>
    <w:rsid w:val="003605C2"/>
    <w:rsid w:val="003606BA"/>
    <w:rsid w:val="00360AEA"/>
    <w:rsid w:val="00360C13"/>
    <w:rsid w:val="00360CCC"/>
    <w:rsid w:val="00360E5B"/>
    <w:rsid w:val="00360E76"/>
    <w:rsid w:val="00360FA4"/>
    <w:rsid w:val="00361225"/>
    <w:rsid w:val="0036127F"/>
    <w:rsid w:val="00361720"/>
    <w:rsid w:val="00361769"/>
    <w:rsid w:val="003617A4"/>
    <w:rsid w:val="003617ED"/>
    <w:rsid w:val="00361A24"/>
    <w:rsid w:val="00361AA6"/>
    <w:rsid w:val="00361D8C"/>
    <w:rsid w:val="00361DB2"/>
    <w:rsid w:val="00361DB4"/>
    <w:rsid w:val="00361E57"/>
    <w:rsid w:val="00362156"/>
    <w:rsid w:val="00362251"/>
    <w:rsid w:val="00362252"/>
    <w:rsid w:val="0036245A"/>
    <w:rsid w:val="00362536"/>
    <w:rsid w:val="003627C0"/>
    <w:rsid w:val="00362811"/>
    <w:rsid w:val="00362955"/>
    <w:rsid w:val="00362CF1"/>
    <w:rsid w:val="00362DF6"/>
    <w:rsid w:val="00362EA8"/>
    <w:rsid w:val="00362F2C"/>
    <w:rsid w:val="00363103"/>
    <w:rsid w:val="0036333C"/>
    <w:rsid w:val="003633A7"/>
    <w:rsid w:val="003633AC"/>
    <w:rsid w:val="0036349F"/>
    <w:rsid w:val="0036356C"/>
    <w:rsid w:val="00363716"/>
    <w:rsid w:val="003639F1"/>
    <w:rsid w:val="00363A66"/>
    <w:rsid w:val="00363B3C"/>
    <w:rsid w:val="00363CA2"/>
    <w:rsid w:val="0036401C"/>
    <w:rsid w:val="003640A5"/>
    <w:rsid w:val="003641BB"/>
    <w:rsid w:val="003643A5"/>
    <w:rsid w:val="0036449F"/>
    <w:rsid w:val="00364781"/>
    <w:rsid w:val="003649AE"/>
    <w:rsid w:val="00364D7C"/>
    <w:rsid w:val="00364EB1"/>
    <w:rsid w:val="003650B8"/>
    <w:rsid w:val="00365242"/>
    <w:rsid w:val="00365356"/>
    <w:rsid w:val="003655DC"/>
    <w:rsid w:val="00365789"/>
    <w:rsid w:val="00365B75"/>
    <w:rsid w:val="00365C7D"/>
    <w:rsid w:val="00365E5A"/>
    <w:rsid w:val="00365E7F"/>
    <w:rsid w:val="00366027"/>
    <w:rsid w:val="00366152"/>
    <w:rsid w:val="0036622E"/>
    <w:rsid w:val="0036629C"/>
    <w:rsid w:val="003662D6"/>
    <w:rsid w:val="0036649F"/>
    <w:rsid w:val="003667F2"/>
    <w:rsid w:val="00366B7A"/>
    <w:rsid w:val="00366CBA"/>
    <w:rsid w:val="00366D0C"/>
    <w:rsid w:val="00366E4E"/>
    <w:rsid w:val="00366F26"/>
    <w:rsid w:val="00366F4B"/>
    <w:rsid w:val="003672BE"/>
    <w:rsid w:val="00367531"/>
    <w:rsid w:val="003676F1"/>
    <w:rsid w:val="003677F4"/>
    <w:rsid w:val="00367CED"/>
    <w:rsid w:val="00367EE4"/>
    <w:rsid w:val="00367F71"/>
    <w:rsid w:val="0037020E"/>
    <w:rsid w:val="0037047E"/>
    <w:rsid w:val="00370525"/>
    <w:rsid w:val="0037054F"/>
    <w:rsid w:val="003705E4"/>
    <w:rsid w:val="003708A5"/>
    <w:rsid w:val="00370B1F"/>
    <w:rsid w:val="00370CB7"/>
    <w:rsid w:val="0037113C"/>
    <w:rsid w:val="003711C8"/>
    <w:rsid w:val="0037132A"/>
    <w:rsid w:val="0037147C"/>
    <w:rsid w:val="0037161C"/>
    <w:rsid w:val="00371A12"/>
    <w:rsid w:val="00371A7A"/>
    <w:rsid w:val="00371B87"/>
    <w:rsid w:val="00371CE0"/>
    <w:rsid w:val="00371E1F"/>
    <w:rsid w:val="00371EF9"/>
    <w:rsid w:val="00371F7F"/>
    <w:rsid w:val="003721E6"/>
    <w:rsid w:val="00372790"/>
    <w:rsid w:val="00372940"/>
    <w:rsid w:val="00372B0E"/>
    <w:rsid w:val="00372B98"/>
    <w:rsid w:val="00372BAE"/>
    <w:rsid w:val="00373123"/>
    <w:rsid w:val="003737B8"/>
    <w:rsid w:val="003738FB"/>
    <w:rsid w:val="00373A4F"/>
    <w:rsid w:val="00373CA4"/>
    <w:rsid w:val="00373D6A"/>
    <w:rsid w:val="00373DAE"/>
    <w:rsid w:val="00373E06"/>
    <w:rsid w:val="00373E8A"/>
    <w:rsid w:val="003740A2"/>
    <w:rsid w:val="003740D2"/>
    <w:rsid w:val="00374406"/>
    <w:rsid w:val="00374735"/>
    <w:rsid w:val="00374AD7"/>
    <w:rsid w:val="00374B2C"/>
    <w:rsid w:val="00374C94"/>
    <w:rsid w:val="00374F67"/>
    <w:rsid w:val="00375169"/>
    <w:rsid w:val="00375172"/>
    <w:rsid w:val="00375257"/>
    <w:rsid w:val="003758D7"/>
    <w:rsid w:val="00375ACF"/>
    <w:rsid w:val="00375B76"/>
    <w:rsid w:val="00375CC9"/>
    <w:rsid w:val="00375E36"/>
    <w:rsid w:val="00375EC4"/>
    <w:rsid w:val="00375FCB"/>
    <w:rsid w:val="00375FE0"/>
    <w:rsid w:val="003760F8"/>
    <w:rsid w:val="003762E4"/>
    <w:rsid w:val="00376749"/>
    <w:rsid w:val="003768FA"/>
    <w:rsid w:val="00377062"/>
    <w:rsid w:val="00377232"/>
    <w:rsid w:val="00377568"/>
    <w:rsid w:val="00377587"/>
    <w:rsid w:val="003776EE"/>
    <w:rsid w:val="00377768"/>
    <w:rsid w:val="00377842"/>
    <w:rsid w:val="00380228"/>
    <w:rsid w:val="003802B4"/>
    <w:rsid w:val="0038050C"/>
    <w:rsid w:val="00380650"/>
    <w:rsid w:val="003806BE"/>
    <w:rsid w:val="003807D3"/>
    <w:rsid w:val="00380F4A"/>
    <w:rsid w:val="00380FDA"/>
    <w:rsid w:val="003810FD"/>
    <w:rsid w:val="003811EF"/>
    <w:rsid w:val="0038126C"/>
    <w:rsid w:val="003813A3"/>
    <w:rsid w:val="003813DB"/>
    <w:rsid w:val="00381713"/>
    <w:rsid w:val="003817E3"/>
    <w:rsid w:val="0038187B"/>
    <w:rsid w:val="00381C19"/>
    <w:rsid w:val="00381CD4"/>
    <w:rsid w:val="00381D24"/>
    <w:rsid w:val="00381D65"/>
    <w:rsid w:val="00382095"/>
    <w:rsid w:val="00382280"/>
    <w:rsid w:val="0038233E"/>
    <w:rsid w:val="003824CB"/>
    <w:rsid w:val="003825FA"/>
    <w:rsid w:val="003826C9"/>
    <w:rsid w:val="003828AA"/>
    <w:rsid w:val="003828F9"/>
    <w:rsid w:val="00382987"/>
    <w:rsid w:val="003829E5"/>
    <w:rsid w:val="00382AF0"/>
    <w:rsid w:val="00382B1D"/>
    <w:rsid w:val="00382BAC"/>
    <w:rsid w:val="00382CDB"/>
    <w:rsid w:val="00382F94"/>
    <w:rsid w:val="003835B4"/>
    <w:rsid w:val="003837B6"/>
    <w:rsid w:val="00383AAD"/>
    <w:rsid w:val="00383B70"/>
    <w:rsid w:val="00384308"/>
    <w:rsid w:val="00384370"/>
    <w:rsid w:val="003846BF"/>
    <w:rsid w:val="003847CC"/>
    <w:rsid w:val="003849C9"/>
    <w:rsid w:val="00384ABC"/>
    <w:rsid w:val="00384BD1"/>
    <w:rsid w:val="00384D3E"/>
    <w:rsid w:val="00385125"/>
    <w:rsid w:val="003851E1"/>
    <w:rsid w:val="0038537F"/>
    <w:rsid w:val="003853D4"/>
    <w:rsid w:val="0038594B"/>
    <w:rsid w:val="00385BC8"/>
    <w:rsid w:val="00385DFC"/>
    <w:rsid w:val="0038609B"/>
    <w:rsid w:val="00386118"/>
    <w:rsid w:val="003862E1"/>
    <w:rsid w:val="003864B8"/>
    <w:rsid w:val="00386564"/>
    <w:rsid w:val="003868A0"/>
    <w:rsid w:val="003869B9"/>
    <w:rsid w:val="00386ABB"/>
    <w:rsid w:val="00386B7B"/>
    <w:rsid w:val="00386C26"/>
    <w:rsid w:val="00386D08"/>
    <w:rsid w:val="003870EE"/>
    <w:rsid w:val="00387169"/>
    <w:rsid w:val="003871E4"/>
    <w:rsid w:val="003873E2"/>
    <w:rsid w:val="00387460"/>
    <w:rsid w:val="00387492"/>
    <w:rsid w:val="0038753A"/>
    <w:rsid w:val="0038754F"/>
    <w:rsid w:val="003875B4"/>
    <w:rsid w:val="00387739"/>
    <w:rsid w:val="00387756"/>
    <w:rsid w:val="00387A82"/>
    <w:rsid w:val="00387D8A"/>
    <w:rsid w:val="00387F55"/>
    <w:rsid w:val="003904E8"/>
    <w:rsid w:val="00390671"/>
    <w:rsid w:val="0039075A"/>
    <w:rsid w:val="0039092B"/>
    <w:rsid w:val="00390C07"/>
    <w:rsid w:val="003911B2"/>
    <w:rsid w:val="0039126F"/>
    <w:rsid w:val="003912DF"/>
    <w:rsid w:val="003914CF"/>
    <w:rsid w:val="00391582"/>
    <w:rsid w:val="003916CF"/>
    <w:rsid w:val="003917A0"/>
    <w:rsid w:val="00391840"/>
    <w:rsid w:val="00391FA2"/>
    <w:rsid w:val="00392032"/>
    <w:rsid w:val="003926FD"/>
    <w:rsid w:val="00392921"/>
    <w:rsid w:val="00392C56"/>
    <w:rsid w:val="00392EBD"/>
    <w:rsid w:val="003932B8"/>
    <w:rsid w:val="00393773"/>
    <w:rsid w:val="00393CF8"/>
    <w:rsid w:val="00393D60"/>
    <w:rsid w:val="00394183"/>
    <w:rsid w:val="003946AF"/>
    <w:rsid w:val="00394A25"/>
    <w:rsid w:val="00394BC9"/>
    <w:rsid w:val="00395019"/>
    <w:rsid w:val="00395279"/>
    <w:rsid w:val="0039537B"/>
    <w:rsid w:val="0039538E"/>
    <w:rsid w:val="0039596F"/>
    <w:rsid w:val="00395C63"/>
    <w:rsid w:val="00395D81"/>
    <w:rsid w:val="0039670D"/>
    <w:rsid w:val="00396835"/>
    <w:rsid w:val="00396C88"/>
    <w:rsid w:val="00396DD4"/>
    <w:rsid w:val="00396DF2"/>
    <w:rsid w:val="003971E3"/>
    <w:rsid w:val="0039776D"/>
    <w:rsid w:val="00397C0F"/>
    <w:rsid w:val="00397CBE"/>
    <w:rsid w:val="00397CE2"/>
    <w:rsid w:val="00397DD3"/>
    <w:rsid w:val="00397DF1"/>
    <w:rsid w:val="003A00CF"/>
    <w:rsid w:val="003A0448"/>
    <w:rsid w:val="003A04EA"/>
    <w:rsid w:val="003A0576"/>
    <w:rsid w:val="003A05D6"/>
    <w:rsid w:val="003A05D8"/>
    <w:rsid w:val="003A0636"/>
    <w:rsid w:val="003A0752"/>
    <w:rsid w:val="003A0757"/>
    <w:rsid w:val="003A0C77"/>
    <w:rsid w:val="003A10AD"/>
    <w:rsid w:val="003A115B"/>
    <w:rsid w:val="003A11FC"/>
    <w:rsid w:val="003A185C"/>
    <w:rsid w:val="003A1995"/>
    <w:rsid w:val="003A1996"/>
    <w:rsid w:val="003A1C82"/>
    <w:rsid w:val="003A1DA8"/>
    <w:rsid w:val="003A1E7B"/>
    <w:rsid w:val="003A2497"/>
    <w:rsid w:val="003A25D1"/>
    <w:rsid w:val="003A26B6"/>
    <w:rsid w:val="003A26FE"/>
    <w:rsid w:val="003A29B5"/>
    <w:rsid w:val="003A2A64"/>
    <w:rsid w:val="003A2C4A"/>
    <w:rsid w:val="003A304F"/>
    <w:rsid w:val="003A3245"/>
    <w:rsid w:val="003A337A"/>
    <w:rsid w:val="003A35D0"/>
    <w:rsid w:val="003A35DC"/>
    <w:rsid w:val="003A37B7"/>
    <w:rsid w:val="003A3807"/>
    <w:rsid w:val="003A3A87"/>
    <w:rsid w:val="003A3EB0"/>
    <w:rsid w:val="003A3F06"/>
    <w:rsid w:val="003A411A"/>
    <w:rsid w:val="003A43FC"/>
    <w:rsid w:val="003A470E"/>
    <w:rsid w:val="003A4792"/>
    <w:rsid w:val="003A47DF"/>
    <w:rsid w:val="003A48D9"/>
    <w:rsid w:val="003A4948"/>
    <w:rsid w:val="003A4A74"/>
    <w:rsid w:val="003A4F67"/>
    <w:rsid w:val="003A5717"/>
    <w:rsid w:val="003A5A17"/>
    <w:rsid w:val="003A5ED4"/>
    <w:rsid w:val="003A6295"/>
    <w:rsid w:val="003A6383"/>
    <w:rsid w:val="003A641C"/>
    <w:rsid w:val="003A64F0"/>
    <w:rsid w:val="003A6817"/>
    <w:rsid w:val="003A68A5"/>
    <w:rsid w:val="003A6942"/>
    <w:rsid w:val="003A69CF"/>
    <w:rsid w:val="003A7077"/>
    <w:rsid w:val="003A7335"/>
    <w:rsid w:val="003A7685"/>
    <w:rsid w:val="003A7B3F"/>
    <w:rsid w:val="003B0269"/>
    <w:rsid w:val="003B073D"/>
    <w:rsid w:val="003B0820"/>
    <w:rsid w:val="003B0DCC"/>
    <w:rsid w:val="003B0EE5"/>
    <w:rsid w:val="003B114E"/>
    <w:rsid w:val="003B159C"/>
    <w:rsid w:val="003B1976"/>
    <w:rsid w:val="003B19C7"/>
    <w:rsid w:val="003B1B2D"/>
    <w:rsid w:val="003B1B6F"/>
    <w:rsid w:val="003B1BC5"/>
    <w:rsid w:val="003B212B"/>
    <w:rsid w:val="003B2330"/>
    <w:rsid w:val="003B247C"/>
    <w:rsid w:val="003B263B"/>
    <w:rsid w:val="003B2818"/>
    <w:rsid w:val="003B28AC"/>
    <w:rsid w:val="003B28BB"/>
    <w:rsid w:val="003B2E6D"/>
    <w:rsid w:val="003B2F36"/>
    <w:rsid w:val="003B2F92"/>
    <w:rsid w:val="003B31D0"/>
    <w:rsid w:val="003B3776"/>
    <w:rsid w:val="003B38E7"/>
    <w:rsid w:val="003B38F2"/>
    <w:rsid w:val="003B3A1F"/>
    <w:rsid w:val="003B4089"/>
    <w:rsid w:val="003B4105"/>
    <w:rsid w:val="003B42B5"/>
    <w:rsid w:val="003B42EB"/>
    <w:rsid w:val="003B4322"/>
    <w:rsid w:val="003B4380"/>
    <w:rsid w:val="003B43F0"/>
    <w:rsid w:val="003B4740"/>
    <w:rsid w:val="003B4751"/>
    <w:rsid w:val="003B488F"/>
    <w:rsid w:val="003B492E"/>
    <w:rsid w:val="003B4DB6"/>
    <w:rsid w:val="003B54A2"/>
    <w:rsid w:val="003B5953"/>
    <w:rsid w:val="003B5BD1"/>
    <w:rsid w:val="003B5DC9"/>
    <w:rsid w:val="003B5E23"/>
    <w:rsid w:val="003B5FD4"/>
    <w:rsid w:val="003B601F"/>
    <w:rsid w:val="003B60B2"/>
    <w:rsid w:val="003B60F4"/>
    <w:rsid w:val="003B61BA"/>
    <w:rsid w:val="003B61E3"/>
    <w:rsid w:val="003B6206"/>
    <w:rsid w:val="003B6410"/>
    <w:rsid w:val="003B64B5"/>
    <w:rsid w:val="003B6AA4"/>
    <w:rsid w:val="003B6BBC"/>
    <w:rsid w:val="003B6BE9"/>
    <w:rsid w:val="003B6C74"/>
    <w:rsid w:val="003B707D"/>
    <w:rsid w:val="003B7128"/>
    <w:rsid w:val="003B728A"/>
    <w:rsid w:val="003B7493"/>
    <w:rsid w:val="003B762D"/>
    <w:rsid w:val="003B7630"/>
    <w:rsid w:val="003B76A6"/>
    <w:rsid w:val="003B77C6"/>
    <w:rsid w:val="003B7906"/>
    <w:rsid w:val="003B792B"/>
    <w:rsid w:val="003B7C9A"/>
    <w:rsid w:val="003B7E32"/>
    <w:rsid w:val="003C00BC"/>
    <w:rsid w:val="003C00D1"/>
    <w:rsid w:val="003C0296"/>
    <w:rsid w:val="003C05F2"/>
    <w:rsid w:val="003C06B0"/>
    <w:rsid w:val="003C0801"/>
    <w:rsid w:val="003C0882"/>
    <w:rsid w:val="003C0BAD"/>
    <w:rsid w:val="003C0BB2"/>
    <w:rsid w:val="003C0C37"/>
    <w:rsid w:val="003C0FA8"/>
    <w:rsid w:val="003C1056"/>
    <w:rsid w:val="003C1188"/>
    <w:rsid w:val="003C1712"/>
    <w:rsid w:val="003C19FA"/>
    <w:rsid w:val="003C1CBD"/>
    <w:rsid w:val="003C1E65"/>
    <w:rsid w:val="003C227D"/>
    <w:rsid w:val="003C23AD"/>
    <w:rsid w:val="003C2468"/>
    <w:rsid w:val="003C2572"/>
    <w:rsid w:val="003C2734"/>
    <w:rsid w:val="003C2897"/>
    <w:rsid w:val="003C2D10"/>
    <w:rsid w:val="003C2E4C"/>
    <w:rsid w:val="003C2E98"/>
    <w:rsid w:val="003C2EBC"/>
    <w:rsid w:val="003C2F9F"/>
    <w:rsid w:val="003C30FE"/>
    <w:rsid w:val="003C3162"/>
    <w:rsid w:val="003C31AE"/>
    <w:rsid w:val="003C325D"/>
    <w:rsid w:val="003C35D2"/>
    <w:rsid w:val="003C3D70"/>
    <w:rsid w:val="003C3FEB"/>
    <w:rsid w:val="003C425E"/>
    <w:rsid w:val="003C48A6"/>
    <w:rsid w:val="003C48DF"/>
    <w:rsid w:val="003C4CF3"/>
    <w:rsid w:val="003C4E65"/>
    <w:rsid w:val="003C55ED"/>
    <w:rsid w:val="003C5674"/>
    <w:rsid w:val="003C585F"/>
    <w:rsid w:val="003C5BD3"/>
    <w:rsid w:val="003C5C6C"/>
    <w:rsid w:val="003C5EC4"/>
    <w:rsid w:val="003C6176"/>
    <w:rsid w:val="003C673E"/>
    <w:rsid w:val="003C68EC"/>
    <w:rsid w:val="003C6B60"/>
    <w:rsid w:val="003C7060"/>
    <w:rsid w:val="003C719D"/>
    <w:rsid w:val="003C7376"/>
    <w:rsid w:val="003C7400"/>
    <w:rsid w:val="003C768A"/>
    <w:rsid w:val="003C7872"/>
    <w:rsid w:val="003C79FF"/>
    <w:rsid w:val="003C7C2E"/>
    <w:rsid w:val="003C7DE1"/>
    <w:rsid w:val="003D006D"/>
    <w:rsid w:val="003D02C9"/>
    <w:rsid w:val="003D06A4"/>
    <w:rsid w:val="003D0896"/>
    <w:rsid w:val="003D0A37"/>
    <w:rsid w:val="003D0A47"/>
    <w:rsid w:val="003D0F32"/>
    <w:rsid w:val="003D10D9"/>
    <w:rsid w:val="003D11EB"/>
    <w:rsid w:val="003D14EB"/>
    <w:rsid w:val="003D15D0"/>
    <w:rsid w:val="003D1628"/>
    <w:rsid w:val="003D16A0"/>
    <w:rsid w:val="003D1967"/>
    <w:rsid w:val="003D1A43"/>
    <w:rsid w:val="003D1B6E"/>
    <w:rsid w:val="003D1C5F"/>
    <w:rsid w:val="003D218B"/>
    <w:rsid w:val="003D223A"/>
    <w:rsid w:val="003D22A1"/>
    <w:rsid w:val="003D2839"/>
    <w:rsid w:val="003D288B"/>
    <w:rsid w:val="003D2944"/>
    <w:rsid w:val="003D2AE5"/>
    <w:rsid w:val="003D2AFB"/>
    <w:rsid w:val="003D2EF7"/>
    <w:rsid w:val="003D3317"/>
    <w:rsid w:val="003D34EA"/>
    <w:rsid w:val="003D34F2"/>
    <w:rsid w:val="003D3720"/>
    <w:rsid w:val="003D37D8"/>
    <w:rsid w:val="003D37FD"/>
    <w:rsid w:val="003D38CB"/>
    <w:rsid w:val="003D3D9E"/>
    <w:rsid w:val="003D3FFC"/>
    <w:rsid w:val="003D40B9"/>
    <w:rsid w:val="003D40EE"/>
    <w:rsid w:val="003D41F3"/>
    <w:rsid w:val="003D425D"/>
    <w:rsid w:val="003D426A"/>
    <w:rsid w:val="003D4BDC"/>
    <w:rsid w:val="003D4CCB"/>
    <w:rsid w:val="003D4D1C"/>
    <w:rsid w:val="003D5006"/>
    <w:rsid w:val="003D5052"/>
    <w:rsid w:val="003D50AF"/>
    <w:rsid w:val="003D5153"/>
    <w:rsid w:val="003D526B"/>
    <w:rsid w:val="003D5296"/>
    <w:rsid w:val="003D5B0E"/>
    <w:rsid w:val="003D5C0A"/>
    <w:rsid w:val="003D5F26"/>
    <w:rsid w:val="003D6137"/>
    <w:rsid w:val="003D62CC"/>
    <w:rsid w:val="003D64B1"/>
    <w:rsid w:val="003D68FA"/>
    <w:rsid w:val="003D6C23"/>
    <w:rsid w:val="003D6D53"/>
    <w:rsid w:val="003D72BB"/>
    <w:rsid w:val="003D73AA"/>
    <w:rsid w:val="003D748D"/>
    <w:rsid w:val="003D74AE"/>
    <w:rsid w:val="003D7585"/>
    <w:rsid w:val="003D7987"/>
    <w:rsid w:val="003D798A"/>
    <w:rsid w:val="003D7AD1"/>
    <w:rsid w:val="003E00E8"/>
    <w:rsid w:val="003E02D0"/>
    <w:rsid w:val="003E0312"/>
    <w:rsid w:val="003E077F"/>
    <w:rsid w:val="003E0B5E"/>
    <w:rsid w:val="003E1123"/>
    <w:rsid w:val="003E1524"/>
    <w:rsid w:val="003E15F8"/>
    <w:rsid w:val="003E17F1"/>
    <w:rsid w:val="003E1831"/>
    <w:rsid w:val="003E189C"/>
    <w:rsid w:val="003E18EB"/>
    <w:rsid w:val="003E19D3"/>
    <w:rsid w:val="003E1CCE"/>
    <w:rsid w:val="003E1F61"/>
    <w:rsid w:val="003E1F8C"/>
    <w:rsid w:val="003E20F9"/>
    <w:rsid w:val="003E22F2"/>
    <w:rsid w:val="003E2613"/>
    <w:rsid w:val="003E2634"/>
    <w:rsid w:val="003E26A6"/>
    <w:rsid w:val="003E2727"/>
    <w:rsid w:val="003E2DEF"/>
    <w:rsid w:val="003E2EE4"/>
    <w:rsid w:val="003E3121"/>
    <w:rsid w:val="003E355C"/>
    <w:rsid w:val="003E3BF1"/>
    <w:rsid w:val="003E3C89"/>
    <w:rsid w:val="003E3DBB"/>
    <w:rsid w:val="003E3E55"/>
    <w:rsid w:val="003E3F67"/>
    <w:rsid w:val="003E4593"/>
    <w:rsid w:val="003E45DF"/>
    <w:rsid w:val="003E4C6A"/>
    <w:rsid w:val="003E4E9B"/>
    <w:rsid w:val="003E4EDA"/>
    <w:rsid w:val="003E54E1"/>
    <w:rsid w:val="003E5A6C"/>
    <w:rsid w:val="003E5AE9"/>
    <w:rsid w:val="003E5DAB"/>
    <w:rsid w:val="003E6387"/>
    <w:rsid w:val="003E6388"/>
    <w:rsid w:val="003E63B1"/>
    <w:rsid w:val="003E6840"/>
    <w:rsid w:val="003E69D7"/>
    <w:rsid w:val="003E6C4F"/>
    <w:rsid w:val="003E714E"/>
    <w:rsid w:val="003E7839"/>
    <w:rsid w:val="003E7B5E"/>
    <w:rsid w:val="003E7C34"/>
    <w:rsid w:val="003E7F51"/>
    <w:rsid w:val="003E7F6E"/>
    <w:rsid w:val="003F011A"/>
    <w:rsid w:val="003F0132"/>
    <w:rsid w:val="003F0466"/>
    <w:rsid w:val="003F04A4"/>
    <w:rsid w:val="003F066D"/>
    <w:rsid w:val="003F0878"/>
    <w:rsid w:val="003F0ADD"/>
    <w:rsid w:val="003F0C77"/>
    <w:rsid w:val="003F0E7D"/>
    <w:rsid w:val="003F0F48"/>
    <w:rsid w:val="003F1074"/>
    <w:rsid w:val="003F10E4"/>
    <w:rsid w:val="003F1203"/>
    <w:rsid w:val="003F157D"/>
    <w:rsid w:val="003F1775"/>
    <w:rsid w:val="003F1798"/>
    <w:rsid w:val="003F1CAF"/>
    <w:rsid w:val="003F1E2D"/>
    <w:rsid w:val="003F1F9E"/>
    <w:rsid w:val="003F233A"/>
    <w:rsid w:val="003F24FC"/>
    <w:rsid w:val="003F26D8"/>
    <w:rsid w:val="003F2880"/>
    <w:rsid w:val="003F2A7B"/>
    <w:rsid w:val="003F2C94"/>
    <w:rsid w:val="003F2DAB"/>
    <w:rsid w:val="003F2E17"/>
    <w:rsid w:val="003F2E9E"/>
    <w:rsid w:val="003F3104"/>
    <w:rsid w:val="003F314D"/>
    <w:rsid w:val="003F33C4"/>
    <w:rsid w:val="003F34CC"/>
    <w:rsid w:val="003F375B"/>
    <w:rsid w:val="003F3767"/>
    <w:rsid w:val="003F3911"/>
    <w:rsid w:val="003F4322"/>
    <w:rsid w:val="003F43B0"/>
    <w:rsid w:val="003F444D"/>
    <w:rsid w:val="003F44B9"/>
    <w:rsid w:val="003F468D"/>
    <w:rsid w:val="003F4812"/>
    <w:rsid w:val="003F48AA"/>
    <w:rsid w:val="003F493E"/>
    <w:rsid w:val="003F4987"/>
    <w:rsid w:val="003F4ACC"/>
    <w:rsid w:val="003F52C0"/>
    <w:rsid w:val="003F5389"/>
    <w:rsid w:val="003F53D2"/>
    <w:rsid w:val="003F554E"/>
    <w:rsid w:val="003F5764"/>
    <w:rsid w:val="003F5829"/>
    <w:rsid w:val="003F5915"/>
    <w:rsid w:val="003F592C"/>
    <w:rsid w:val="003F5B25"/>
    <w:rsid w:val="003F5BDB"/>
    <w:rsid w:val="003F5C98"/>
    <w:rsid w:val="003F5E9C"/>
    <w:rsid w:val="003F61D2"/>
    <w:rsid w:val="003F6224"/>
    <w:rsid w:val="003F6292"/>
    <w:rsid w:val="003F643D"/>
    <w:rsid w:val="003F6865"/>
    <w:rsid w:val="003F68B8"/>
    <w:rsid w:val="003F6932"/>
    <w:rsid w:val="003F693E"/>
    <w:rsid w:val="003F6A57"/>
    <w:rsid w:val="003F6DFF"/>
    <w:rsid w:val="003F6EB8"/>
    <w:rsid w:val="003F71B3"/>
    <w:rsid w:val="003F7248"/>
    <w:rsid w:val="003F74B3"/>
    <w:rsid w:val="003F7782"/>
    <w:rsid w:val="003F78E1"/>
    <w:rsid w:val="003F7A3D"/>
    <w:rsid w:val="003F7D01"/>
    <w:rsid w:val="00400246"/>
    <w:rsid w:val="004004B2"/>
    <w:rsid w:val="00400694"/>
    <w:rsid w:val="0040106C"/>
    <w:rsid w:val="00401840"/>
    <w:rsid w:val="00401E68"/>
    <w:rsid w:val="00402594"/>
    <w:rsid w:val="0040264F"/>
    <w:rsid w:val="0040293F"/>
    <w:rsid w:val="00402DB1"/>
    <w:rsid w:val="004032C5"/>
    <w:rsid w:val="0040349C"/>
    <w:rsid w:val="004034B0"/>
    <w:rsid w:val="004035BE"/>
    <w:rsid w:val="004038AB"/>
    <w:rsid w:val="00403A5A"/>
    <w:rsid w:val="00403B83"/>
    <w:rsid w:val="00403BD7"/>
    <w:rsid w:val="00403CE8"/>
    <w:rsid w:val="00403F5D"/>
    <w:rsid w:val="004041CA"/>
    <w:rsid w:val="00404215"/>
    <w:rsid w:val="004042C4"/>
    <w:rsid w:val="0040455C"/>
    <w:rsid w:val="00404981"/>
    <w:rsid w:val="00404A23"/>
    <w:rsid w:val="00404BCF"/>
    <w:rsid w:val="00404E4C"/>
    <w:rsid w:val="0040536D"/>
    <w:rsid w:val="0040540E"/>
    <w:rsid w:val="0040569A"/>
    <w:rsid w:val="004059A3"/>
    <w:rsid w:val="00405AED"/>
    <w:rsid w:val="00405E12"/>
    <w:rsid w:val="00405ECE"/>
    <w:rsid w:val="00406162"/>
    <w:rsid w:val="00406202"/>
    <w:rsid w:val="0040654F"/>
    <w:rsid w:val="00406C09"/>
    <w:rsid w:val="00406CFB"/>
    <w:rsid w:val="00407314"/>
    <w:rsid w:val="00407928"/>
    <w:rsid w:val="00407B71"/>
    <w:rsid w:val="00407C94"/>
    <w:rsid w:val="00407CB4"/>
    <w:rsid w:val="00407E5E"/>
    <w:rsid w:val="004100C1"/>
    <w:rsid w:val="00410372"/>
    <w:rsid w:val="00410599"/>
    <w:rsid w:val="004107F1"/>
    <w:rsid w:val="0041088D"/>
    <w:rsid w:val="00410915"/>
    <w:rsid w:val="0041096B"/>
    <w:rsid w:val="00410B6E"/>
    <w:rsid w:val="00411207"/>
    <w:rsid w:val="0041143E"/>
    <w:rsid w:val="00411888"/>
    <w:rsid w:val="00411A3C"/>
    <w:rsid w:val="00411AF7"/>
    <w:rsid w:val="00411BDE"/>
    <w:rsid w:val="00411CB3"/>
    <w:rsid w:val="00411CBB"/>
    <w:rsid w:val="00411E6D"/>
    <w:rsid w:val="004121AD"/>
    <w:rsid w:val="00412246"/>
    <w:rsid w:val="00412273"/>
    <w:rsid w:val="00412480"/>
    <w:rsid w:val="0041249D"/>
    <w:rsid w:val="00412622"/>
    <w:rsid w:val="00412B66"/>
    <w:rsid w:val="00412E7F"/>
    <w:rsid w:val="00412F5B"/>
    <w:rsid w:val="00412F90"/>
    <w:rsid w:val="004130C8"/>
    <w:rsid w:val="00413148"/>
    <w:rsid w:val="004132E8"/>
    <w:rsid w:val="004133EE"/>
    <w:rsid w:val="004136C2"/>
    <w:rsid w:val="0041379E"/>
    <w:rsid w:val="0041386E"/>
    <w:rsid w:val="004138A7"/>
    <w:rsid w:val="00413BE4"/>
    <w:rsid w:val="00413CDC"/>
    <w:rsid w:val="00413D7B"/>
    <w:rsid w:val="004143C6"/>
    <w:rsid w:val="004144C9"/>
    <w:rsid w:val="00414973"/>
    <w:rsid w:val="00414A29"/>
    <w:rsid w:val="00414ACC"/>
    <w:rsid w:val="00414BF8"/>
    <w:rsid w:val="00414DC8"/>
    <w:rsid w:val="00414E11"/>
    <w:rsid w:val="00415590"/>
    <w:rsid w:val="004157BA"/>
    <w:rsid w:val="00415EAC"/>
    <w:rsid w:val="00416158"/>
    <w:rsid w:val="00416241"/>
    <w:rsid w:val="004162F6"/>
    <w:rsid w:val="004165BC"/>
    <w:rsid w:val="00416781"/>
    <w:rsid w:val="004167BE"/>
    <w:rsid w:val="00416838"/>
    <w:rsid w:val="0041693B"/>
    <w:rsid w:val="00416A52"/>
    <w:rsid w:val="00416A6C"/>
    <w:rsid w:val="00416A87"/>
    <w:rsid w:val="00416B90"/>
    <w:rsid w:val="00416C5B"/>
    <w:rsid w:val="00416CC9"/>
    <w:rsid w:val="00416D50"/>
    <w:rsid w:val="00417400"/>
    <w:rsid w:val="00417451"/>
    <w:rsid w:val="0041748A"/>
    <w:rsid w:val="00417599"/>
    <w:rsid w:val="004178D2"/>
    <w:rsid w:val="00417A08"/>
    <w:rsid w:val="00417BE5"/>
    <w:rsid w:val="00417CA6"/>
    <w:rsid w:val="00417D3B"/>
    <w:rsid w:val="00417E1D"/>
    <w:rsid w:val="00420374"/>
    <w:rsid w:val="004204A9"/>
    <w:rsid w:val="0042080A"/>
    <w:rsid w:val="0042080B"/>
    <w:rsid w:val="0042084C"/>
    <w:rsid w:val="004208E0"/>
    <w:rsid w:val="00420C72"/>
    <w:rsid w:val="00420F87"/>
    <w:rsid w:val="00421460"/>
    <w:rsid w:val="00421549"/>
    <w:rsid w:val="004217A9"/>
    <w:rsid w:val="00421D1D"/>
    <w:rsid w:val="00421F56"/>
    <w:rsid w:val="00421FB3"/>
    <w:rsid w:val="00422134"/>
    <w:rsid w:val="0042237B"/>
    <w:rsid w:val="004223A3"/>
    <w:rsid w:val="00422915"/>
    <w:rsid w:val="004231B0"/>
    <w:rsid w:val="004233CD"/>
    <w:rsid w:val="00423469"/>
    <w:rsid w:val="00423A33"/>
    <w:rsid w:val="00423C6D"/>
    <w:rsid w:val="00423D54"/>
    <w:rsid w:val="00423FB7"/>
    <w:rsid w:val="00424487"/>
    <w:rsid w:val="004247C1"/>
    <w:rsid w:val="00424826"/>
    <w:rsid w:val="00424871"/>
    <w:rsid w:val="00424BE6"/>
    <w:rsid w:val="00424DF8"/>
    <w:rsid w:val="00425261"/>
    <w:rsid w:val="00425430"/>
    <w:rsid w:val="00425438"/>
    <w:rsid w:val="00425747"/>
    <w:rsid w:val="00425931"/>
    <w:rsid w:val="0042595C"/>
    <w:rsid w:val="00425ABD"/>
    <w:rsid w:val="00425C8B"/>
    <w:rsid w:val="00425CBF"/>
    <w:rsid w:val="00425D39"/>
    <w:rsid w:val="00425E5E"/>
    <w:rsid w:val="00426011"/>
    <w:rsid w:val="004260E7"/>
    <w:rsid w:val="004260F4"/>
    <w:rsid w:val="004261E0"/>
    <w:rsid w:val="00426202"/>
    <w:rsid w:val="0042629B"/>
    <w:rsid w:val="00426510"/>
    <w:rsid w:val="00426648"/>
    <w:rsid w:val="00426820"/>
    <w:rsid w:val="00426A18"/>
    <w:rsid w:val="00426B19"/>
    <w:rsid w:val="00426F03"/>
    <w:rsid w:val="00426F4A"/>
    <w:rsid w:val="00426FB7"/>
    <w:rsid w:val="004270C3"/>
    <w:rsid w:val="004272FD"/>
    <w:rsid w:val="00427317"/>
    <w:rsid w:val="0042731A"/>
    <w:rsid w:val="00427370"/>
    <w:rsid w:val="00427418"/>
    <w:rsid w:val="00427447"/>
    <w:rsid w:val="004275E2"/>
    <w:rsid w:val="0042797C"/>
    <w:rsid w:val="00427A67"/>
    <w:rsid w:val="00427D6D"/>
    <w:rsid w:val="00427E26"/>
    <w:rsid w:val="004300C9"/>
    <w:rsid w:val="004300CA"/>
    <w:rsid w:val="004302E9"/>
    <w:rsid w:val="004303C1"/>
    <w:rsid w:val="004306F0"/>
    <w:rsid w:val="0043080A"/>
    <w:rsid w:val="00430B2F"/>
    <w:rsid w:val="00430CE4"/>
    <w:rsid w:val="00430D2F"/>
    <w:rsid w:val="00430E60"/>
    <w:rsid w:val="00431053"/>
    <w:rsid w:val="004317D3"/>
    <w:rsid w:val="0043181C"/>
    <w:rsid w:val="004318A0"/>
    <w:rsid w:val="004318D1"/>
    <w:rsid w:val="00431A00"/>
    <w:rsid w:val="00431B97"/>
    <w:rsid w:val="00431D70"/>
    <w:rsid w:val="0043216B"/>
    <w:rsid w:val="0043231D"/>
    <w:rsid w:val="004323CF"/>
    <w:rsid w:val="00432448"/>
    <w:rsid w:val="004327C4"/>
    <w:rsid w:val="004328D0"/>
    <w:rsid w:val="00432D32"/>
    <w:rsid w:val="00432F0C"/>
    <w:rsid w:val="004332AE"/>
    <w:rsid w:val="00433359"/>
    <w:rsid w:val="0043358E"/>
    <w:rsid w:val="0043360E"/>
    <w:rsid w:val="00433648"/>
    <w:rsid w:val="004337CB"/>
    <w:rsid w:val="004337EB"/>
    <w:rsid w:val="004338DA"/>
    <w:rsid w:val="00433C46"/>
    <w:rsid w:val="00433EC7"/>
    <w:rsid w:val="0043411F"/>
    <w:rsid w:val="004342F0"/>
    <w:rsid w:val="0043436E"/>
    <w:rsid w:val="004344C6"/>
    <w:rsid w:val="004346BF"/>
    <w:rsid w:val="004346F3"/>
    <w:rsid w:val="00434836"/>
    <w:rsid w:val="004349D6"/>
    <w:rsid w:val="00434CA5"/>
    <w:rsid w:val="00434DB0"/>
    <w:rsid w:val="00435038"/>
    <w:rsid w:val="004353B5"/>
    <w:rsid w:val="00435593"/>
    <w:rsid w:val="004356AF"/>
    <w:rsid w:val="004356FA"/>
    <w:rsid w:val="00435AAF"/>
    <w:rsid w:val="00435BA1"/>
    <w:rsid w:val="0043617D"/>
    <w:rsid w:val="00436644"/>
    <w:rsid w:val="00436ED4"/>
    <w:rsid w:val="00437262"/>
    <w:rsid w:val="004373C0"/>
    <w:rsid w:val="00437572"/>
    <w:rsid w:val="0043793D"/>
    <w:rsid w:val="00437C13"/>
    <w:rsid w:val="00437E0B"/>
    <w:rsid w:val="00437F05"/>
    <w:rsid w:val="00437F09"/>
    <w:rsid w:val="00437F99"/>
    <w:rsid w:val="00437FD6"/>
    <w:rsid w:val="0044018B"/>
    <w:rsid w:val="0044058A"/>
    <w:rsid w:val="004406F9"/>
    <w:rsid w:val="00440AEB"/>
    <w:rsid w:val="00440B94"/>
    <w:rsid w:val="0044109D"/>
    <w:rsid w:val="004412CC"/>
    <w:rsid w:val="00441390"/>
    <w:rsid w:val="004413B7"/>
    <w:rsid w:val="0044178D"/>
    <w:rsid w:val="004419B2"/>
    <w:rsid w:val="00441A55"/>
    <w:rsid w:val="00441AD3"/>
    <w:rsid w:val="00441AF9"/>
    <w:rsid w:val="00441E04"/>
    <w:rsid w:val="0044206C"/>
    <w:rsid w:val="00442283"/>
    <w:rsid w:val="004426E9"/>
    <w:rsid w:val="004428F5"/>
    <w:rsid w:val="00442F49"/>
    <w:rsid w:val="00442FED"/>
    <w:rsid w:val="0044311B"/>
    <w:rsid w:val="0044358F"/>
    <w:rsid w:val="0044371A"/>
    <w:rsid w:val="004437EC"/>
    <w:rsid w:val="004439B8"/>
    <w:rsid w:val="00443D3E"/>
    <w:rsid w:val="00443E3B"/>
    <w:rsid w:val="00443F0A"/>
    <w:rsid w:val="00443F86"/>
    <w:rsid w:val="004440EB"/>
    <w:rsid w:val="0044467D"/>
    <w:rsid w:val="00444884"/>
    <w:rsid w:val="00444DED"/>
    <w:rsid w:val="00444F73"/>
    <w:rsid w:val="004451A8"/>
    <w:rsid w:val="004453B3"/>
    <w:rsid w:val="004453C8"/>
    <w:rsid w:val="004456DB"/>
    <w:rsid w:val="00445A77"/>
    <w:rsid w:val="00445B13"/>
    <w:rsid w:val="00445C2D"/>
    <w:rsid w:val="00445D60"/>
    <w:rsid w:val="004464BD"/>
    <w:rsid w:val="004465FA"/>
    <w:rsid w:val="0044665A"/>
    <w:rsid w:val="004468CC"/>
    <w:rsid w:val="00446983"/>
    <w:rsid w:val="00446C20"/>
    <w:rsid w:val="00446CD3"/>
    <w:rsid w:val="00446DAB"/>
    <w:rsid w:val="00446E8C"/>
    <w:rsid w:val="00446F01"/>
    <w:rsid w:val="00446F09"/>
    <w:rsid w:val="0044721B"/>
    <w:rsid w:val="00447318"/>
    <w:rsid w:val="0044752E"/>
    <w:rsid w:val="004476C5"/>
    <w:rsid w:val="0044777D"/>
    <w:rsid w:val="0044787A"/>
    <w:rsid w:val="004478C0"/>
    <w:rsid w:val="00447AB1"/>
    <w:rsid w:val="00447C0A"/>
    <w:rsid w:val="0045015F"/>
    <w:rsid w:val="00450346"/>
    <w:rsid w:val="00450407"/>
    <w:rsid w:val="0045052B"/>
    <w:rsid w:val="00450597"/>
    <w:rsid w:val="0045061C"/>
    <w:rsid w:val="004506CE"/>
    <w:rsid w:val="00450A03"/>
    <w:rsid w:val="00450CC8"/>
    <w:rsid w:val="00450CF0"/>
    <w:rsid w:val="00451509"/>
    <w:rsid w:val="00451756"/>
    <w:rsid w:val="004517B2"/>
    <w:rsid w:val="00451807"/>
    <w:rsid w:val="0045182B"/>
    <w:rsid w:val="004519C2"/>
    <w:rsid w:val="00451CB2"/>
    <w:rsid w:val="00451F0F"/>
    <w:rsid w:val="004520A3"/>
    <w:rsid w:val="00452113"/>
    <w:rsid w:val="0045230C"/>
    <w:rsid w:val="00452402"/>
    <w:rsid w:val="00452663"/>
    <w:rsid w:val="0045282C"/>
    <w:rsid w:val="0045285F"/>
    <w:rsid w:val="004528DC"/>
    <w:rsid w:val="00452B45"/>
    <w:rsid w:val="00452F77"/>
    <w:rsid w:val="004532F2"/>
    <w:rsid w:val="00453384"/>
    <w:rsid w:val="0045357A"/>
    <w:rsid w:val="0045386D"/>
    <w:rsid w:val="00453BB7"/>
    <w:rsid w:val="00453DF0"/>
    <w:rsid w:val="00454167"/>
    <w:rsid w:val="004541A3"/>
    <w:rsid w:val="004542AB"/>
    <w:rsid w:val="00454553"/>
    <w:rsid w:val="00454CAB"/>
    <w:rsid w:val="00454DD1"/>
    <w:rsid w:val="00454E44"/>
    <w:rsid w:val="00455255"/>
    <w:rsid w:val="0045549E"/>
    <w:rsid w:val="00455872"/>
    <w:rsid w:val="00455B43"/>
    <w:rsid w:val="00455CB4"/>
    <w:rsid w:val="00455CC2"/>
    <w:rsid w:val="00455CF8"/>
    <w:rsid w:val="00455D1A"/>
    <w:rsid w:val="004561D4"/>
    <w:rsid w:val="004566C5"/>
    <w:rsid w:val="00456730"/>
    <w:rsid w:val="00456A1B"/>
    <w:rsid w:val="00456C6D"/>
    <w:rsid w:val="00456CC3"/>
    <w:rsid w:val="00456EDE"/>
    <w:rsid w:val="004570D0"/>
    <w:rsid w:val="00457167"/>
    <w:rsid w:val="00457241"/>
    <w:rsid w:val="00457364"/>
    <w:rsid w:val="004575A3"/>
    <w:rsid w:val="004575BC"/>
    <w:rsid w:val="004576C1"/>
    <w:rsid w:val="004577D2"/>
    <w:rsid w:val="0045798D"/>
    <w:rsid w:val="00457A65"/>
    <w:rsid w:val="00457AD2"/>
    <w:rsid w:val="00457AF3"/>
    <w:rsid w:val="00457D0F"/>
    <w:rsid w:val="00457F08"/>
    <w:rsid w:val="0046007F"/>
    <w:rsid w:val="00460128"/>
    <w:rsid w:val="00460149"/>
    <w:rsid w:val="0046073E"/>
    <w:rsid w:val="00460839"/>
    <w:rsid w:val="00460917"/>
    <w:rsid w:val="00460AE5"/>
    <w:rsid w:val="00460B89"/>
    <w:rsid w:val="00460E3A"/>
    <w:rsid w:val="004612CB"/>
    <w:rsid w:val="00461943"/>
    <w:rsid w:val="00461AE0"/>
    <w:rsid w:val="00461C6F"/>
    <w:rsid w:val="00461CB8"/>
    <w:rsid w:val="00461CD4"/>
    <w:rsid w:val="00462207"/>
    <w:rsid w:val="00462260"/>
    <w:rsid w:val="004624F0"/>
    <w:rsid w:val="0046262C"/>
    <w:rsid w:val="00462640"/>
    <w:rsid w:val="00462660"/>
    <w:rsid w:val="00462ACD"/>
    <w:rsid w:val="00462DC2"/>
    <w:rsid w:val="00462DEB"/>
    <w:rsid w:val="00462F56"/>
    <w:rsid w:val="004634D6"/>
    <w:rsid w:val="00463502"/>
    <w:rsid w:val="00463563"/>
    <w:rsid w:val="004636EC"/>
    <w:rsid w:val="004637DC"/>
    <w:rsid w:val="004637E6"/>
    <w:rsid w:val="0046383D"/>
    <w:rsid w:val="004638A8"/>
    <w:rsid w:val="00463E94"/>
    <w:rsid w:val="00463F24"/>
    <w:rsid w:val="00464266"/>
    <w:rsid w:val="00464576"/>
    <w:rsid w:val="004645A3"/>
    <w:rsid w:val="00464D71"/>
    <w:rsid w:val="00464ED5"/>
    <w:rsid w:val="00464FFC"/>
    <w:rsid w:val="004653C0"/>
    <w:rsid w:val="004656B8"/>
    <w:rsid w:val="00465BE5"/>
    <w:rsid w:val="0046669A"/>
    <w:rsid w:val="004666AA"/>
    <w:rsid w:val="00466700"/>
    <w:rsid w:val="00466759"/>
    <w:rsid w:val="00466AAB"/>
    <w:rsid w:val="00466D9D"/>
    <w:rsid w:val="00466F1C"/>
    <w:rsid w:val="004672C3"/>
    <w:rsid w:val="004673BD"/>
    <w:rsid w:val="00467438"/>
    <w:rsid w:val="004676EC"/>
    <w:rsid w:val="00467B40"/>
    <w:rsid w:val="00467B55"/>
    <w:rsid w:val="00467F51"/>
    <w:rsid w:val="00470125"/>
    <w:rsid w:val="0047028E"/>
    <w:rsid w:val="004703FF"/>
    <w:rsid w:val="00470647"/>
    <w:rsid w:val="00470710"/>
    <w:rsid w:val="004709F3"/>
    <w:rsid w:val="00470D87"/>
    <w:rsid w:val="00471063"/>
    <w:rsid w:val="0047161C"/>
    <w:rsid w:val="0047163D"/>
    <w:rsid w:val="004716EF"/>
    <w:rsid w:val="004718E5"/>
    <w:rsid w:val="00471ABB"/>
    <w:rsid w:val="00471D1A"/>
    <w:rsid w:val="00471FB4"/>
    <w:rsid w:val="0047227A"/>
    <w:rsid w:val="0047239A"/>
    <w:rsid w:val="004726BE"/>
    <w:rsid w:val="00472B9A"/>
    <w:rsid w:val="00472C6B"/>
    <w:rsid w:val="00472CAF"/>
    <w:rsid w:val="00472CD5"/>
    <w:rsid w:val="00472CD6"/>
    <w:rsid w:val="00472CDC"/>
    <w:rsid w:val="00473110"/>
    <w:rsid w:val="0047314E"/>
    <w:rsid w:val="00473257"/>
    <w:rsid w:val="004732EC"/>
    <w:rsid w:val="00473360"/>
    <w:rsid w:val="00473E15"/>
    <w:rsid w:val="00473F3D"/>
    <w:rsid w:val="00474110"/>
    <w:rsid w:val="0047423B"/>
    <w:rsid w:val="0047423C"/>
    <w:rsid w:val="0047444F"/>
    <w:rsid w:val="0047469B"/>
    <w:rsid w:val="00474760"/>
    <w:rsid w:val="00474A4D"/>
    <w:rsid w:val="00474DFC"/>
    <w:rsid w:val="00474E93"/>
    <w:rsid w:val="00474F8C"/>
    <w:rsid w:val="0047503C"/>
    <w:rsid w:val="004759B5"/>
    <w:rsid w:val="00475A27"/>
    <w:rsid w:val="00475C34"/>
    <w:rsid w:val="00475C72"/>
    <w:rsid w:val="00475C73"/>
    <w:rsid w:val="00475CF1"/>
    <w:rsid w:val="00475EE0"/>
    <w:rsid w:val="00475F46"/>
    <w:rsid w:val="00476064"/>
    <w:rsid w:val="0047614B"/>
    <w:rsid w:val="004761D4"/>
    <w:rsid w:val="004762A0"/>
    <w:rsid w:val="0047637A"/>
    <w:rsid w:val="0047688F"/>
    <w:rsid w:val="0047690D"/>
    <w:rsid w:val="00476BC1"/>
    <w:rsid w:val="00476C5B"/>
    <w:rsid w:val="004774A5"/>
    <w:rsid w:val="00477898"/>
    <w:rsid w:val="0047793A"/>
    <w:rsid w:val="00477CDF"/>
    <w:rsid w:val="00477D97"/>
    <w:rsid w:val="00477DCF"/>
    <w:rsid w:val="00477E2D"/>
    <w:rsid w:val="004802DA"/>
    <w:rsid w:val="004806ED"/>
    <w:rsid w:val="00480A3B"/>
    <w:rsid w:val="00480D2B"/>
    <w:rsid w:val="00480D56"/>
    <w:rsid w:val="00480DA2"/>
    <w:rsid w:val="00480DFE"/>
    <w:rsid w:val="00480EEA"/>
    <w:rsid w:val="0048116A"/>
    <w:rsid w:val="004812E2"/>
    <w:rsid w:val="004812EB"/>
    <w:rsid w:val="00481526"/>
    <w:rsid w:val="004816DA"/>
    <w:rsid w:val="00481A72"/>
    <w:rsid w:val="00481C66"/>
    <w:rsid w:val="00481F1E"/>
    <w:rsid w:val="00481FDA"/>
    <w:rsid w:val="0048216F"/>
    <w:rsid w:val="0048222F"/>
    <w:rsid w:val="0048276B"/>
    <w:rsid w:val="00482AB8"/>
    <w:rsid w:val="00482D4F"/>
    <w:rsid w:val="00482DBE"/>
    <w:rsid w:val="00482F29"/>
    <w:rsid w:val="004831EC"/>
    <w:rsid w:val="00483390"/>
    <w:rsid w:val="00483412"/>
    <w:rsid w:val="00483A4C"/>
    <w:rsid w:val="00483AC4"/>
    <w:rsid w:val="00483CEF"/>
    <w:rsid w:val="00483D4E"/>
    <w:rsid w:val="00483DD8"/>
    <w:rsid w:val="004843E1"/>
    <w:rsid w:val="004844A5"/>
    <w:rsid w:val="00484803"/>
    <w:rsid w:val="00484876"/>
    <w:rsid w:val="00484914"/>
    <w:rsid w:val="00484D50"/>
    <w:rsid w:val="00485001"/>
    <w:rsid w:val="004850D3"/>
    <w:rsid w:val="00485138"/>
    <w:rsid w:val="004851B4"/>
    <w:rsid w:val="004851CB"/>
    <w:rsid w:val="0048528D"/>
    <w:rsid w:val="00485595"/>
    <w:rsid w:val="00485681"/>
    <w:rsid w:val="00485B5F"/>
    <w:rsid w:val="00485B98"/>
    <w:rsid w:val="00485CE1"/>
    <w:rsid w:val="00485E1C"/>
    <w:rsid w:val="004860B5"/>
    <w:rsid w:val="004860E8"/>
    <w:rsid w:val="004864D4"/>
    <w:rsid w:val="00486654"/>
    <w:rsid w:val="00486698"/>
    <w:rsid w:val="0048692B"/>
    <w:rsid w:val="00486999"/>
    <w:rsid w:val="004869FE"/>
    <w:rsid w:val="004870E4"/>
    <w:rsid w:val="0048744B"/>
    <w:rsid w:val="00487549"/>
    <w:rsid w:val="004875FB"/>
    <w:rsid w:val="004876C1"/>
    <w:rsid w:val="00487897"/>
    <w:rsid w:val="004879D3"/>
    <w:rsid w:val="00487A7E"/>
    <w:rsid w:val="00487BC4"/>
    <w:rsid w:val="00487D7D"/>
    <w:rsid w:val="00487E26"/>
    <w:rsid w:val="00487E3C"/>
    <w:rsid w:val="00490066"/>
    <w:rsid w:val="004901B8"/>
    <w:rsid w:val="00490323"/>
    <w:rsid w:val="004904CE"/>
    <w:rsid w:val="0049062B"/>
    <w:rsid w:val="00490755"/>
    <w:rsid w:val="00490BFD"/>
    <w:rsid w:val="00490C24"/>
    <w:rsid w:val="00490D39"/>
    <w:rsid w:val="00490EAF"/>
    <w:rsid w:val="00491036"/>
    <w:rsid w:val="004915D6"/>
    <w:rsid w:val="0049161D"/>
    <w:rsid w:val="004918A1"/>
    <w:rsid w:val="00491B23"/>
    <w:rsid w:val="00491BB1"/>
    <w:rsid w:val="00492002"/>
    <w:rsid w:val="00492093"/>
    <w:rsid w:val="00492138"/>
    <w:rsid w:val="00492441"/>
    <w:rsid w:val="0049248B"/>
    <w:rsid w:val="00492626"/>
    <w:rsid w:val="004926B8"/>
    <w:rsid w:val="00492757"/>
    <w:rsid w:val="004932A4"/>
    <w:rsid w:val="00493480"/>
    <w:rsid w:val="004934CF"/>
    <w:rsid w:val="00493607"/>
    <w:rsid w:val="004936D4"/>
    <w:rsid w:val="0049382F"/>
    <w:rsid w:val="00493B66"/>
    <w:rsid w:val="00493BBF"/>
    <w:rsid w:val="00493DE8"/>
    <w:rsid w:val="00493E86"/>
    <w:rsid w:val="004946FF"/>
    <w:rsid w:val="0049471C"/>
    <w:rsid w:val="004948FF"/>
    <w:rsid w:val="00494AE3"/>
    <w:rsid w:val="00494B33"/>
    <w:rsid w:val="00494E17"/>
    <w:rsid w:val="00495456"/>
    <w:rsid w:val="0049555F"/>
    <w:rsid w:val="00495730"/>
    <w:rsid w:val="00495876"/>
    <w:rsid w:val="00495987"/>
    <w:rsid w:val="00495A49"/>
    <w:rsid w:val="00495BAB"/>
    <w:rsid w:val="004960C7"/>
    <w:rsid w:val="004965A7"/>
    <w:rsid w:val="0049677A"/>
    <w:rsid w:val="00496B13"/>
    <w:rsid w:val="00496C5F"/>
    <w:rsid w:val="00496D8B"/>
    <w:rsid w:val="00496E44"/>
    <w:rsid w:val="00497125"/>
    <w:rsid w:val="004973DE"/>
    <w:rsid w:val="00497672"/>
    <w:rsid w:val="004976F9"/>
    <w:rsid w:val="004978B8"/>
    <w:rsid w:val="00497D11"/>
    <w:rsid w:val="00497E4B"/>
    <w:rsid w:val="00497E8D"/>
    <w:rsid w:val="00497FDC"/>
    <w:rsid w:val="004A00F4"/>
    <w:rsid w:val="004A02F5"/>
    <w:rsid w:val="004A0393"/>
    <w:rsid w:val="004A03A3"/>
    <w:rsid w:val="004A046F"/>
    <w:rsid w:val="004A06A3"/>
    <w:rsid w:val="004A08AB"/>
    <w:rsid w:val="004A0B0F"/>
    <w:rsid w:val="004A0B33"/>
    <w:rsid w:val="004A0CC7"/>
    <w:rsid w:val="004A0ED7"/>
    <w:rsid w:val="004A120C"/>
    <w:rsid w:val="004A130A"/>
    <w:rsid w:val="004A13A5"/>
    <w:rsid w:val="004A1504"/>
    <w:rsid w:val="004A16EC"/>
    <w:rsid w:val="004A1F1F"/>
    <w:rsid w:val="004A2547"/>
    <w:rsid w:val="004A25BC"/>
    <w:rsid w:val="004A270D"/>
    <w:rsid w:val="004A29CB"/>
    <w:rsid w:val="004A29D2"/>
    <w:rsid w:val="004A3278"/>
    <w:rsid w:val="004A32E5"/>
    <w:rsid w:val="004A33F7"/>
    <w:rsid w:val="004A3685"/>
    <w:rsid w:val="004A3840"/>
    <w:rsid w:val="004A38EA"/>
    <w:rsid w:val="004A3D09"/>
    <w:rsid w:val="004A3DFA"/>
    <w:rsid w:val="004A3E7A"/>
    <w:rsid w:val="004A3E88"/>
    <w:rsid w:val="004A3EC2"/>
    <w:rsid w:val="004A3F3F"/>
    <w:rsid w:val="004A4069"/>
    <w:rsid w:val="004A450E"/>
    <w:rsid w:val="004A478D"/>
    <w:rsid w:val="004A4993"/>
    <w:rsid w:val="004A4CAD"/>
    <w:rsid w:val="004A51A5"/>
    <w:rsid w:val="004A53E7"/>
    <w:rsid w:val="004A5403"/>
    <w:rsid w:val="004A5448"/>
    <w:rsid w:val="004A5DE3"/>
    <w:rsid w:val="004A5F36"/>
    <w:rsid w:val="004A6391"/>
    <w:rsid w:val="004A63D7"/>
    <w:rsid w:val="004A64BF"/>
    <w:rsid w:val="004A6539"/>
    <w:rsid w:val="004A6578"/>
    <w:rsid w:val="004A670F"/>
    <w:rsid w:val="004A68A2"/>
    <w:rsid w:val="004A6967"/>
    <w:rsid w:val="004A6AA7"/>
    <w:rsid w:val="004A6AC1"/>
    <w:rsid w:val="004A6BA4"/>
    <w:rsid w:val="004A6D3F"/>
    <w:rsid w:val="004A6D68"/>
    <w:rsid w:val="004A6EFD"/>
    <w:rsid w:val="004A6F72"/>
    <w:rsid w:val="004A7458"/>
    <w:rsid w:val="004A7615"/>
    <w:rsid w:val="004A765C"/>
    <w:rsid w:val="004A7987"/>
    <w:rsid w:val="004A7A9A"/>
    <w:rsid w:val="004A7AE3"/>
    <w:rsid w:val="004B019A"/>
    <w:rsid w:val="004B0704"/>
    <w:rsid w:val="004B0804"/>
    <w:rsid w:val="004B082F"/>
    <w:rsid w:val="004B0875"/>
    <w:rsid w:val="004B0968"/>
    <w:rsid w:val="004B09A5"/>
    <w:rsid w:val="004B0AFC"/>
    <w:rsid w:val="004B0CF7"/>
    <w:rsid w:val="004B0F92"/>
    <w:rsid w:val="004B0FA6"/>
    <w:rsid w:val="004B1003"/>
    <w:rsid w:val="004B1292"/>
    <w:rsid w:val="004B1348"/>
    <w:rsid w:val="004B1500"/>
    <w:rsid w:val="004B170B"/>
    <w:rsid w:val="004B18CB"/>
    <w:rsid w:val="004B21EA"/>
    <w:rsid w:val="004B25A0"/>
    <w:rsid w:val="004B25A7"/>
    <w:rsid w:val="004B2740"/>
    <w:rsid w:val="004B2746"/>
    <w:rsid w:val="004B295A"/>
    <w:rsid w:val="004B29D6"/>
    <w:rsid w:val="004B2D36"/>
    <w:rsid w:val="004B2E14"/>
    <w:rsid w:val="004B3188"/>
    <w:rsid w:val="004B31C3"/>
    <w:rsid w:val="004B38C1"/>
    <w:rsid w:val="004B4C66"/>
    <w:rsid w:val="004B4FDA"/>
    <w:rsid w:val="004B50CB"/>
    <w:rsid w:val="004B513E"/>
    <w:rsid w:val="004B516B"/>
    <w:rsid w:val="004B5597"/>
    <w:rsid w:val="004B55CE"/>
    <w:rsid w:val="004B5699"/>
    <w:rsid w:val="004B59AA"/>
    <w:rsid w:val="004B5B79"/>
    <w:rsid w:val="004B5EF5"/>
    <w:rsid w:val="004B6048"/>
    <w:rsid w:val="004B61B7"/>
    <w:rsid w:val="004B6521"/>
    <w:rsid w:val="004B6653"/>
    <w:rsid w:val="004B6798"/>
    <w:rsid w:val="004B6849"/>
    <w:rsid w:val="004B688B"/>
    <w:rsid w:val="004B6977"/>
    <w:rsid w:val="004B6BB4"/>
    <w:rsid w:val="004B6C27"/>
    <w:rsid w:val="004B6D95"/>
    <w:rsid w:val="004B7112"/>
    <w:rsid w:val="004B7167"/>
    <w:rsid w:val="004B72AF"/>
    <w:rsid w:val="004B7365"/>
    <w:rsid w:val="004B74FA"/>
    <w:rsid w:val="004B75EA"/>
    <w:rsid w:val="004B782F"/>
    <w:rsid w:val="004B79AB"/>
    <w:rsid w:val="004B7A34"/>
    <w:rsid w:val="004B7BBF"/>
    <w:rsid w:val="004C0074"/>
    <w:rsid w:val="004C017D"/>
    <w:rsid w:val="004C023F"/>
    <w:rsid w:val="004C02B0"/>
    <w:rsid w:val="004C034A"/>
    <w:rsid w:val="004C034E"/>
    <w:rsid w:val="004C0619"/>
    <w:rsid w:val="004C08AD"/>
    <w:rsid w:val="004C0942"/>
    <w:rsid w:val="004C0A46"/>
    <w:rsid w:val="004C0B55"/>
    <w:rsid w:val="004C18C1"/>
    <w:rsid w:val="004C19D6"/>
    <w:rsid w:val="004C1A0B"/>
    <w:rsid w:val="004C1A5C"/>
    <w:rsid w:val="004C1FEF"/>
    <w:rsid w:val="004C1FFB"/>
    <w:rsid w:val="004C21AA"/>
    <w:rsid w:val="004C27CD"/>
    <w:rsid w:val="004C28AB"/>
    <w:rsid w:val="004C2B0A"/>
    <w:rsid w:val="004C2D11"/>
    <w:rsid w:val="004C2D44"/>
    <w:rsid w:val="004C2D77"/>
    <w:rsid w:val="004C2F9F"/>
    <w:rsid w:val="004C3053"/>
    <w:rsid w:val="004C331C"/>
    <w:rsid w:val="004C3439"/>
    <w:rsid w:val="004C355B"/>
    <w:rsid w:val="004C3643"/>
    <w:rsid w:val="004C367C"/>
    <w:rsid w:val="004C385E"/>
    <w:rsid w:val="004C40E5"/>
    <w:rsid w:val="004C4189"/>
    <w:rsid w:val="004C42ED"/>
    <w:rsid w:val="004C43CB"/>
    <w:rsid w:val="004C4525"/>
    <w:rsid w:val="004C49E0"/>
    <w:rsid w:val="004C4A10"/>
    <w:rsid w:val="004C4F36"/>
    <w:rsid w:val="004C5327"/>
    <w:rsid w:val="004C53BC"/>
    <w:rsid w:val="004C5487"/>
    <w:rsid w:val="004C556C"/>
    <w:rsid w:val="004C55FC"/>
    <w:rsid w:val="004C561B"/>
    <w:rsid w:val="004C590A"/>
    <w:rsid w:val="004C5A34"/>
    <w:rsid w:val="004C5CC5"/>
    <w:rsid w:val="004C5DFE"/>
    <w:rsid w:val="004C5F20"/>
    <w:rsid w:val="004C5F2A"/>
    <w:rsid w:val="004C5F94"/>
    <w:rsid w:val="004C6026"/>
    <w:rsid w:val="004C6093"/>
    <w:rsid w:val="004C64F7"/>
    <w:rsid w:val="004C672A"/>
    <w:rsid w:val="004C67E6"/>
    <w:rsid w:val="004C68EB"/>
    <w:rsid w:val="004C6BEA"/>
    <w:rsid w:val="004C6F6C"/>
    <w:rsid w:val="004C6FF7"/>
    <w:rsid w:val="004C6FF8"/>
    <w:rsid w:val="004C7230"/>
    <w:rsid w:val="004C7320"/>
    <w:rsid w:val="004C7483"/>
    <w:rsid w:val="004C74C9"/>
    <w:rsid w:val="004C785D"/>
    <w:rsid w:val="004C7D21"/>
    <w:rsid w:val="004C7EA5"/>
    <w:rsid w:val="004C7F17"/>
    <w:rsid w:val="004C7F68"/>
    <w:rsid w:val="004D007E"/>
    <w:rsid w:val="004D02FA"/>
    <w:rsid w:val="004D03B9"/>
    <w:rsid w:val="004D03F3"/>
    <w:rsid w:val="004D03F5"/>
    <w:rsid w:val="004D06F6"/>
    <w:rsid w:val="004D0719"/>
    <w:rsid w:val="004D0AD2"/>
    <w:rsid w:val="004D0B75"/>
    <w:rsid w:val="004D0D9F"/>
    <w:rsid w:val="004D0EB3"/>
    <w:rsid w:val="004D0F89"/>
    <w:rsid w:val="004D0FED"/>
    <w:rsid w:val="004D115D"/>
    <w:rsid w:val="004D14B5"/>
    <w:rsid w:val="004D1721"/>
    <w:rsid w:val="004D1736"/>
    <w:rsid w:val="004D18A1"/>
    <w:rsid w:val="004D1BDE"/>
    <w:rsid w:val="004D1D75"/>
    <w:rsid w:val="004D1D7F"/>
    <w:rsid w:val="004D1ECC"/>
    <w:rsid w:val="004D2210"/>
    <w:rsid w:val="004D2307"/>
    <w:rsid w:val="004D28BE"/>
    <w:rsid w:val="004D2CAD"/>
    <w:rsid w:val="004D3031"/>
    <w:rsid w:val="004D3474"/>
    <w:rsid w:val="004D36B2"/>
    <w:rsid w:val="004D3A35"/>
    <w:rsid w:val="004D3C7F"/>
    <w:rsid w:val="004D3DA8"/>
    <w:rsid w:val="004D3E46"/>
    <w:rsid w:val="004D3F0B"/>
    <w:rsid w:val="004D423D"/>
    <w:rsid w:val="004D444D"/>
    <w:rsid w:val="004D4966"/>
    <w:rsid w:val="004D4D71"/>
    <w:rsid w:val="004D4F35"/>
    <w:rsid w:val="004D4F6E"/>
    <w:rsid w:val="004D50E4"/>
    <w:rsid w:val="004D5592"/>
    <w:rsid w:val="004D5664"/>
    <w:rsid w:val="004D5850"/>
    <w:rsid w:val="004D5A43"/>
    <w:rsid w:val="004D6007"/>
    <w:rsid w:val="004D637E"/>
    <w:rsid w:val="004D6421"/>
    <w:rsid w:val="004D6607"/>
    <w:rsid w:val="004D664A"/>
    <w:rsid w:val="004D668F"/>
    <w:rsid w:val="004D6810"/>
    <w:rsid w:val="004D6904"/>
    <w:rsid w:val="004D6B45"/>
    <w:rsid w:val="004D6D10"/>
    <w:rsid w:val="004D701A"/>
    <w:rsid w:val="004D710D"/>
    <w:rsid w:val="004D7395"/>
    <w:rsid w:val="004D7A6B"/>
    <w:rsid w:val="004D7B14"/>
    <w:rsid w:val="004D7E81"/>
    <w:rsid w:val="004E06A6"/>
    <w:rsid w:val="004E0963"/>
    <w:rsid w:val="004E0A47"/>
    <w:rsid w:val="004E0E3A"/>
    <w:rsid w:val="004E1010"/>
    <w:rsid w:val="004E1219"/>
    <w:rsid w:val="004E12F3"/>
    <w:rsid w:val="004E16DE"/>
    <w:rsid w:val="004E181D"/>
    <w:rsid w:val="004E1AD7"/>
    <w:rsid w:val="004E1B19"/>
    <w:rsid w:val="004E1BEF"/>
    <w:rsid w:val="004E1E56"/>
    <w:rsid w:val="004E243D"/>
    <w:rsid w:val="004E28DB"/>
    <w:rsid w:val="004E2928"/>
    <w:rsid w:val="004E2B4B"/>
    <w:rsid w:val="004E2BF1"/>
    <w:rsid w:val="004E2FE0"/>
    <w:rsid w:val="004E3093"/>
    <w:rsid w:val="004E30E4"/>
    <w:rsid w:val="004E34F2"/>
    <w:rsid w:val="004E37F1"/>
    <w:rsid w:val="004E3965"/>
    <w:rsid w:val="004E3999"/>
    <w:rsid w:val="004E3E91"/>
    <w:rsid w:val="004E3E95"/>
    <w:rsid w:val="004E4022"/>
    <w:rsid w:val="004E4087"/>
    <w:rsid w:val="004E408D"/>
    <w:rsid w:val="004E42AF"/>
    <w:rsid w:val="004E4426"/>
    <w:rsid w:val="004E4561"/>
    <w:rsid w:val="004E4767"/>
    <w:rsid w:val="004E48C3"/>
    <w:rsid w:val="004E4AB5"/>
    <w:rsid w:val="004E4D80"/>
    <w:rsid w:val="004E4E52"/>
    <w:rsid w:val="004E5418"/>
    <w:rsid w:val="004E546F"/>
    <w:rsid w:val="004E55AF"/>
    <w:rsid w:val="004E5799"/>
    <w:rsid w:val="004E59AD"/>
    <w:rsid w:val="004E5BA9"/>
    <w:rsid w:val="004E5E04"/>
    <w:rsid w:val="004E5E6F"/>
    <w:rsid w:val="004E5EA8"/>
    <w:rsid w:val="004E5ED0"/>
    <w:rsid w:val="004E6132"/>
    <w:rsid w:val="004E661E"/>
    <w:rsid w:val="004E66E6"/>
    <w:rsid w:val="004E6826"/>
    <w:rsid w:val="004E6843"/>
    <w:rsid w:val="004E68D2"/>
    <w:rsid w:val="004E6948"/>
    <w:rsid w:val="004E6CB0"/>
    <w:rsid w:val="004E6CFE"/>
    <w:rsid w:val="004E6F1A"/>
    <w:rsid w:val="004E6FD7"/>
    <w:rsid w:val="004E7134"/>
    <w:rsid w:val="004E72A0"/>
    <w:rsid w:val="004E78AF"/>
    <w:rsid w:val="004E7CFB"/>
    <w:rsid w:val="004E7D4C"/>
    <w:rsid w:val="004E7F3F"/>
    <w:rsid w:val="004E7F6E"/>
    <w:rsid w:val="004F0016"/>
    <w:rsid w:val="004F0146"/>
    <w:rsid w:val="004F015A"/>
    <w:rsid w:val="004F01A6"/>
    <w:rsid w:val="004F0443"/>
    <w:rsid w:val="004F06C0"/>
    <w:rsid w:val="004F0817"/>
    <w:rsid w:val="004F0A16"/>
    <w:rsid w:val="004F0B3F"/>
    <w:rsid w:val="004F0B71"/>
    <w:rsid w:val="004F0E6A"/>
    <w:rsid w:val="004F105F"/>
    <w:rsid w:val="004F10AD"/>
    <w:rsid w:val="004F146B"/>
    <w:rsid w:val="004F147D"/>
    <w:rsid w:val="004F1605"/>
    <w:rsid w:val="004F1782"/>
    <w:rsid w:val="004F18F1"/>
    <w:rsid w:val="004F1BE7"/>
    <w:rsid w:val="004F1C71"/>
    <w:rsid w:val="004F1E87"/>
    <w:rsid w:val="004F2090"/>
    <w:rsid w:val="004F2118"/>
    <w:rsid w:val="004F244B"/>
    <w:rsid w:val="004F24C4"/>
    <w:rsid w:val="004F25B2"/>
    <w:rsid w:val="004F25E2"/>
    <w:rsid w:val="004F27BE"/>
    <w:rsid w:val="004F28A1"/>
    <w:rsid w:val="004F2F07"/>
    <w:rsid w:val="004F30FF"/>
    <w:rsid w:val="004F3134"/>
    <w:rsid w:val="004F327E"/>
    <w:rsid w:val="004F3421"/>
    <w:rsid w:val="004F3452"/>
    <w:rsid w:val="004F3C46"/>
    <w:rsid w:val="004F3CDF"/>
    <w:rsid w:val="004F3F9E"/>
    <w:rsid w:val="004F3FDC"/>
    <w:rsid w:val="004F406D"/>
    <w:rsid w:val="004F42B5"/>
    <w:rsid w:val="004F43D8"/>
    <w:rsid w:val="004F45BD"/>
    <w:rsid w:val="004F48E6"/>
    <w:rsid w:val="004F4F11"/>
    <w:rsid w:val="004F5038"/>
    <w:rsid w:val="004F5103"/>
    <w:rsid w:val="004F5151"/>
    <w:rsid w:val="004F5252"/>
    <w:rsid w:val="004F5577"/>
    <w:rsid w:val="004F5879"/>
    <w:rsid w:val="004F58EE"/>
    <w:rsid w:val="004F5FC9"/>
    <w:rsid w:val="004F628B"/>
    <w:rsid w:val="004F64EE"/>
    <w:rsid w:val="004F6703"/>
    <w:rsid w:val="004F6A31"/>
    <w:rsid w:val="004F6B26"/>
    <w:rsid w:val="004F6C1E"/>
    <w:rsid w:val="004F6C56"/>
    <w:rsid w:val="004F6D6D"/>
    <w:rsid w:val="004F6E91"/>
    <w:rsid w:val="004F7250"/>
    <w:rsid w:val="004F7285"/>
    <w:rsid w:val="004F76E0"/>
    <w:rsid w:val="004F7703"/>
    <w:rsid w:val="004F775A"/>
    <w:rsid w:val="004F775B"/>
    <w:rsid w:val="004F784B"/>
    <w:rsid w:val="004F7960"/>
    <w:rsid w:val="004F7A85"/>
    <w:rsid w:val="004F7B77"/>
    <w:rsid w:val="005001B3"/>
    <w:rsid w:val="0050036B"/>
    <w:rsid w:val="005003E3"/>
    <w:rsid w:val="00500679"/>
    <w:rsid w:val="005006FA"/>
    <w:rsid w:val="005007A1"/>
    <w:rsid w:val="0050080A"/>
    <w:rsid w:val="005008D9"/>
    <w:rsid w:val="00500924"/>
    <w:rsid w:val="0050092B"/>
    <w:rsid w:val="00500930"/>
    <w:rsid w:val="00500982"/>
    <w:rsid w:val="00500DEE"/>
    <w:rsid w:val="00500F4C"/>
    <w:rsid w:val="00501132"/>
    <w:rsid w:val="005012B2"/>
    <w:rsid w:val="00501A03"/>
    <w:rsid w:val="00501ADB"/>
    <w:rsid w:val="00501BC9"/>
    <w:rsid w:val="00501C3F"/>
    <w:rsid w:val="00501FD1"/>
    <w:rsid w:val="00502546"/>
    <w:rsid w:val="005026DE"/>
    <w:rsid w:val="00502954"/>
    <w:rsid w:val="00502A2C"/>
    <w:rsid w:val="00502CE6"/>
    <w:rsid w:val="00502E1B"/>
    <w:rsid w:val="00502E6B"/>
    <w:rsid w:val="005033B8"/>
    <w:rsid w:val="0050342E"/>
    <w:rsid w:val="00503A35"/>
    <w:rsid w:val="00503DB0"/>
    <w:rsid w:val="00504236"/>
    <w:rsid w:val="00504242"/>
    <w:rsid w:val="005042D3"/>
    <w:rsid w:val="00504652"/>
    <w:rsid w:val="005047A3"/>
    <w:rsid w:val="005048FF"/>
    <w:rsid w:val="00504CE9"/>
    <w:rsid w:val="00504E70"/>
    <w:rsid w:val="00504FF5"/>
    <w:rsid w:val="00505112"/>
    <w:rsid w:val="00505132"/>
    <w:rsid w:val="00505148"/>
    <w:rsid w:val="005051BC"/>
    <w:rsid w:val="00505324"/>
    <w:rsid w:val="005053B6"/>
    <w:rsid w:val="005056FB"/>
    <w:rsid w:val="005058BF"/>
    <w:rsid w:val="00505AB7"/>
    <w:rsid w:val="00505AC0"/>
    <w:rsid w:val="00505BE9"/>
    <w:rsid w:val="00505F1A"/>
    <w:rsid w:val="00506271"/>
    <w:rsid w:val="005062BB"/>
    <w:rsid w:val="00506415"/>
    <w:rsid w:val="00506446"/>
    <w:rsid w:val="0050689F"/>
    <w:rsid w:val="005069D9"/>
    <w:rsid w:val="00506A43"/>
    <w:rsid w:val="00506A4E"/>
    <w:rsid w:val="00506AFF"/>
    <w:rsid w:val="00506DE7"/>
    <w:rsid w:val="00506DF6"/>
    <w:rsid w:val="00506EF1"/>
    <w:rsid w:val="00507079"/>
    <w:rsid w:val="005072A7"/>
    <w:rsid w:val="005074AB"/>
    <w:rsid w:val="005074C3"/>
    <w:rsid w:val="005075BD"/>
    <w:rsid w:val="005077F6"/>
    <w:rsid w:val="00507889"/>
    <w:rsid w:val="00507DB8"/>
    <w:rsid w:val="0050D4E6"/>
    <w:rsid w:val="0051046F"/>
    <w:rsid w:val="005105E9"/>
    <w:rsid w:val="00510758"/>
    <w:rsid w:val="00510946"/>
    <w:rsid w:val="0051095D"/>
    <w:rsid w:val="00510B7A"/>
    <w:rsid w:val="00510D2D"/>
    <w:rsid w:val="00510EE7"/>
    <w:rsid w:val="00511319"/>
    <w:rsid w:val="005115B6"/>
    <w:rsid w:val="005118C2"/>
    <w:rsid w:val="00511B54"/>
    <w:rsid w:val="00511F3E"/>
    <w:rsid w:val="00512269"/>
    <w:rsid w:val="00512466"/>
    <w:rsid w:val="00512571"/>
    <w:rsid w:val="005125F2"/>
    <w:rsid w:val="005125FE"/>
    <w:rsid w:val="005126E2"/>
    <w:rsid w:val="005127A7"/>
    <w:rsid w:val="00512A7E"/>
    <w:rsid w:val="00512A95"/>
    <w:rsid w:val="00512AE6"/>
    <w:rsid w:val="00512B54"/>
    <w:rsid w:val="00513060"/>
    <w:rsid w:val="005131A2"/>
    <w:rsid w:val="0051362D"/>
    <w:rsid w:val="00513709"/>
    <w:rsid w:val="0051378F"/>
    <w:rsid w:val="00513AAF"/>
    <w:rsid w:val="00513DF9"/>
    <w:rsid w:val="00513E76"/>
    <w:rsid w:val="00513EDE"/>
    <w:rsid w:val="00513F0E"/>
    <w:rsid w:val="00513F93"/>
    <w:rsid w:val="005143A3"/>
    <w:rsid w:val="0051446B"/>
    <w:rsid w:val="005145B8"/>
    <w:rsid w:val="0051465E"/>
    <w:rsid w:val="00514B57"/>
    <w:rsid w:val="00514F87"/>
    <w:rsid w:val="0051501D"/>
    <w:rsid w:val="00515559"/>
    <w:rsid w:val="00515835"/>
    <w:rsid w:val="0051585A"/>
    <w:rsid w:val="00515A87"/>
    <w:rsid w:val="00515AC7"/>
    <w:rsid w:val="00515C9C"/>
    <w:rsid w:val="00515EBC"/>
    <w:rsid w:val="00515FBE"/>
    <w:rsid w:val="005162C1"/>
    <w:rsid w:val="0051679C"/>
    <w:rsid w:val="005167C1"/>
    <w:rsid w:val="00516851"/>
    <w:rsid w:val="00516A6E"/>
    <w:rsid w:val="00516D32"/>
    <w:rsid w:val="00517209"/>
    <w:rsid w:val="0051766F"/>
    <w:rsid w:val="005176C8"/>
    <w:rsid w:val="005177AD"/>
    <w:rsid w:val="005178D1"/>
    <w:rsid w:val="00517966"/>
    <w:rsid w:val="00517C66"/>
    <w:rsid w:val="00517D3B"/>
    <w:rsid w:val="00517DED"/>
    <w:rsid w:val="005200D1"/>
    <w:rsid w:val="0052029E"/>
    <w:rsid w:val="005205A0"/>
    <w:rsid w:val="005205CA"/>
    <w:rsid w:val="00520764"/>
    <w:rsid w:val="005208EF"/>
    <w:rsid w:val="00520CC3"/>
    <w:rsid w:val="00520D24"/>
    <w:rsid w:val="00521090"/>
    <w:rsid w:val="005211AF"/>
    <w:rsid w:val="005212E5"/>
    <w:rsid w:val="00521343"/>
    <w:rsid w:val="00521587"/>
    <w:rsid w:val="005217D4"/>
    <w:rsid w:val="005219DB"/>
    <w:rsid w:val="00521D7B"/>
    <w:rsid w:val="00521E1F"/>
    <w:rsid w:val="00522066"/>
    <w:rsid w:val="0052214D"/>
    <w:rsid w:val="0052232C"/>
    <w:rsid w:val="00522527"/>
    <w:rsid w:val="005229A6"/>
    <w:rsid w:val="00522A74"/>
    <w:rsid w:val="00522F4A"/>
    <w:rsid w:val="00523081"/>
    <w:rsid w:val="0052352E"/>
    <w:rsid w:val="005239EA"/>
    <w:rsid w:val="00523AFF"/>
    <w:rsid w:val="00523BA5"/>
    <w:rsid w:val="00523C3B"/>
    <w:rsid w:val="005240FC"/>
    <w:rsid w:val="00524107"/>
    <w:rsid w:val="0052441A"/>
    <w:rsid w:val="00524641"/>
    <w:rsid w:val="0052469C"/>
    <w:rsid w:val="00524718"/>
    <w:rsid w:val="0052482E"/>
    <w:rsid w:val="005249A4"/>
    <w:rsid w:val="00525046"/>
    <w:rsid w:val="0052518A"/>
    <w:rsid w:val="005252E2"/>
    <w:rsid w:val="0052581B"/>
    <w:rsid w:val="00525914"/>
    <w:rsid w:val="00525A8C"/>
    <w:rsid w:val="00525C0E"/>
    <w:rsid w:val="00525C7C"/>
    <w:rsid w:val="00525CC8"/>
    <w:rsid w:val="00525D85"/>
    <w:rsid w:val="00525DF4"/>
    <w:rsid w:val="00525EBC"/>
    <w:rsid w:val="00526359"/>
    <w:rsid w:val="005263F6"/>
    <w:rsid w:val="005264FE"/>
    <w:rsid w:val="00526514"/>
    <w:rsid w:val="005267BA"/>
    <w:rsid w:val="00526921"/>
    <w:rsid w:val="00526A7C"/>
    <w:rsid w:val="00526C3E"/>
    <w:rsid w:val="00526DD9"/>
    <w:rsid w:val="00526E13"/>
    <w:rsid w:val="00526FA4"/>
    <w:rsid w:val="00527028"/>
    <w:rsid w:val="00527064"/>
    <w:rsid w:val="00527734"/>
    <w:rsid w:val="005277FF"/>
    <w:rsid w:val="0052786B"/>
    <w:rsid w:val="00527FD7"/>
    <w:rsid w:val="00530255"/>
    <w:rsid w:val="00530540"/>
    <w:rsid w:val="0053090D"/>
    <w:rsid w:val="00530A57"/>
    <w:rsid w:val="00530AB8"/>
    <w:rsid w:val="005313A5"/>
    <w:rsid w:val="00531445"/>
    <w:rsid w:val="005315EF"/>
    <w:rsid w:val="00531672"/>
    <w:rsid w:val="005319DA"/>
    <w:rsid w:val="00531C78"/>
    <w:rsid w:val="00531EBA"/>
    <w:rsid w:val="005322FE"/>
    <w:rsid w:val="00532B0C"/>
    <w:rsid w:val="00532B20"/>
    <w:rsid w:val="00532CBF"/>
    <w:rsid w:val="00532DB8"/>
    <w:rsid w:val="00533068"/>
    <w:rsid w:val="005333DA"/>
    <w:rsid w:val="005335A2"/>
    <w:rsid w:val="00533660"/>
    <w:rsid w:val="0053371C"/>
    <w:rsid w:val="00533735"/>
    <w:rsid w:val="0053392E"/>
    <w:rsid w:val="00533961"/>
    <w:rsid w:val="00533BAF"/>
    <w:rsid w:val="00533C24"/>
    <w:rsid w:val="00533F3A"/>
    <w:rsid w:val="005340E2"/>
    <w:rsid w:val="00534110"/>
    <w:rsid w:val="00534366"/>
    <w:rsid w:val="005343CA"/>
    <w:rsid w:val="00534602"/>
    <w:rsid w:val="00534741"/>
    <w:rsid w:val="00534CD7"/>
    <w:rsid w:val="00534D68"/>
    <w:rsid w:val="00534E73"/>
    <w:rsid w:val="00534EA8"/>
    <w:rsid w:val="005350DD"/>
    <w:rsid w:val="0053580A"/>
    <w:rsid w:val="00535B4E"/>
    <w:rsid w:val="00535EA7"/>
    <w:rsid w:val="00535F98"/>
    <w:rsid w:val="005362A3"/>
    <w:rsid w:val="00536316"/>
    <w:rsid w:val="005367B1"/>
    <w:rsid w:val="005367F3"/>
    <w:rsid w:val="00536819"/>
    <w:rsid w:val="005368BB"/>
    <w:rsid w:val="00536ABE"/>
    <w:rsid w:val="00536AEB"/>
    <w:rsid w:val="00536E7F"/>
    <w:rsid w:val="00537134"/>
    <w:rsid w:val="0053737A"/>
    <w:rsid w:val="00537481"/>
    <w:rsid w:val="005375E5"/>
    <w:rsid w:val="005377E0"/>
    <w:rsid w:val="005378CC"/>
    <w:rsid w:val="0053792E"/>
    <w:rsid w:val="00537B72"/>
    <w:rsid w:val="00537E8A"/>
    <w:rsid w:val="00540130"/>
    <w:rsid w:val="0054039F"/>
    <w:rsid w:val="00540418"/>
    <w:rsid w:val="005405B4"/>
    <w:rsid w:val="00540684"/>
    <w:rsid w:val="005406DC"/>
    <w:rsid w:val="00540812"/>
    <w:rsid w:val="0054090A"/>
    <w:rsid w:val="005409CF"/>
    <w:rsid w:val="00540BAF"/>
    <w:rsid w:val="00540C6E"/>
    <w:rsid w:val="00540EF0"/>
    <w:rsid w:val="00540F66"/>
    <w:rsid w:val="00541284"/>
    <w:rsid w:val="00541349"/>
    <w:rsid w:val="005415E0"/>
    <w:rsid w:val="005419DE"/>
    <w:rsid w:val="00541CA2"/>
    <w:rsid w:val="00541EE2"/>
    <w:rsid w:val="00541F25"/>
    <w:rsid w:val="00541FB6"/>
    <w:rsid w:val="00541FF4"/>
    <w:rsid w:val="00541FF6"/>
    <w:rsid w:val="00542160"/>
    <w:rsid w:val="00542376"/>
    <w:rsid w:val="0054270C"/>
    <w:rsid w:val="00542771"/>
    <w:rsid w:val="00542862"/>
    <w:rsid w:val="00542996"/>
    <w:rsid w:val="005429C4"/>
    <w:rsid w:val="00542B87"/>
    <w:rsid w:val="00542E3E"/>
    <w:rsid w:val="00543191"/>
    <w:rsid w:val="005433EA"/>
    <w:rsid w:val="00543690"/>
    <w:rsid w:val="00543784"/>
    <w:rsid w:val="00543AF1"/>
    <w:rsid w:val="00543B34"/>
    <w:rsid w:val="00543D10"/>
    <w:rsid w:val="00543D52"/>
    <w:rsid w:val="00543DF4"/>
    <w:rsid w:val="00544019"/>
    <w:rsid w:val="005442CD"/>
    <w:rsid w:val="00544446"/>
    <w:rsid w:val="005445FE"/>
    <w:rsid w:val="00544730"/>
    <w:rsid w:val="0054490A"/>
    <w:rsid w:val="00544AE5"/>
    <w:rsid w:val="00544BDF"/>
    <w:rsid w:val="005450F9"/>
    <w:rsid w:val="00545295"/>
    <w:rsid w:val="0054558D"/>
    <w:rsid w:val="0054581E"/>
    <w:rsid w:val="00545D47"/>
    <w:rsid w:val="00545E2C"/>
    <w:rsid w:val="0054608A"/>
    <w:rsid w:val="0054624E"/>
    <w:rsid w:val="005462FB"/>
    <w:rsid w:val="00546317"/>
    <w:rsid w:val="00546349"/>
    <w:rsid w:val="005464B8"/>
    <w:rsid w:val="0054668F"/>
    <w:rsid w:val="005466EB"/>
    <w:rsid w:val="005468E0"/>
    <w:rsid w:val="00546A1F"/>
    <w:rsid w:val="00546A71"/>
    <w:rsid w:val="00546A84"/>
    <w:rsid w:val="00546CEC"/>
    <w:rsid w:val="00546DE3"/>
    <w:rsid w:val="00546EA5"/>
    <w:rsid w:val="0054710D"/>
    <w:rsid w:val="005471AC"/>
    <w:rsid w:val="005477A5"/>
    <w:rsid w:val="005479A3"/>
    <w:rsid w:val="00547B6C"/>
    <w:rsid w:val="00547ED8"/>
    <w:rsid w:val="005502D2"/>
    <w:rsid w:val="005503BA"/>
    <w:rsid w:val="005503F1"/>
    <w:rsid w:val="00550636"/>
    <w:rsid w:val="00550687"/>
    <w:rsid w:val="00550744"/>
    <w:rsid w:val="00550938"/>
    <w:rsid w:val="00550A20"/>
    <w:rsid w:val="00550C9F"/>
    <w:rsid w:val="00550EF0"/>
    <w:rsid w:val="00550FBF"/>
    <w:rsid w:val="00551205"/>
    <w:rsid w:val="0055143B"/>
    <w:rsid w:val="005515EE"/>
    <w:rsid w:val="005519D9"/>
    <w:rsid w:val="005520D3"/>
    <w:rsid w:val="0055223C"/>
    <w:rsid w:val="00552567"/>
    <w:rsid w:val="005525EC"/>
    <w:rsid w:val="0055278C"/>
    <w:rsid w:val="005527FA"/>
    <w:rsid w:val="00552910"/>
    <w:rsid w:val="00552BEA"/>
    <w:rsid w:val="00552BF9"/>
    <w:rsid w:val="005532D0"/>
    <w:rsid w:val="00553398"/>
    <w:rsid w:val="00553484"/>
    <w:rsid w:val="005536F8"/>
    <w:rsid w:val="00553794"/>
    <w:rsid w:val="005539AE"/>
    <w:rsid w:val="00553C8B"/>
    <w:rsid w:val="00553E22"/>
    <w:rsid w:val="0055400D"/>
    <w:rsid w:val="00554232"/>
    <w:rsid w:val="00554312"/>
    <w:rsid w:val="00554329"/>
    <w:rsid w:val="00554376"/>
    <w:rsid w:val="00554434"/>
    <w:rsid w:val="005546D1"/>
    <w:rsid w:val="00554960"/>
    <w:rsid w:val="0055496C"/>
    <w:rsid w:val="005549A5"/>
    <w:rsid w:val="00554DF8"/>
    <w:rsid w:val="00554E43"/>
    <w:rsid w:val="00555126"/>
    <w:rsid w:val="005553C5"/>
    <w:rsid w:val="005554C7"/>
    <w:rsid w:val="0055552C"/>
    <w:rsid w:val="00555871"/>
    <w:rsid w:val="005559D6"/>
    <w:rsid w:val="00555A05"/>
    <w:rsid w:val="00555AEC"/>
    <w:rsid w:val="00555BE2"/>
    <w:rsid w:val="00555F73"/>
    <w:rsid w:val="0055612F"/>
    <w:rsid w:val="0055625B"/>
    <w:rsid w:val="005562E8"/>
    <w:rsid w:val="005564D9"/>
    <w:rsid w:val="00556631"/>
    <w:rsid w:val="00556780"/>
    <w:rsid w:val="005568EC"/>
    <w:rsid w:val="005576AD"/>
    <w:rsid w:val="0055771F"/>
    <w:rsid w:val="00557824"/>
    <w:rsid w:val="005578B7"/>
    <w:rsid w:val="005579E9"/>
    <w:rsid w:val="00557CE8"/>
    <w:rsid w:val="0056028B"/>
    <w:rsid w:val="005603B3"/>
    <w:rsid w:val="0056073B"/>
    <w:rsid w:val="00560CB0"/>
    <w:rsid w:val="00560D3B"/>
    <w:rsid w:val="00560D75"/>
    <w:rsid w:val="00560EA5"/>
    <w:rsid w:val="005611EF"/>
    <w:rsid w:val="005612AD"/>
    <w:rsid w:val="005618E2"/>
    <w:rsid w:val="00561D00"/>
    <w:rsid w:val="00561F7E"/>
    <w:rsid w:val="00562078"/>
    <w:rsid w:val="00562084"/>
    <w:rsid w:val="00562195"/>
    <w:rsid w:val="005622B0"/>
    <w:rsid w:val="00562342"/>
    <w:rsid w:val="0056237B"/>
    <w:rsid w:val="00562383"/>
    <w:rsid w:val="0056239F"/>
    <w:rsid w:val="0056287D"/>
    <w:rsid w:val="00562C0A"/>
    <w:rsid w:val="00562E61"/>
    <w:rsid w:val="00562EEA"/>
    <w:rsid w:val="00563123"/>
    <w:rsid w:val="005631EA"/>
    <w:rsid w:val="00563610"/>
    <w:rsid w:val="00563746"/>
    <w:rsid w:val="00563BFF"/>
    <w:rsid w:val="00563CB1"/>
    <w:rsid w:val="00563EBA"/>
    <w:rsid w:val="00563F50"/>
    <w:rsid w:val="00563F6C"/>
    <w:rsid w:val="005640DE"/>
    <w:rsid w:val="00564782"/>
    <w:rsid w:val="00564918"/>
    <w:rsid w:val="005649B8"/>
    <w:rsid w:val="00564F1C"/>
    <w:rsid w:val="00564F59"/>
    <w:rsid w:val="00565178"/>
    <w:rsid w:val="0056531E"/>
    <w:rsid w:val="00565551"/>
    <w:rsid w:val="00565565"/>
    <w:rsid w:val="005657A9"/>
    <w:rsid w:val="0056588F"/>
    <w:rsid w:val="00565B06"/>
    <w:rsid w:val="00565C25"/>
    <w:rsid w:val="00565E7A"/>
    <w:rsid w:val="0056664D"/>
    <w:rsid w:val="005666D3"/>
    <w:rsid w:val="00566742"/>
    <w:rsid w:val="00566B79"/>
    <w:rsid w:val="00566C3E"/>
    <w:rsid w:val="00566CE6"/>
    <w:rsid w:val="00566D2C"/>
    <w:rsid w:val="005670B1"/>
    <w:rsid w:val="00567224"/>
    <w:rsid w:val="00567239"/>
    <w:rsid w:val="0056756C"/>
    <w:rsid w:val="005675D8"/>
    <w:rsid w:val="0056760A"/>
    <w:rsid w:val="0056765A"/>
    <w:rsid w:val="00567725"/>
    <w:rsid w:val="0056794B"/>
    <w:rsid w:val="00567963"/>
    <w:rsid w:val="00567A25"/>
    <w:rsid w:val="00567B44"/>
    <w:rsid w:val="00567B5E"/>
    <w:rsid w:val="00567BDA"/>
    <w:rsid w:val="00567C55"/>
    <w:rsid w:val="00567E94"/>
    <w:rsid w:val="00570427"/>
    <w:rsid w:val="005706CF"/>
    <w:rsid w:val="005709D9"/>
    <w:rsid w:val="00570ABC"/>
    <w:rsid w:val="00570ADE"/>
    <w:rsid w:val="00570E9C"/>
    <w:rsid w:val="005711A1"/>
    <w:rsid w:val="005712DA"/>
    <w:rsid w:val="00571581"/>
    <w:rsid w:val="005716D8"/>
    <w:rsid w:val="005717FF"/>
    <w:rsid w:val="00571E0B"/>
    <w:rsid w:val="00571E58"/>
    <w:rsid w:val="00571FD6"/>
    <w:rsid w:val="0057208C"/>
    <w:rsid w:val="0057222F"/>
    <w:rsid w:val="0057224E"/>
    <w:rsid w:val="0057229F"/>
    <w:rsid w:val="005726D1"/>
    <w:rsid w:val="0057274C"/>
    <w:rsid w:val="0057278A"/>
    <w:rsid w:val="005729E5"/>
    <w:rsid w:val="00572DFD"/>
    <w:rsid w:val="00572E38"/>
    <w:rsid w:val="00573028"/>
    <w:rsid w:val="00573286"/>
    <w:rsid w:val="0057329A"/>
    <w:rsid w:val="00573791"/>
    <w:rsid w:val="005737BD"/>
    <w:rsid w:val="0057388B"/>
    <w:rsid w:val="005738AD"/>
    <w:rsid w:val="00573915"/>
    <w:rsid w:val="00573A95"/>
    <w:rsid w:val="005741DB"/>
    <w:rsid w:val="00574A8E"/>
    <w:rsid w:val="00574C91"/>
    <w:rsid w:val="00574E99"/>
    <w:rsid w:val="00574F5D"/>
    <w:rsid w:val="0057504D"/>
    <w:rsid w:val="00575370"/>
    <w:rsid w:val="0057550D"/>
    <w:rsid w:val="00575D17"/>
    <w:rsid w:val="00575E1D"/>
    <w:rsid w:val="00576163"/>
    <w:rsid w:val="00576539"/>
    <w:rsid w:val="005766A5"/>
    <w:rsid w:val="005768D3"/>
    <w:rsid w:val="005769E5"/>
    <w:rsid w:val="00576AC9"/>
    <w:rsid w:val="00576B0C"/>
    <w:rsid w:val="00576F9E"/>
    <w:rsid w:val="00577123"/>
    <w:rsid w:val="005771A5"/>
    <w:rsid w:val="00577984"/>
    <w:rsid w:val="005779AA"/>
    <w:rsid w:val="00577B9B"/>
    <w:rsid w:val="00577D1A"/>
    <w:rsid w:val="00577FF6"/>
    <w:rsid w:val="00580139"/>
    <w:rsid w:val="0058021E"/>
    <w:rsid w:val="00580630"/>
    <w:rsid w:val="005807FC"/>
    <w:rsid w:val="005809F5"/>
    <w:rsid w:val="00580F99"/>
    <w:rsid w:val="005813B6"/>
    <w:rsid w:val="0058170B"/>
    <w:rsid w:val="0058172A"/>
    <w:rsid w:val="0058186C"/>
    <w:rsid w:val="0058196E"/>
    <w:rsid w:val="00581ABF"/>
    <w:rsid w:val="00581C67"/>
    <w:rsid w:val="00581F1C"/>
    <w:rsid w:val="00582045"/>
    <w:rsid w:val="005820B0"/>
    <w:rsid w:val="005828EA"/>
    <w:rsid w:val="00582A7B"/>
    <w:rsid w:val="00582C20"/>
    <w:rsid w:val="00582C4F"/>
    <w:rsid w:val="00582E7D"/>
    <w:rsid w:val="00582F14"/>
    <w:rsid w:val="0058336A"/>
    <w:rsid w:val="0058364A"/>
    <w:rsid w:val="00583708"/>
    <w:rsid w:val="00583811"/>
    <w:rsid w:val="00583896"/>
    <w:rsid w:val="00583909"/>
    <w:rsid w:val="00583DCA"/>
    <w:rsid w:val="00583FF6"/>
    <w:rsid w:val="0058406D"/>
    <w:rsid w:val="00584732"/>
    <w:rsid w:val="0058494A"/>
    <w:rsid w:val="00584B1E"/>
    <w:rsid w:val="00584B4A"/>
    <w:rsid w:val="00584CC5"/>
    <w:rsid w:val="00584D51"/>
    <w:rsid w:val="00584D99"/>
    <w:rsid w:val="0058505F"/>
    <w:rsid w:val="005850FE"/>
    <w:rsid w:val="005856CF"/>
    <w:rsid w:val="0058571F"/>
    <w:rsid w:val="00585876"/>
    <w:rsid w:val="00585A59"/>
    <w:rsid w:val="00585C4F"/>
    <w:rsid w:val="00585C72"/>
    <w:rsid w:val="00586051"/>
    <w:rsid w:val="005860C1"/>
    <w:rsid w:val="00586363"/>
    <w:rsid w:val="00586490"/>
    <w:rsid w:val="0058693E"/>
    <w:rsid w:val="00586A8A"/>
    <w:rsid w:val="00586CEF"/>
    <w:rsid w:val="00586E24"/>
    <w:rsid w:val="00586E2B"/>
    <w:rsid w:val="00586EE4"/>
    <w:rsid w:val="0058705B"/>
    <w:rsid w:val="00587089"/>
    <w:rsid w:val="0058716C"/>
    <w:rsid w:val="005878F0"/>
    <w:rsid w:val="00587E37"/>
    <w:rsid w:val="00590108"/>
    <w:rsid w:val="0059014A"/>
    <w:rsid w:val="005901A5"/>
    <w:rsid w:val="00590496"/>
    <w:rsid w:val="00590B09"/>
    <w:rsid w:val="00590B5F"/>
    <w:rsid w:val="00590E0C"/>
    <w:rsid w:val="005911D3"/>
    <w:rsid w:val="005912B0"/>
    <w:rsid w:val="00591427"/>
    <w:rsid w:val="005916B4"/>
    <w:rsid w:val="00591D79"/>
    <w:rsid w:val="00591DC8"/>
    <w:rsid w:val="00591DE8"/>
    <w:rsid w:val="005920DB"/>
    <w:rsid w:val="0059236A"/>
    <w:rsid w:val="00592624"/>
    <w:rsid w:val="00592D2C"/>
    <w:rsid w:val="00592FB2"/>
    <w:rsid w:val="00593294"/>
    <w:rsid w:val="005932BD"/>
    <w:rsid w:val="0059395A"/>
    <w:rsid w:val="00593AB8"/>
    <w:rsid w:val="00593C4C"/>
    <w:rsid w:val="00593CB4"/>
    <w:rsid w:val="00593CCE"/>
    <w:rsid w:val="00593F2C"/>
    <w:rsid w:val="00594093"/>
    <w:rsid w:val="00594346"/>
    <w:rsid w:val="0059455D"/>
    <w:rsid w:val="005945D9"/>
    <w:rsid w:val="00594903"/>
    <w:rsid w:val="00594973"/>
    <w:rsid w:val="005949ED"/>
    <w:rsid w:val="00594ACC"/>
    <w:rsid w:val="00594BC4"/>
    <w:rsid w:val="00595069"/>
    <w:rsid w:val="00595201"/>
    <w:rsid w:val="00595536"/>
    <w:rsid w:val="0059553E"/>
    <w:rsid w:val="00595568"/>
    <w:rsid w:val="0059558D"/>
    <w:rsid w:val="005955AC"/>
    <w:rsid w:val="00595974"/>
    <w:rsid w:val="00595C79"/>
    <w:rsid w:val="00596150"/>
    <w:rsid w:val="00596207"/>
    <w:rsid w:val="005964CA"/>
    <w:rsid w:val="005964E2"/>
    <w:rsid w:val="0059686A"/>
    <w:rsid w:val="00596B2F"/>
    <w:rsid w:val="0059708E"/>
    <w:rsid w:val="005970C5"/>
    <w:rsid w:val="0059726C"/>
    <w:rsid w:val="00597402"/>
    <w:rsid w:val="0059767D"/>
    <w:rsid w:val="00597749"/>
    <w:rsid w:val="00597BB7"/>
    <w:rsid w:val="005A05D1"/>
    <w:rsid w:val="005A085E"/>
    <w:rsid w:val="005A08F3"/>
    <w:rsid w:val="005A08F4"/>
    <w:rsid w:val="005A0B9C"/>
    <w:rsid w:val="005A0C04"/>
    <w:rsid w:val="005A0D6A"/>
    <w:rsid w:val="005A1014"/>
    <w:rsid w:val="005A12B5"/>
    <w:rsid w:val="005A152B"/>
    <w:rsid w:val="005A15FA"/>
    <w:rsid w:val="005A180F"/>
    <w:rsid w:val="005A1B13"/>
    <w:rsid w:val="005A1BEF"/>
    <w:rsid w:val="005A1D74"/>
    <w:rsid w:val="005A1F92"/>
    <w:rsid w:val="005A20A0"/>
    <w:rsid w:val="005A20AA"/>
    <w:rsid w:val="005A23F4"/>
    <w:rsid w:val="005A2441"/>
    <w:rsid w:val="005A25BD"/>
    <w:rsid w:val="005A2734"/>
    <w:rsid w:val="005A2973"/>
    <w:rsid w:val="005A29C6"/>
    <w:rsid w:val="005A2A0B"/>
    <w:rsid w:val="005A2A2E"/>
    <w:rsid w:val="005A2E7B"/>
    <w:rsid w:val="005A2EBF"/>
    <w:rsid w:val="005A3017"/>
    <w:rsid w:val="005A3152"/>
    <w:rsid w:val="005A3545"/>
    <w:rsid w:val="005A37A5"/>
    <w:rsid w:val="005A37C6"/>
    <w:rsid w:val="005A382A"/>
    <w:rsid w:val="005A3A08"/>
    <w:rsid w:val="005A3B16"/>
    <w:rsid w:val="005A3BF2"/>
    <w:rsid w:val="005A3E92"/>
    <w:rsid w:val="005A3F75"/>
    <w:rsid w:val="005A451B"/>
    <w:rsid w:val="005A48CE"/>
    <w:rsid w:val="005A496D"/>
    <w:rsid w:val="005A4A29"/>
    <w:rsid w:val="005A4ADC"/>
    <w:rsid w:val="005A4BF6"/>
    <w:rsid w:val="005A4EBA"/>
    <w:rsid w:val="005A54AC"/>
    <w:rsid w:val="005A54E5"/>
    <w:rsid w:val="005A58BD"/>
    <w:rsid w:val="005A58D5"/>
    <w:rsid w:val="005A5E1B"/>
    <w:rsid w:val="005A64DB"/>
    <w:rsid w:val="005A66FE"/>
    <w:rsid w:val="005A6758"/>
    <w:rsid w:val="005A683F"/>
    <w:rsid w:val="005A688C"/>
    <w:rsid w:val="005A6BE9"/>
    <w:rsid w:val="005A6DED"/>
    <w:rsid w:val="005A721B"/>
    <w:rsid w:val="005A798B"/>
    <w:rsid w:val="005A7CD4"/>
    <w:rsid w:val="005B0167"/>
    <w:rsid w:val="005B0421"/>
    <w:rsid w:val="005B084E"/>
    <w:rsid w:val="005B0877"/>
    <w:rsid w:val="005B0C05"/>
    <w:rsid w:val="005B0DE1"/>
    <w:rsid w:val="005B0E30"/>
    <w:rsid w:val="005B0E93"/>
    <w:rsid w:val="005B0EFA"/>
    <w:rsid w:val="005B0EFB"/>
    <w:rsid w:val="005B11C0"/>
    <w:rsid w:val="005B13CE"/>
    <w:rsid w:val="005B1449"/>
    <w:rsid w:val="005B1485"/>
    <w:rsid w:val="005B15DC"/>
    <w:rsid w:val="005B1762"/>
    <w:rsid w:val="005B1C70"/>
    <w:rsid w:val="005B1E0F"/>
    <w:rsid w:val="005B1E1F"/>
    <w:rsid w:val="005B1ED7"/>
    <w:rsid w:val="005B215E"/>
    <w:rsid w:val="005B21E0"/>
    <w:rsid w:val="005B2383"/>
    <w:rsid w:val="005B2459"/>
    <w:rsid w:val="005B24BB"/>
    <w:rsid w:val="005B26D9"/>
    <w:rsid w:val="005B2CB5"/>
    <w:rsid w:val="005B2D9C"/>
    <w:rsid w:val="005B313A"/>
    <w:rsid w:val="005B31AD"/>
    <w:rsid w:val="005B32A2"/>
    <w:rsid w:val="005B32C3"/>
    <w:rsid w:val="005B3655"/>
    <w:rsid w:val="005B3764"/>
    <w:rsid w:val="005B3AAD"/>
    <w:rsid w:val="005B3AB9"/>
    <w:rsid w:val="005B3BCA"/>
    <w:rsid w:val="005B3CC7"/>
    <w:rsid w:val="005B3EFC"/>
    <w:rsid w:val="005B41A8"/>
    <w:rsid w:val="005B41C0"/>
    <w:rsid w:val="005B4282"/>
    <w:rsid w:val="005B428A"/>
    <w:rsid w:val="005B448B"/>
    <w:rsid w:val="005B4494"/>
    <w:rsid w:val="005B44A3"/>
    <w:rsid w:val="005B4536"/>
    <w:rsid w:val="005B4722"/>
    <w:rsid w:val="005B487F"/>
    <w:rsid w:val="005B4963"/>
    <w:rsid w:val="005B5039"/>
    <w:rsid w:val="005B51C5"/>
    <w:rsid w:val="005B5437"/>
    <w:rsid w:val="005B5633"/>
    <w:rsid w:val="005B5643"/>
    <w:rsid w:val="005B5746"/>
    <w:rsid w:val="005B579D"/>
    <w:rsid w:val="005B57C1"/>
    <w:rsid w:val="005B59EB"/>
    <w:rsid w:val="005B5C7B"/>
    <w:rsid w:val="005B5CA8"/>
    <w:rsid w:val="005B6144"/>
    <w:rsid w:val="005B6209"/>
    <w:rsid w:val="005B632A"/>
    <w:rsid w:val="005B64B3"/>
    <w:rsid w:val="005B64CC"/>
    <w:rsid w:val="005B6553"/>
    <w:rsid w:val="005B66D6"/>
    <w:rsid w:val="005B694A"/>
    <w:rsid w:val="005B6C56"/>
    <w:rsid w:val="005B6E86"/>
    <w:rsid w:val="005B70D2"/>
    <w:rsid w:val="005B70F2"/>
    <w:rsid w:val="005B75A6"/>
    <w:rsid w:val="005B7D46"/>
    <w:rsid w:val="005B7E4D"/>
    <w:rsid w:val="005C0179"/>
    <w:rsid w:val="005C0216"/>
    <w:rsid w:val="005C0509"/>
    <w:rsid w:val="005C08DA"/>
    <w:rsid w:val="005C08F3"/>
    <w:rsid w:val="005C0A07"/>
    <w:rsid w:val="005C0A20"/>
    <w:rsid w:val="005C0AC0"/>
    <w:rsid w:val="005C109B"/>
    <w:rsid w:val="005C1368"/>
    <w:rsid w:val="005C13B2"/>
    <w:rsid w:val="005C1581"/>
    <w:rsid w:val="005C15AF"/>
    <w:rsid w:val="005C16BC"/>
    <w:rsid w:val="005C16C5"/>
    <w:rsid w:val="005C1703"/>
    <w:rsid w:val="005C176D"/>
    <w:rsid w:val="005C17C4"/>
    <w:rsid w:val="005C1B15"/>
    <w:rsid w:val="005C1C46"/>
    <w:rsid w:val="005C1D91"/>
    <w:rsid w:val="005C1DD7"/>
    <w:rsid w:val="005C229E"/>
    <w:rsid w:val="005C245B"/>
    <w:rsid w:val="005C28F7"/>
    <w:rsid w:val="005C29FD"/>
    <w:rsid w:val="005C2A84"/>
    <w:rsid w:val="005C2C6C"/>
    <w:rsid w:val="005C2DA0"/>
    <w:rsid w:val="005C2F1D"/>
    <w:rsid w:val="005C3320"/>
    <w:rsid w:val="005C35BC"/>
    <w:rsid w:val="005C39D4"/>
    <w:rsid w:val="005C3BC7"/>
    <w:rsid w:val="005C3CB0"/>
    <w:rsid w:val="005C4179"/>
    <w:rsid w:val="005C426E"/>
    <w:rsid w:val="005C42A0"/>
    <w:rsid w:val="005C4366"/>
    <w:rsid w:val="005C452E"/>
    <w:rsid w:val="005C46D7"/>
    <w:rsid w:val="005C4812"/>
    <w:rsid w:val="005C4865"/>
    <w:rsid w:val="005C4935"/>
    <w:rsid w:val="005C4D1D"/>
    <w:rsid w:val="005C4F69"/>
    <w:rsid w:val="005C50FD"/>
    <w:rsid w:val="005C5254"/>
    <w:rsid w:val="005C52EC"/>
    <w:rsid w:val="005C5656"/>
    <w:rsid w:val="005C5AB5"/>
    <w:rsid w:val="005C5BB8"/>
    <w:rsid w:val="005C5C39"/>
    <w:rsid w:val="005C5E03"/>
    <w:rsid w:val="005C5ED1"/>
    <w:rsid w:val="005C5F38"/>
    <w:rsid w:val="005C62F8"/>
    <w:rsid w:val="005C69DA"/>
    <w:rsid w:val="005C6BE2"/>
    <w:rsid w:val="005C6EFE"/>
    <w:rsid w:val="005C71C9"/>
    <w:rsid w:val="005C7345"/>
    <w:rsid w:val="005C7556"/>
    <w:rsid w:val="005C776D"/>
    <w:rsid w:val="005C7799"/>
    <w:rsid w:val="005C7B3D"/>
    <w:rsid w:val="005C7F73"/>
    <w:rsid w:val="005D03E5"/>
    <w:rsid w:val="005D0739"/>
    <w:rsid w:val="005D0779"/>
    <w:rsid w:val="005D0864"/>
    <w:rsid w:val="005D08AF"/>
    <w:rsid w:val="005D0A42"/>
    <w:rsid w:val="005D0CEE"/>
    <w:rsid w:val="005D0D8C"/>
    <w:rsid w:val="005D0E67"/>
    <w:rsid w:val="005D0E79"/>
    <w:rsid w:val="005D0F12"/>
    <w:rsid w:val="005D105D"/>
    <w:rsid w:val="005D10D9"/>
    <w:rsid w:val="005D1144"/>
    <w:rsid w:val="005D11C4"/>
    <w:rsid w:val="005D1277"/>
    <w:rsid w:val="005D151B"/>
    <w:rsid w:val="005D1600"/>
    <w:rsid w:val="005D1745"/>
    <w:rsid w:val="005D1828"/>
    <w:rsid w:val="005D1885"/>
    <w:rsid w:val="005D201C"/>
    <w:rsid w:val="005D23A5"/>
    <w:rsid w:val="005D24B1"/>
    <w:rsid w:val="005D25DF"/>
    <w:rsid w:val="005D2683"/>
    <w:rsid w:val="005D26BC"/>
    <w:rsid w:val="005D27C1"/>
    <w:rsid w:val="005D287E"/>
    <w:rsid w:val="005D297D"/>
    <w:rsid w:val="005D2B03"/>
    <w:rsid w:val="005D2DF9"/>
    <w:rsid w:val="005D30FB"/>
    <w:rsid w:val="005D31F5"/>
    <w:rsid w:val="005D3339"/>
    <w:rsid w:val="005D3761"/>
    <w:rsid w:val="005D39DD"/>
    <w:rsid w:val="005D3A5D"/>
    <w:rsid w:val="005D3A8C"/>
    <w:rsid w:val="005D3B8B"/>
    <w:rsid w:val="005D3D27"/>
    <w:rsid w:val="005D44FC"/>
    <w:rsid w:val="005D45E6"/>
    <w:rsid w:val="005D4749"/>
    <w:rsid w:val="005D49B0"/>
    <w:rsid w:val="005D4AB8"/>
    <w:rsid w:val="005D4AE1"/>
    <w:rsid w:val="005D4D1F"/>
    <w:rsid w:val="005D5015"/>
    <w:rsid w:val="005D5098"/>
    <w:rsid w:val="005D512D"/>
    <w:rsid w:val="005D528C"/>
    <w:rsid w:val="005D5475"/>
    <w:rsid w:val="005D5484"/>
    <w:rsid w:val="005D5519"/>
    <w:rsid w:val="005D5557"/>
    <w:rsid w:val="005D58D5"/>
    <w:rsid w:val="005D5CE0"/>
    <w:rsid w:val="005D6144"/>
    <w:rsid w:val="005D6454"/>
    <w:rsid w:val="005D649E"/>
    <w:rsid w:val="005D65C5"/>
    <w:rsid w:val="005D6CB9"/>
    <w:rsid w:val="005D6E16"/>
    <w:rsid w:val="005D6F84"/>
    <w:rsid w:val="005D7151"/>
    <w:rsid w:val="005D73B7"/>
    <w:rsid w:val="005D73FA"/>
    <w:rsid w:val="005D74E9"/>
    <w:rsid w:val="005D7863"/>
    <w:rsid w:val="005D7903"/>
    <w:rsid w:val="005D7E46"/>
    <w:rsid w:val="005E02CB"/>
    <w:rsid w:val="005E0396"/>
    <w:rsid w:val="005E04CC"/>
    <w:rsid w:val="005E09B3"/>
    <w:rsid w:val="005E0BBC"/>
    <w:rsid w:val="005E1417"/>
    <w:rsid w:val="005E14A7"/>
    <w:rsid w:val="005E14DE"/>
    <w:rsid w:val="005E14FF"/>
    <w:rsid w:val="005E195D"/>
    <w:rsid w:val="005E1981"/>
    <w:rsid w:val="005E1D42"/>
    <w:rsid w:val="005E1F83"/>
    <w:rsid w:val="005E2133"/>
    <w:rsid w:val="005E24A5"/>
    <w:rsid w:val="005E264E"/>
    <w:rsid w:val="005E26E0"/>
    <w:rsid w:val="005E27CE"/>
    <w:rsid w:val="005E298A"/>
    <w:rsid w:val="005E29CA"/>
    <w:rsid w:val="005E2AF3"/>
    <w:rsid w:val="005E2BE0"/>
    <w:rsid w:val="005E2D0C"/>
    <w:rsid w:val="005E2D34"/>
    <w:rsid w:val="005E2E59"/>
    <w:rsid w:val="005E350E"/>
    <w:rsid w:val="005E37F1"/>
    <w:rsid w:val="005E3C9F"/>
    <w:rsid w:val="005E3FDB"/>
    <w:rsid w:val="005E4575"/>
    <w:rsid w:val="005E481E"/>
    <w:rsid w:val="005E483A"/>
    <w:rsid w:val="005E489C"/>
    <w:rsid w:val="005E4941"/>
    <w:rsid w:val="005E4BB6"/>
    <w:rsid w:val="005E4D6E"/>
    <w:rsid w:val="005E4ECF"/>
    <w:rsid w:val="005E4F41"/>
    <w:rsid w:val="005E50D4"/>
    <w:rsid w:val="005E54FF"/>
    <w:rsid w:val="005E5951"/>
    <w:rsid w:val="005E595C"/>
    <w:rsid w:val="005E596E"/>
    <w:rsid w:val="005E5C50"/>
    <w:rsid w:val="005E5E72"/>
    <w:rsid w:val="005E62A4"/>
    <w:rsid w:val="005E6718"/>
    <w:rsid w:val="005E6B41"/>
    <w:rsid w:val="005E6CAD"/>
    <w:rsid w:val="005E6F12"/>
    <w:rsid w:val="005E7023"/>
    <w:rsid w:val="005E70A0"/>
    <w:rsid w:val="005E7525"/>
    <w:rsid w:val="005E770F"/>
    <w:rsid w:val="005E77F6"/>
    <w:rsid w:val="005E7A30"/>
    <w:rsid w:val="005E7B9E"/>
    <w:rsid w:val="005E7DA3"/>
    <w:rsid w:val="005F008F"/>
    <w:rsid w:val="005F0314"/>
    <w:rsid w:val="005F050B"/>
    <w:rsid w:val="005F0757"/>
    <w:rsid w:val="005F07C0"/>
    <w:rsid w:val="005F0BDB"/>
    <w:rsid w:val="005F0D22"/>
    <w:rsid w:val="005F121B"/>
    <w:rsid w:val="005F1355"/>
    <w:rsid w:val="005F169E"/>
    <w:rsid w:val="005F182D"/>
    <w:rsid w:val="005F1850"/>
    <w:rsid w:val="005F1B36"/>
    <w:rsid w:val="005F1B58"/>
    <w:rsid w:val="005F1DEE"/>
    <w:rsid w:val="005F1F4A"/>
    <w:rsid w:val="005F260B"/>
    <w:rsid w:val="005F299E"/>
    <w:rsid w:val="005F2B2B"/>
    <w:rsid w:val="005F2BE8"/>
    <w:rsid w:val="005F2E1F"/>
    <w:rsid w:val="005F3017"/>
    <w:rsid w:val="005F301B"/>
    <w:rsid w:val="005F3214"/>
    <w:rsid w:val="005F33A1"/>
    <w:rsid w:val="005F360A"/>
    <w:rsid w:val="005F36A5"/>
    <w:rsid w:val="005F3794"/>
    <w:rsid w:val="005F38BD"/>
    <w:rsid w:val="005F38F2"/>
    <w:rsid w:val="005F3D0B"/>
    <w:rsid w:val="005F4216"/>
    <w:rsid w:val="005F484E"/>
    <w:rsid w:val="005F4C25"/>
    <w:rsid w:val="005F4E83"/>
    <w:rsid w:val="005F4F76"/>
    <w:rsid w:val="005F53F9"/>
    <w:rsid w:val="005F5498"/>
    <w:rsid w:val="005F54AC"/>
    <w:rsid w:val="005F5515"/>
    <w:rsid w:val="005F5633"/>
    <w:rsid w:val="005F5894"/>
    <w:rsid w:val="005F5954"/>
    <w:rsid w:val="005F60E7"/>
    <w:rsid w:val="005F6588"/>
    <w:rsid w:val="005F6617"/>
    <w:rsid w:val="005F6652"/>
    <w:rsid w:val="005F668B"/>
    <w:rsid w:val="005F696C"/>
    <w:rsid w:val="005F6BF4"/>
    <w:rsid w:val="005F6D8C"/>
    <w:rsid w:val="005F7A77"/>
    <w:rsid w:val="005F7B08"/>
    <w:rsid w:val="005F7B99"/>
    <w:rsid w:val="005F7D41"/>
    <w:rsid w:val="006000C4"/>
    <w:rsid w:val="0060043F"/>
    <w:rsid w:val="006009C3"/>
    <w:rsid w:val="00600FB0"/>
    <w:rsid w:val="00601412"/>
    <w:rsid w:val="006016EA"/>
    <w:rsid w:val="0060173B"/>
    <w:rsid w:val="00601FC7"/>
    <w:rsid w:val="00601FD6"/>
    <w:rsid w:val="0060207B"/>
    <w:rsid w:val="006022DB"/>
    <w:rsid w:val="0060232D"/>
    <w:rsid w:val="00602461"/>
    <w:rsid w:val="00602781"/>
    <w:rsid w:val="00602A62"/>
    <w:rsid w:val="00602D28"/>
    <w:rsid w:val="00602DC9"/>
    <w:rsid w:val="00602F14"/>
    <w:rsid w:val="00603076"/>
    <w:rsid w:val="006032A3"/>
    <w:rsid w:val="0060367F"/>
    <w:rsid w:val="00603998"/>
    <w:rsid w:val="00603E4F"/>
    <w:rsid w:val="00603E6C"/>
    <w:rsid w:val="00604049"/>
    <w:rsid w:val="0060415F"/>
    <w:rsid w:val="00604182"/>
    <w:rsid w:val="006041CF"/>
    <w:rsid w:val="0060420C"/>
    <w:rsid w:val="0060438D"/>
    <w:rsid w:val="006043FA"/>
    <w:rsid w:val="006044E7"/>
    <w:rsid w:val="0060485C"/>
    <w:rsid w:val="00604AE6"/>
    <w:rsid w:val="00604F5B"/>
    <w:rsid w:val="00605158"/>
    <w:rsid w:val="00605501"/>
    <w:rsid w:val="006055BC"/>
    <w:rsid w:val="006058A1"/>
    <w:rsid w:val="006058FD"/>
    <w:rsid w:val="00605AFF"/>
    <w:rsid w:val="00605BBA"/>
    <w:rsid w:val="00605EEC"/>
    <w:rsid w:val="00606007"/>
    <w:rsid w:val="006062CA"/>
    <w:rsid w:val="00606363"/>
    <w:rsid w:val="006066B7"/>
    <w:rsid w:val="0060676E"/>
    <w:rsid w:val="00606C0D"/>
    <w:rsid w:val="00606FD7"/>
    <w:rsid w:val="006072FC"/>
    <w:rsid w:val="00607322"/>
    <w:rsid w:val="006073AF"/>
    <w:rsid w:val="006075C1"/>
    <w:rsid w:val="006076F0"/>
    <w:rsid w:val="006077E0"/>
    <w:rsid w:val="00607969"/>
    <w:rsid w:val="00607C45"/>
    <w:rsid w:val="00607D37"/>
    <w:rsid w:val="00607D45"/>
    <w:rsid w:val="00607D53"/>
    <w:rsid w:val="006100CD"/>
    <w:rsid w:val="0061082A"/>
    <w:rsid w:val="00610C59"/>
    <w:rsid w:val="00610CD7"/>
    <w:rsid w:val="00610D78"/>
    <w:rsid w:val="0061125C"/>
    <w:rsid w:val="0061129C"/>
    <w:rsid w:val="0061139D"/>
    <w:rsid w:val="0061153D"/>
    <w:rsid w:val="0061161F"/>
    <w:rsid w:val="00611A05"/>
    <w:rsid w:val="00611D37"/>
    <w:rsid w:val="00611E8C"/>
    <w:rsid w:val="00611F41"/>
    <w:rsid w:val="006120D2"/>
    <w:rsid w:val="006123B3"/>
    <w:rsid w:val="00612441"/>
    <w:rsid w:val="0061246C"/>
    <w:rsid w:val="006125F1"/>
    <w:rsid w:val="0061282D"/>
    <w:rsid w:val="00612854"/>
    <w:rsid w:val="00612B63"/>
    <w:rsid w:val="00612C5E"/>
    <w:rsid w:val="00612F03"/>
    <w:rsid w:val="0061317E"/>
    <w:rsid w:val="006135FD"/>
    <w:rsid w:val="00613628"/>
    <w:rsid w:val="00613799"/>
    <w:rsid w:val="00613946"/>
    <w:rsid w:val="00613F15"/>
    <w:rsid w:val="006141C2"/>
    <w:rsid w:val="00614265"/>
    <w:rsid w:val="00614355"/>
    <w:rsid w:val="00614452"/>
    <w:rsid w:val="0061450F"/>
    <w:rsid w:val="006145CF"/>
    <w:rsid w:val="006146B6"/>
    <w:rsid w:val="00614D9A"/>
    <w:rsid w:val="00615020"/>
    <w:rsid w:val="0061502D"/>
    <w:rsid w:val="00615139"/>
    <w:rsid w:val="006153E7"/>
    <w:rsid w:val="006155AD"/>
    <w:rsid w:val="006157FF"/>
    <w:rsid w:val="00615880"/>
    <w:rsid w:val="00615A1E"/>
    <w:rsid w:val="00615BFF"/>
    <w:rsid w:val="00615E3B"/>
    <w:rsid w:val="00616059"/>
    <w:rsid w:val="006160A8"/>
    <w:rsid w:val="006162A5"/>
    <w:rsid w:val="006164DC"/>
    <w:rsid w:val="0061651A"/>
    <w:rsid w:val="006166B4"/>
    <w:rsid w:val="00616886"/>
    <w:rsid w:val="00616C55"/>
    <w:rsid w:val="00616E37"/>
    <w:rsid w:val="00616F26"/>
    <w:rsid w:val="0061701D"/>
    <w:rsid w:val="0061720A"/>
    <w:rsid w:val="006172B7"/>
    <w:rsid w:val="006173DC"/>
    <w:rsid w:val="0061754A"/>
    <w:rsid w:val="006177F3"/>
    <w:rsid w:val="00617DA8"/>
    <w:rsid w:val="00617E3F"/>
    <w:rsid w:val="00617E44"/>
    <w:rsid w:val="00617E91"/>
    <w:rsid w:val="00617F7E"/>
    <w:rsid w:val="0062012F"/>
    <w:rsid w:val="0062017B"/>
    <w:rsid w:val="006205D9"/>
    <w:rsid w:val="00620ACE"/>
    <w:rsid w:val="00620BC0"/>
    <w:rsid w:val="00620C2A"/>
    <w:rsid w:val="00620E5D"/>
    <w:rsid w:val="00620FD2"/>
    <w:rsid w:val="00621307"/>
    <w:rsid w:val="006219EC"/>
    <w:rsid w:val="00621B52"/>
    <w:rsid w:val="00621C2E"/>
    <w:rsid w:val="0062230C"/>
    <w:rsid w:val="00622357"/>
    <w:rsid w:val="006225E5"/>
    <w:rsid w:val="00622865"/>
    <w:rsid w:val="00622BEC"/>
    <w:rsid w:val="00622CF9"/>
    <w:rsid w:val="00622D0F"/>
    <w:rsid w:val="00622E3D"/>
    <w:rsid w:val="00622FDA"/>
    <w:rsid w:val="00623369"/>
    <w:rsid w:val="0062348B"/>
    <w:rsid w:val="006236FA"/>
    <w:rsid w:val="00623808"/>
    <w:rsid w:val="00623A11"/>
    <w:rsid w:val="00623A3B"/>
    <w:rsid w:val="00623DFD"/>
    <w:rsid w:val="0062408A"/>
    <w:rsid w:val="0062474C"/>
    <w:rsid w:val="006247A6"/>
    <w:rsid w:val="00624A3E"/>
    <w:rsid w:val="00624A77"/>
    <w:rsid w:val="00624A85"/>
    <w:rsid w:val="00624D2E"/>
    <w:rsid w:val="00624E9D"/>
    <w:rsid w:val="0062527B"/>
    <w:rsid w:val="006252BB"/>
    <w:rsid w:val="006257C1"/>
    <w:rsid w:val="00625868"/>
    <w:rsid w:val="00625882"/>
    <w:rsid w:val="006258F7"/>
    <w:rsid w:val="00625B8D"/>
    <w:rsid w:val="00625C56"/>
    <w:rsid w:val="00625EBE"/>
    <w:rsid w:val="00626117"/>
    <w:rsid w:val="00626436"/>
    <w:rsid w:val="00626829"/>
    <w:rsid w:val="00626977"/>
    <w:rsid w:val="00626A2D"/>
    <w:rsid w:val="00626C8E"/>
    <w:rsid w:val="00626CFB"/>
    <w:rsid w:val="00626EBA"/>
    <w:rsid w:val="00626F3E"/>
    <w:rsid w:val="0062725B"/>
    <w:rsid w:val="0062728A"/>
    <w:rsid w:val="00627843"/>
    <w:rsid w:val="006279AE"/>
    <w:rsid w:val="00627A0A"/>
    <w:rsid w:val="00627ACC"/>
    <w:rsid w:val="00627EAC"/>
    <w:rsid w:val="00627FE5"/>
    <w:rsid w:val="00630173"/>
    <w:rsid w:val="00630245"/>
    <w:rsid w:val="0063042B"/>
    <w:rsid w:val="0063059E"/>
    <w:rsid w:val="006305BF"/>
    <w:rsid w:val="00630A07"/>
    <w:rsid w:val="00630F6A"/>
    <w:rsid w:val="00631291"/>
    <w:rsid w:val="00631442"/>
    <w:rsid w:val="006315BB"/>
    <w:rsid w:val="00631690"/>
    <w:rsid w:val="00631767"/>
    <w:rsid w:val="00631964"/>
    <w:rsid w:val="00631A13"/>
    <w:rsid w:val="00631A61"/>
    <w:rsid w:val="00631C1C"/>
    <w:rsid w:val="00631C8A"/>
    <w:rsid w:val="0063222E"/>
    <w:rsid w:val="006323BB"/>
    <w:rsid w:val="006323CB"/>
    <w:rsid w:val="00632674"/>
    <w:rsid w:val="00632ADA"/>
    <w:rsid w:val="00632B21"/>
    <w:rsid w:val="00632CE3"/>
    <w:rsid w:val="00632D22"/>
    <w:rsid w:val="0063306B"/>
    <w:rsid w:val="006330E6"/>
    <w:rsid w:val="00633490"/>
    <w:rsid w:val="00633BF9"/>
    <w:rsid w:val="00633C7B"/>
    <w:rsid w:val="00633D9E"/>
    <w:rsid w:val="00633DE9"/>
    <w:rsid w:val="00633FE8"/>
    <w:rsid w:val="00634121"/>
    <w:rsid w:val="006341C3"/>
    <w:rsid w:val="00634374"/>
    <w:rsid w:val="006343D1"/>
    <w:rsid w:val="00634459"/>
    <w:rsid w:val="0063499C"/>
    <w:rsid w:val="00634B61"/>
    <w:rsid w:val="00634C0A"/>
    <w:rsid w:val="00634D6B"/>
    <w:rsid w:val="00634E04"/>
    <w:rsid w:val="00634F32"/>
    <w:rsid w:val="0063505B"/>
    <w:rsid w:val="006350D0"/>
    <w:rsid w:val="006351B9"/>
    <w:rsid w:val="006354AB"/>
    <w:rsid w:val="006354CF"/>
    <w:rsid w:val="00635746"/>
    <w:rsid w:val="00635CE2"/>
    <w:rsid w:val="00635F1A"/>
    <w:rsid w:val="00635F42"/>
    <w:rsid w:val="00636158"/>
    <w:rsid w:val="006363F2"/>
    <w:rsid w:val="00636516"/>
    <w:rsid w:val="0063656B"/>
    <w:rsid w:val="006366F2"/>
    <w:rsid w:val="0063671B"/>
    <w:rsid w:val="0063695A"/>
    <w:rsid w:val="006369A4"/>
    <w:rsid w:val="006369CF"/>
    <w:rsid w:val="00636C09"/>
    <w:rsid w:val="006372DA"/>
    <w:rsid w:val="00637527"/>
    <w:rsid w:val="006377B4"/>
    <w:rsid w:val="00637B23"/>
    <w:rsid w:val="00637C0C"/>
    <w:rsid w:val="00637CF9"/>
    <w:rsid w:val="0064039C"/>
    <w:rsid w:val="006404F9"/>
    <w:rsid w:val="006405AC"/>
    <w:rsid w:val="006406D4"/>
    <w:rsid w:val="00640B68"/>
    <w:rsid w:val="00640D75"/>
    <w:rsid w:val="00641245"/>
    <w:rsid w:val="0064146A"/>
    <w:rsid w:val="006419E8"/>
    <w:rsid w:val="006419EA"/>
    <w:rsid w:val="00641A05"/>
    <w:rsid w:val="00641ADE"/>
    <w:rsid w:val="00641B78"/>
    <w:rsid w:val="00642113"/>
    <w:rsid w:val="006421F4"/>
    <w:rsid w:val="00642250"/>
    <w:rsid w:val="00642444"/>
    <w:rsid w:val="00642836"/>
    <w:rsid w:val="00642954"/>
    <w:rsid w:val="00642C8F"/>
    <w:rsid w:val="00642DD2"/>
    <w:rsid w:val="00643058"/>
    <w:rsid w:val="0064322D"/>
    <w:rsid w:val="00643494"/>
    <w:rsid w:val="006437FA"/>
    <w:rsid w:val="00643BE1"/>
    <w:rsid w:val="00643C3C"/>
    <w:rsid w:val="00643E6E"/>
    <w:rsid w:val="00643FC2"/>
    <w:rsid w:val="00644258"/>
    <w:rsid w:val="0064474A"/>
    <w:rsid w:val="006448ED"/>
    <w:rsid w:val="006448F3"/>
    <w:rsid w:val="00644970"/>
    <w:rsid w:val="00644F42"/>
    <w:rsid w:val="00644FDC"/>
    <w:rsid w:val="0064504E"/>
    <w:rsid w:val="0064526B"/>
    <w:rsid w:val="006455A4"/>
    <w:rsid w:val="00645B2B"/>
    <w:rsid w:val="00645DBF"/>
    <w:rsid w:val="00646146"/>
    <w:rsid w:val="006461FD"/>
    <w:rsid w:val="0064643C"/>
    <w:rsid w:val="00646578"/>
    <w:rsid w:val="00646693"/>
    <w:rsid w:val="006466BD"/>
    <w:rsid w:val="0064677D"/>
    <w:rsid w:val="00646921"/>
    <w:rsid w:val="00646C1C"/>
    <w:rsid w:val="00646EC8"/>
    <w:rsid w:val="00646F9C"/>
    <w:rsid w:val="00647126"/>
    <w:rsid w:val="006473CA"/>
    <w:rsid w:val="0064741A"/>
    <w:rsid w:val="006474B3"/>
    <w:rsid w:val="00647500"/>
    <w:rsid w:val="00647B38"/>
    <w:rsid w:val="006503E6"/>
    <w:rsid w:val="00650627"/>
    <w:rsid w:val="006506EB"/>
    <w:rsid w:val="00650BDF"/>
    <w:rsid w:val="00650DA7"/>
    <w:rsid w:val="00651002"/>
    <w:rsid w:val="0065112C"/>
    <w:rsid w:val="0065128A"/>
    <w:rsid w:val="0065184C"/>
    <w:rsid w:val="006518A9"/>
    <w:rsid w:val="00651A03"/>
    <w:rsid w:val="00651A0E"/>
    <w:rsid w:val="00651C1D"/>
    <w:rsid w:val="00651CCC"/>
    <w:rsid w:val="00651D9A"/>
    <w:rsid w:val="0065201D"/>
    <w:rsid w:val="00652040"/>
    <w:rsid w:val="00652055"/>
    <w:rsid w:val="00652062"/>
    <w:rsid w:val="0065229F"/>
    <w:rsid w:val="006522B3"/>
    <w:rsid w:val="006522C4"/>
    <w:rsid w:val="0065236B"/>
    <w:rsid w:val="006523BB"/>
    <w:rsid w:val="0065241E"/>
    <w:rsid w:val="00652509"/>
    <w:rsid w:val="00652D85"/>
    <w:rsid w:val="00653163"/>
    <w:rsid w:val="0065359F"/>
    <w:rsid w:val="00653737"/>
    <w:rsid w:val="00653F18"/>
    <w:rsid w:val="00653FA1"/>
    <w:rsid w:val="00654229"/>
    <w:rsid w:val="0065439D"/>
    <w:rsid w:val="00654506"/>
    <w:rsid w:val="00654857"/>
    <w:rsid w:val="00654A9A"/>
    <w:rsid w:val="00654E75"/>
    <w:rsid w:val="006550C8"/>
    <w:rsid w:val="006551B3"/>
    <w:rsid w:val="0065528A"/>
    <w:rsid w:val="0065565A"/>
    <w:rsid w:val="00655736"/>
    <w:rsid w:val="00655796"/>
    <w:rsid w:val="00655E0C"/>
    <w:rsid w:val="00655EEA"/>
    <w:rsid w:val="00656149"/>
    <w:rsid w:val="00656357"/>
    <w:rsid w:val="006563B6"/>
    <w:rsid w:val="0065683D"/>
    <w:rsid w:val="0065686C"/>
    <w:rsid w:val="00656CEE"/>
    <w:rsid w:val="00656DE7"/>
    <w:rsid w:val="0065700B"/>
    <w:rsid w:val="00657134"/>
    <w:rsid w:val="006579F4"/>
    <w:rsid w:val="00657BE6"/>
    <w:rsid w:val="00657EF4"/>
    <w:rsid w:val="00660016"/>
    <w:rsid w:val="00660197"/>
    <w:rsid w:val="00660343"/>
    <w:rsid w:val="00660649"/>
    <w:rsid w:val="006606E7"/>
    <w:rsid w:val="00660843"/>
    <w:rsid w:val="00660A77"/>
    <w:rsid w:val="00660B58"/>
    <w:rsid w:val="006612A4"/>
    <w:rsid w:val="00661577"/>
    <w:rsid w:val="00661943"/>
    <w:rsid w:val="006619C8"/>
    <w:rsid w:val="00661B0D"/>
    <w:rsid w:val="00661C01"/>
    <w:rsid w:val="00661E3B"/>
    <w:rsid w:val="00661ED7"/>
    <w:rsid w:val="00662CF5"/>
    <w:rsid w:val="00662DCB"/>
    <w:rsid w:val="006631A2"/>
    <w:rsid w:val="006639AB"/>
    <w:rsid w:val="00663A7E"/>
    <w:rsid w:val="00663C8F"/>
    <w:rsid w:val="00663E1F"/>
    <w:rsid w:val="006642D5"/>
    <w:rsid w:val="0066451F"/>
    <w:rsid w:val="0066453F"/>
    <w:rsid w:val="006646B8"/>
    <w:rsid w:val="00664A79"/>
    <w:rsid w:val="00664EB1"/>
    <w:rsid w:val="0066548D"/>
    <w:rsid w:val="0066549F"/>
    <w:rsid w:val="00665579"/>
    <w:rsid w:val="0066566C"/>
    <w:rsid w:val="0066568A"/>
    <w:rsid w:val="0066571D"/>
    <w:rsid w:val="00665725"/>
    <w:rsid w:val="00665AA7"/>
    <w:rsid w:val="00665B92"/>
    <w:rsid w:val="00665D35"/>
    <w:rsid w:val="00665F4B"/>
    <w:rsid w:val="006660E4"/>
    <w:rsid w:val="0066636E"/>
    <w:rsid w:val="00666555"/>
    <w:rsid w:val="0066677A"/>
    <w:rsid w:val="00666A6A"/>
    <w:rsid w:val="00666DFA"/>
    <w:rsid w:val="00666E32"/>
    <w:rsid w:val="00667390"/>
    <w:rsid w:val="0066742B"/>
    <w:rsid w:val="00667501"/>
    <w:rsid w:val="00667715"/>
    <w:rsid w:val="0066781D"/>
    <w:rsid w:val="00670283"/>
    <w:rsid w:val="006702E2"/>
    <w:rsid w:val="00670846"/>
    <w:rsid w:val="00670A88"/>
    <w:rsid w:val="00670E7A"/>
    <w:rsid w:val="00670EEB"/>
    <w:rsid w:val="00670F4F"/>
    <w:rsid w:val="006710C3"/>
    <w:rsid w:val="0067136D"/>
    <w:rsid w:val="00671496"/>
    <w:rsid w:val="00671660"/>
    <w:rsid w:val="00671753"/>
    <w:rsid w:val="006718FD"/>
    <w:rsid w:val="00671915"/>
    <w:rsid w:val="00671BE5"/>
    <w:rsid w:val="00671C71"/>
    <w:rsid w:val="00671CDC"/>
    <w:rsid w:val="00671DE5"/>
    <w:rsid w:val="00671E61"/>
    <w:rsid w:val="0067207F"/>
    <w:rsid w:val="006722E6"/>
    <w:rsid w:val="00672483"/>
    <w:rsid w:val="006726FA"/>
    <w:rsid w:val="0067273B"/>
    <w:rsid w:val="006728B8"/>
    <w:rsid w:val="00672953"/>
    <w:rsid w:val="00672BB8"/>
    <w:rsid w:val="00672E38"/>
    <w:rsid w:val="00672F4A"/>
    <w:rsid w:val="00672FCB"/>
    <w:rsid w:val="00673047"/>
    <w:rsid w:val="006732FE"/>
    <w:rsid w:val="00673310"/>
    <w:rsid w:val="00673430"/>
    <w:rsid w:val="006737E2"/>
    <w:rsid w:val="0067398F"/>
    <w:rsid w:val="00673BC5"/>
    <w:rsid w:val="00673FC5"/>
    <w:rsid w:val="00674021"/>
    <w:rsid w:val="006743DD"/>
    <w:rsid w:val="006743E1"/>
    <w:rsid w:val="0067440B"/>
    <w:rsid w:val="00674939"/>
    <w:rsid w:val="006749E4"/>
    <w:rsid w:val="0067507B"/>
    <w:rsid w:val="006750EF"/>
    <w:rsid w:val="006751B2"/>
    <w:rsid w:val="00675218"/>
    <w:rsid w:val="00675232"/>
    <w:rsid w:val="006755F4"/>
    <w:rsid w:val="00675723"/>
    <w:rsid w:val="00675774"/>
    <w:rsid w:val="006757E8"/>
    <w:rsid w:val="00675848"/>
    <w:rsid w:val="006759B2"/>
    <w:rsid w:val="006759C2"/>
    <w:rsid w:val="006759D5"/>
    <w:rsid w:val="00675A1A"/>
    <w:rsid w:val="00675C43"/>
    <w:rsid w:val="00675CFC"/>
    <w:rsid w:val="00675DBE"/>
    <w:rsid w:val="00675DCD"/>
    <w:rsid w:val="006760A6"/>
    <w:rsid w:val="006763BC"/>
    <w:rsid w:val="00676561"/>
    <w:rsid w:val="006765E9"/>
    <w:rsid w:val="00676635"/>
    <w:rsid w:val="006766E7"/>
    <w:rsid w:val="00676768"/>
    <w:rsid w:val="00676801"/>
    <w:rsid w:val="00676972"/>
    <w:rsid w:val="00676A97"/>
    <w:rsid w:val="00676B96"/>
    <w:rsid w:val="00676FFA"/>
    <w:rsid w:val="00677156"/>
    <w:rsid w:val="00677229"/>
    <w:rsid w:val="0067775E"/>
    <w:rsid w:val="00677814"/>
    <w:rsid w:val="00677BA4"/>
    <w:rsid w:val="00677BBB"/>
    <w:rsid w:val="00677C0B"/>
    <w:rsid w:val="00677DF0"/>
    <w:rsid w:val="00677F16"/>
    <w:rsid w:val="006802E7"/>
    <w:rsid w:val="00680336"/>
    <w:rsid w:val="00680416"/>
    <w:rsid w:val="0068043B"/>
    <w:rsid w:val="00680446"/>
    <w:rsid w:val="0068056D"/>
    <w:rsid w:val="0068063B"/>
    <w:rsid w:val="0068072E"/>
    <w:rsid w:val="00680762"/>
    <w:rsid w:val="00680A9D"/>
    <w:rsid w:val="00680BFB"/>
    <w:rsid w:val="00680C3B"/>
    <w:rsid w:val="00680F1F"/>
    <w:rsid w:val="0068109A"/>
    <w:rsid w:val="006813EE"/>
    <w:rsid w:val="0068148F"/>
    <w:rsid w:val="00681495"/>
    <w:rsid w:val="00681544"/>
    <w:rsid w:val="006816BD"/>
    <w:rsid w:val="00681B81"/>
    <w:rsid w:val="00681FC5"/>
    <w:rsid w:val="00681FFB"/>
    <w:rsid w:val="006820C3"/>
    <w:rsid w:val="00682283"/>
    <w:rsid w:val="00682418"/>
    <w:rsid w:val="0068256C"/>
    <w:rsid w:val="006828EC"/>
    <w:rsid w:val="006828F5"/>
    <w:rsid w:val="0068293B"/>
    <w:rsid w:val="00682BAD"/>
    <w:rsid w:val="006830E4"/>
    <w:rsid w:val="0068312F"/>
    <w:rsid w:val="00683806"/>
    <w:rsid w:val="0068398F"/>
    <w:rsid w:val="00683A01"/>
    <w:rsid w:val="00683A18"/>
    <w:rsid w:val="00683B32"/>
    <w:rsid w:val="00683D05"/>
    <w:rsid w:val="0068429E"/>
    <w:rsid w:val="006842B1"/>
    <w:rsid w:val="00684365"/>
    <w:rsid w:val="006843FF"/>
    <w:rsid w:val="00684659"/>
    <w:rsid w:val="00684973"/>
    <w:rsid w:val="00684985"/>
    <w:rsid w:val="00684A01"/>
    <w:rsid w:val="006850F1"/>
    <w:rsid w:val="00685172"/>
    <w:rsid w:val="006851F2"/>
    <w:rsid w:val="006852D9"/>
    <w:rsid w:val="006854EA"/>
    <w:rsid w:val="006856FF"/>
    <w:rsid w:val="006857AF"/>
    <w:rsid w:val="00685948"/>
    <w:rsid w:val="00685B7E"/>
    <w:rsid w:val="00685BCA"/>
    <w:rsid w:val="006863C3"/>
    <w:rsid w:val="00686497"/>
    <w:rsid w:val="0068660A"/>
    <w:rsid w:val="006868D6"/>
    <w:rsid w:val="006869A6"/>
    <w:rsid w:val="00686A66"/>
    <w:rsid w:val="006870DD"/>
    <w:rsid w:val="006870F8"/>
    <w:rsid w:val="00687146"/>
    <w:rsid w:val="006875ED"/>
    <w:rsid w:val="006877C2"/>
    <w:rsid w:val="00687ADF"/>
    <w:rsid w:val="00687C07"/>
    <w:rsid w:val="00687D05"/>
    <w:rsid w:val="006903B7"/>
    <w:rsid w:val="00690600"/>
    <w:rsid w:val="006906A9"/>
    <w:rsid w:val="006908C0"/>
    <w:rsid w:val="00690D56"/>
    <w:rsid w:val="00690DC0"/>
    <w:rsid w:val="00690E63"/>
    <w:rsid w:val="00691368"/>
    <w:rsid w:val="00691533"/>
    <w:rsid w:val="0069167C"/>
    <w:rsid w:val="0069178C"/>
    <w:rsid w:val="006918E3"/>
    <w:rsid w:val="00691911"/>
    <w:rsid w:val="0069194D"/>
    <w:rsid w:val="00691A72"/>
    <w:rsid w:val="00692184"/>
    <w:rsid w:val="006921D0"/>
    <w:rsid w:val="00692879"/>
    <w:rsid w:val="00692A37"/>
    <w:rsid w:val="00692A97"/>
    <w:rsid w:val="00692E0D"/>
    <w:rsid w:val="00692F6D"/>
    <w:rsid w:val="0069329E"/>
    <w:rsid w:val="006936A2"/>
    <w:rsid w:val="00693963"/>
    <w:rsid w:val="00693BA2"/>
    <w:rsid w:val="00693CFB"/>
    <w:rsid w:val="00693D50"/>
    <w:rsid w:val="00693D6D"/>
    <w:rsid w:val="00693EB3"/>
    <w:rsid w:val="006941EB"/>
    <w:rsid w:val="0069424E"/>
    <w:rsid w:val="00694311"/>
    <w:rsid w:val="006947AC"/>
    <w:rsid w:val="006949DF"/>
    <w:rsid w:val="00694A85"/>
    <w:rsid w:val="00694B0C"/>
    <w:rsid w:val="00694E9F"/>
    <w:rsid w:val="006952C7"/>
    <w:rsid w:val="00695537"/>
    <w:rsid w:val="0069553E"/>
    <w:rsid w:val="00695726"/>
    <w:rsid w:val="00695736"/>
    <w:rsid w:val="00695A1A"/>
    <w:rsid w:val="00695DD0"/>
    <w:rsid w:val="00695FD9"/>
    <w:rsid w:val="0069603D"/>
    <w:rsid w:val="006963A5"/>
    <w:rsid w:val="00696787"/>
    <w:rsid w:val="006969D8"/>
    <w:rsid w:val="00696B69"/>
    <w:rsid w:val="00696C8B"/>
    <w:rsid w:val="00696D01"/>
    <w:rsid w:val="00696E75"/>
    <w:rsid w:val="006973E4"/>
    <w:rsid w:val="0069785B"/>
    <w:rsid w:val="00697AEF"/>
    <w:rsid w:val="00697C56"/>
    <w:rsid w:val="00697FBF"/>
    <w:rsid w:val="006A0016"/>
    <w:rsid w:val="006A017E"/>
    <w:rsid w:val="006A0396"/>
    <w:rsid w:val="006A05C2"/>
    <w:rsid w:val="006A073F"/>
    <w:rsid w:val="006A0CE0"/>
    <w:rsid w:val="006A125D"/>
    <w:rsid w:val="006A12C4"/>
    <w:rsid w:val="006A14CE"/>
    <w:rsid w:val="006A16E8"/>
    <w:rsid w:val="006A1771"/>
    <w:rsid w:val="006A185B"/>
    <w:rsid w:val="006A1958"/>
    <w:rsid w:val="006A1B15"/>
    <w:rsid w:val="006A1B2E"/>
    <w:rsid w:val="006A1BBC"/>
    <w:rsid w:val="006A1CB1"/>
    <w:rsid w:val="006A1E00"/>
    <w:rsid w:val="006A2284"/>
    <w:rsid w:val="006A27E0"/>
    <w:rsid w:val="006A2A5F"/>
    <w:rsid w:val="006A2AC6"/>
    <w:rsid w:val="006A2ADD"/>
    <w:rsid w:val="006A30C8"/>
    <w:rsid w:val="006A310E"/>
    <w:rsid w:val="006A312F"/>
    <w:rsid w:val="006A31F7"/>
    <w:rsid w:val="006A3574"/>
    <w:rsid w:val="006A3654"/>
    <w:rsid w:val="006A374E"/>
    <w:rsid w:val="006A37A7"/>
    <w:rsid w:val="006A3880"/>
    <w:rsid w:val="006A3A1F"/>
    <w:rsid w:val="006A3E09"/>
    <w:rsid w:val="006A40AB"/>
    <w:rsid w:val="006A460E"/>
    <w:rsid w:val="006A488F"/>
    <w:rsid w:val="006A49C1"/>
    <w:rsid w:val="006A4AE9"/>
    <w:rsid w:val="006A4BE5"/>
    <w:rsid w:val="006A4CDB"/>
    <w:rsid w:val="006A4CF8"/>
    <w:rsid w:val="006A4D73"/>
    <w:rsid w:val="006A4D96"/>
    <w:rsid w:val="006A4F02"/>
    <w:rsid w:val="006A5071"/>
    <w:rsid w:val="006A51C9"/>
    <w:rsid w:val="006A52DD"/>
    <w:rsid w:val="006A5503"/>
    <w:rsid w:val="006A5A02"/>
    <w:rsid w:val="006A5B17"/>
    <w:rsid w:val="006A5C2D"/>
    <w:rsid w:val="006A5C36"/>
    <w:rsid w:val="006A5F54"/>
    <w:rsid w:val="006A6162"/>
    <w:rsid w:val="006A61C5"/>
    <w:rsid w:val="006A67E3"/>
    <w:rsid w:val="006A685A"/>
    <w:rsid w:val="006A690C"/>
    <w:rsid w:val="006A6E6D"/>
    <w:rsid w:val="006A7196"/>
    <w:rsid w:val="006A7331"/>
    <w:rsid w:val="006A73D2"/>
    <w:rsid w:val="006A74A9"/>
    <w:rsid w:val="006A7693"/>
    <w:rsid w:val="006A7736"/>
    <w:rsid w:val="006A7B31"/>
    <w:rsid w:val="006A7C11"/>
    <w:rsid w:val="006A7CF5"/>
    <w:rsid w:val="006A7D78"/>
    <w:rsid w:val="006A7E0F"/>
    <w:rsid w:val="006B00D5"/>
    <w:rsid w:val="006B0226"/>
    <w:rsid w:val="006B0679"/>
    <w:rsid w:val="006B06B5"/>
    <w:rsid w:val="006B06CA"/>
    <w:rsid w:val="006B06E2"/>
    <w:rsid w:val="006B06F4"/>
    <w:rsid w:val="006B087B"/>
    <w:rsid w:val="006B0A3F"/>
    <w:rsid w:val="006B10BD"/>
    <w:rsid w:val="006B11B3"/>
    <w:rsid w:val="006B1332"/>
    <w:rsid w:val="006B135C"/>
    <w:rsid w:val="006B1375"/>
    <w:rsid w:val="006B14A1"/>
    <w:rsid w:val="006B17B0"/>
    <w:rsid w:val="006B1928"/>
    <w:rsid w:val="006B1A8F"/>
    <w:rsid w:val="006B1B99"/>
    <w:rsid w:val="006B207C"/>
    <w:rsid w:val="006B251F"/>
    <w:rsid w:val="006B26F4"/>
    <w:rsid w:val="006B2772"/>
    <w:rsid w:val="006B2863"/>
    <w:rsid w:val="006B2B9A"/>
    <w:rsid w:val="006B2C93"/>
    <w:rsid w:val="006B2DBF"/>
    <w:rsid w:val="006B2EB6"/>
    <w:rsid w:val="006B2EE9"/>
    <w:rsid w:val="006B3184"/>
    <w:rsid w:val="006B352D"/>
    <w:rsid w:val="006B35DE"/>
    <w:rsid w:val="006B3958"/>
    <w:rsid w:val="006B3A0D"/>
    <w:rsid w:val="006B3D39"/>
    <w:rsid w:val="006B3F7E"/>
    <w:rsid w:val="006B3FA9"/>
    <w:rsid w:val="006B41A9"/>
    <w:rsid w:val="006B41E9"/>
    <w:rsid w:val="006B423D"/>
    <w:rsid w:val="006B4375"/>
    <w:rsid w:val="006B46FF"/>
    <w:rsid w:val="006B4716"/>
    <w:rsid w:val="006B4BDF"/>
    <w:rsid w:val="006B4E9F"/>
    <w:rsid w:val="006B4F66"/>
    <w:rsid w:val="006B4F75"/>
    <w:rsid w:val="006B52B4"/>
    <w:rsid w:val="006B52C5"/>
    <w:rsid w:val="006B55D0"/>
    <w:rsid w:val="006B5603"/>
    <w:rsid w:val="006B567A"/>
    <w:rsid w:val="006B56A8"/>
    <w:rsid w:val="006B5B90"/>
    <w:rsid w:val="006B60E3"/>
    <w:rsid w:val="006B6199"/>
    <w:rsid w:val="006B6221"/>
    <w:rsid w:val="006B62C9"/>
    <w:rsid w:val="006B639C"/>
    <w:rsid w:val="006B63B9"/>
    <w:rsid w:val="006B67CC"/>
    <w:rsid w:val="006B6BE6"/>
    <w:rsid w:val="006B6C8D"/>
    <w:rsid w:val="006B6C8E"/>
    <w:rsid w:val="006B6DF8"/>
    <w:rsid w:val="006B701E"/>
    <w:rsid w:val="006B714C"/>
    <w:rsid w:val="006B7255"/>
    <w:rsid w:val="006B7506"/>
    <w:rsid w:val="006B75E9"/>
    <w:rsid w:val="006B78F7"/>
    <w:rsid w:val="006B7AEA"/>
    <w:rsid w:val="006B7B6A"/>
    <w:rsid w:val="006B7CB1"/>
    <w:rsid w:val="006B7D0C"/>
    <w:rsid w:val="006B7DD7"/>
    <w:rsid w:val="006B7E90"/>
    <w:rsid w:val="006C0387"/>
    <w:rsid w:val="006C0474"/>
    <w:rsid w:val="006C04ED"/>
    <w:rsid w:val="006C0517"/>
    <w:rsid w:val="006C06F4"/>
    <w:rsid w:val="006C0722"/>
    <w:rsid w:val="006C0805"/>
    <w:rsid w:val="006C1119"/>
    <w:rsid w:val="006C1140"/>
    <w:rsid w:val="006C14AF"/>
    <w:rsid w:val="006C1650"/>
    <w:rsid w:val="006C16B3"/>
    <w:rsid w:val="006C17C8"/>
    <w:rsid w:val="006C199F"/>
    <w:rsid w:val="006C1B07"/>
    <w:rsid w:val="006C1C0C"/>
    <w:rsid w:val="006C1C2E"/>
    <w:rsid w:val="006C1E8E"/>
    <w:rsid w:val="006C1EC4"/>
    <w:rsid w:val="006C1F7F"/>
    <w:rsid w:val="006C262C"/>
    <w:rsid w:val="006C2DCE"/>
    <w:rsid w:val="006C2ED8"/>
    <w:rsid w:val="006C30FC"/>
    <w:rsid w:val="006C323E"/>
    <w:rsid w:val="006C33CE"/>
    <w:rsid w:val="006C33E8"/>
    <w:rsid w:val="006C38F9"/>
    <w:rsid w:val="006C3A13"/>
    <w:rsid w:val="006C3DDE"/>
    <w:rsid w:val="006C3F03"/>
    <w:rsid w:val="006C40E7"/>
    <w:rsid w:val="006C45B4"/>
    <w:rsid w:val="006C45D0"/>
    <w:rsid w:val="006C48A3"/>
    <w:rsid w:val="006C4DB3"/>
    <w:rsid w:val="006C519B"/>
    <w:rsid w:val="006C5351"/>
    <w:rsid w:val="006C54CC"/>
    <w:rsid w:val="006C56A2"/>
    <w:rsid w:val="006C57C9"/>
    <w:rsid w:val="006C59D0"/>
    <w:rsid w:val="006C5A4E"/>
    <w:rsid w:val="006C5C9A"/>
    <w:rsid w:val="006C5E26"/>
    <w:rsid w:val="006C5F0A"/>
    <w:rsid w:val="006C5F59"/>
    <w:rsid w:val="006C62AB"/>
    <w:rsid w:val="006C62E5"/>
    <w:rsid w:val="006C637C"/>
    <w:rsid w:val="006C66AA"/>
    <w:rsid w:val="006C68C5"/>
    <w:rsid w:val="006C6B12"/>
    <w:rsid w:val="006C6E2B"/>
    <w:rsid w:val="006C6F58"/>
    <w:rsid w:val="006C7058"/>
    <w:rsid w:val="006C7144"/>
    <w:rsid w:val="006C722A"/>
    <w:rsid w:val="006C73DE"/>
    <w:rsid w:val="006C7F43"/>
    <w:rsid w:val="006D00A6"/>
    <w:rsid w:val="006D0109"/>
    <w:rsid w:val="006D01D9"/>
    <w:rsid w:val="006D027E"/>
    <w:rsid w:val="006D0665"/>
    <w:rsid w:val="006D06B3"/>
    <w:rsid w:val="006D08B7"/>
    <w:rsid w:val="006D10BE"/>
    <w:rsid w:val="006D10E4"/>
    <w:rsid w:val="006D110B"/>
    <w:rsid w:val="006D1382"/>
    <w:rsid w:val="006D15AD"/>
    <w:rsid w:val="006D168B"/>
    <w:rsid w:val="006D1937"/>
    <w:rsid w:val="006D1A2E"/>
    <w:rsid w:val="006D1DB6"/>
    <w:rsid w:val="006D1E2C"/>
    <w:rsid w:val="006D2064"/>
    <w:rsid w:val="006D23D3"/>
    <w:rsid w:val="006D249A"/>
    <w:rsid w:val="006D28EA"/>
    <w:rsid w:val="006D2929"/>
    <w:rsid w:val="006D2C1B"/>
    <w:rsid w:val="006D2C4F"/>
    <w:rsid w:val="006D2FB6"/>
    <w:rsid w:val="006D3802"/>
    <w:rsid w:val="006D3A03"/>
    <w:rsid w:val="006D3CAA"/>
    <w:rsid w:val="006D3CB0"/>
    <w:rsid w:val="006D43B3"/>
    <w:rsid w:val="006D43D6"/>
    <w:rsid w:val="006D44DC"/>
    <w:rsid w:val="006D455D"/>
    <w:rsid w:val="006D4652"/>
    <w:rsid w:val="006D4B58"/>
    <w:rsid w:val="006D4B9F"/>
    <w:rsid w:val="006D4C81"/>
    <w:rsid w:val="006D4D29"/>
    <w:rsid w:val="006D4FDB"/>
    <w:rsid w:val="006D50E1"/>
    <w:rsid w:val="006D5124"/>
    <w:rsid w:val="006D51D3"/>
    <w:rsid w:val="006D5228"/>
    <w:rsid w:val="006D5868"/>
    <w:rsid w:val="006D58D5"/>
    <w:rsid w:val="006D595D"/>
    <w:rsid w:val="006D5AD3"/>
    <w:rsid w:val="006D5BB8"/>
    <w:rsid w:val="006D5C6E"/>
    <w:rsid w:val="006D5D07"/>
    <w:rsid w:val="006D5E7C"/>
    <w:rsid w:val="006D5F9A"/>
    <w:rsid w:val="006D6084"/>
    <w:rsid w:val="006D682A"/>
    <w:rsid w:val="006D68A4"/>
    <w:rsid w:val="006D68A9"/>
    <w:rsid w:val="006D6A1F"/>
    <w:rsid w:val="006D6F24"/>
    <w:rsid w:val="006D7024"/>
    <w:rsid w:val="006D7057"/>
    <w:rsid w:val="006D70C8"/>
    <w:rsid w:val="006D7266"/>
    <w:rsid w:val="006D72FF"/>
    <w:rsid w:val="006D7368"/>
    <w:rsid w:val="006D77ED"/>
    <w:rsid w:val="006D78BB"/>
    <w:rsid w:val="006D795F"/>
    <w:rsid w:val="006E031D"/>
    <w:rsid w:val="006E03E1"/>
    <w:rsid w:val="006E046B"/>
    <w:rsid w:val="006E0548"/>
    <w:rsid w:val="006E0729"/>
    <w:rsid w:val="006E08ED"/>
    <w:rsid w:val="006E09D7"/>
    <w:rsid w:val="006E0A0B"/>
    <w:rsid w:val="006E0B69"/>
    <w:rsid w:val="006E0C89"/>
    <w:rsid w:val="006E0EBC"/>
    <w:rsid w:val="006E1029"/>
    <w:rsid w:val="006E105E"/>
    <w:rsid w:val="006E11AD"/>
    <w:rsid w:val="006E14EC"/>
    <w:rsid w:val="006E1607"/>
    <w:rsid w:val="006E1813"/>
    <w:rsid w:val="006E1A2F"/>
    <w:rsid w:val="006E1AB3"/>
    <w:rsid w:val="006E1C53"/>
    <w:rsid w:val="006E1CC4"/>
    <w:rsid w:val="006E1F3D"/>
    <w:rsid w:val="006E1F81"/>
    <w:rsid w:val="006E202D"/>
    <w:rsid w:val="006E2189"/>
    <w:rsid w:val="006E2199"/>
    <w:rsid w:val="006E221A"/>
    <w:rsid w:val="006E2246"/>
    <w:rsid w:val="006E284D"/>
    <w:rsid w:val="006E2966"/>
    <w:rsid w:val="006E2F06"/>
    <w:rsid w:val="006E3097"/>
    <w:rsid w:val="006E30EF"/>
    <w:rsid w:val="006E3555"/>
    <w:rsid w:val="006E35F0"/>
    <w:rsid w:val="006E3791"/>
    <w:rsid w:val="006E491E"/>
    <w:rsid w:val="006E49BC"/>
    <w:rsid w:val="006E4A2D"/>
    <w:rsid w:val="006E5703"/>
    <w:rsid w:val="006E57A7"/>
    <w:rsid w:val="006E57FC"/>
    <w:rsid w:val="006E5847"/>
    <w:rsid w:val="006E586D"/>
    <w:rsid w:val="006E58D2"/>
    <w:rsid w:val="006E5AD6"/>
    <w:rsid w:val="006E5E13"/>
    <w:rsid w:val="006E6047"/>
    <w:rsid w:val="006E632F"/>
    <w:rsid w:val="006E65C4"/>
    <w:rsid w:val="006E665B"/>
    <w:rsid w:val="006E6678"/>
    <w:rsid w:val="006E6687"/>
    <w:rsid w:val="006E698D"/>
    <w:rsid w:val="006E69B7"/>
    <w:rsid w:val="006E6CF5"/>
    <w:rsid w:val="006E7051"/>
    <w:rsid w:val="006E70FF"/>
    <w:rsid w:val="006E73F1"/>
    <w:rsid w:val="006E7575"/>
    <w:rsid w:val="006E7DAB"/>
    <w:rsid w:val="006E7F13"/>
    <w:rsid w:val="006E7F47"/>
    <w:rsid w:val="006F000A"/>
    <w:rsid w:val="006F01F2"/>
    <w:rsid w:val="006F06A1"/>
    <w:rsid w:val="006F0781"/>
    <w:rsid w:val="006F08BD"/>
    <w:rsid w:val="006F0AA7"/>
    <w:rsid w:val="006F0AE8"/>
    <w:rsid w:val="006F0B6B"/>
    <w:rsid w:val="006F11FC"/>
    <w:rsid w:val="006F13FD"/>
    <w:rsid w:val="006F141C"/>
    <w:rsid w:val="006F145C"/>
    <w:rsid w:val="006F16B1"/>
    <w:rsid w:val="006F1791"/>
    <w:rsid w:val="006F1919"/>
    <w:rsid w:val="006F1921"/>
    <w:rsid w:val="006F1954"/>
    <w:rsid w:val="006F1AAB"/>
    <w:rsid w:val="006F1B9F"/>
    <w:rsid w:val="006F2159"/>
    <w:rsid w:val="006F248E"/>
    <w:rsid w:val="006F287D"/>
    <w:rsid w:val="006F2ABD"/>
    <w:rsid w:val="006F2B4B"/>
    <w:rsid w:val="006F2B4C"/>
    <w:rsid w:val="006F2BE3"/>
    <w:rsid w:val="006F2C65"/>
    <w:rsid w:val="006F2C94"/>
    <w:rsid w:val="006F2D49"/>
    <w:rsid w:val="006F2DC6"/>
    <w:rsid w:val="006F2E0F"/>
    <w:rsid w:val="006F2F6E"/>
    <w:rsid w:val="006F303C"/>
    <w:rsid w:val="006F31FE"/>
    <w:rsid w:val="006F3268"/>
    <w:rsid w:val="006F33BD"/>
    <w:rsid w:val="006F35FC"/>
    <w:rsid w:val="006F37E0"/>
    <w:rsid w:val="006F3978"/>
    <w:rsid w:val="006F3D19"/>
    <w:rsid w:val="006F3F5E"/>
    <w:rsid w:val="006F4024"/>
    <w:rsid w:val="006F425F"/>
    <w:rsid w:val="006F473C"/>
    <w:rsid w:val="006F4D94"/>
    <w:rsid w:val="006F4FF9"/>
    <w:rsid w:val="006F5135"/>
    <w:rsid w:val="006F536E"/>
    <w:rsid w:val="006F5492"/>
    <w:rsid w:val="006F55E8"/>
    <w:rsid w:val="006F5A8A"/>
    <w:rsid w:val="006F5B1F"/>
    <w:rsid w:val="006F5B32"/>
    <w:rsid w:val="006F5DE5"/>
    <w:rsid w:val="006F5F4D"/>
    <w:rsid w:val="006F5F9F"/>
    <w:rsid w:val="006F6067"/>
    <w:rsid w:val="006F6188"/>
    <w:rsid w:val="006F64F7"/>
    <w:rsid w:val="006F6626"/>
    <w:rsid w:val="006F6664"/>
    <w:rsid w:val="006F66D4"/>
    <w:rsid w:val="006F6912"/>
    <w:rsid w:val="006F6B5C"/>
    <w:rsid w:val="006F6BF2"/>
    <w:rsid w:val="006F6DB6"/>
    <w:rsid w:val="006F6DB7"/>
    <w:rsid w:val="006F6E5A"/>
    <w:rsid w:val="006F6F5C"/>
    <w:rsid w:val="006F73AA"/>
    <w:rsid w:val="006F73BC"/>
    <w:rsid w:val="006F7A6E"/>
    <w:rsid w:val="006F7B0C"/>
    <w:rsid w:val="006F7B50"/>
    <w:rsid w:val="006F7C36"/>
    <w:rsid w:val="00700145"/>
    <w:rsid w:val="007004A1"/>
    <w:rsid w:val="007004D3"/>
    <w:rsid w:val="00700AE8"/>
    <w:rsid w:val="00700D23"/>
    <w:rsid w:val="00700E2D"/>
    <w:rsid w:val="00701196"/>
    <w:rsid w:val="0070140C"/>
    <w:rsid w:val="0070143B"/>
    <w:rsid w:val="0070146B"/>
    <w:rsid w:val="007015AA"/>
    <w:rsid w:val="007015AF"/>
    <w:rsid w:val="00701695"/>
    <w:rsid w:val="00701750"/>
    <w:rsid w:val="0070197C"/>
    <w:rsid w:val="00701E6A"/>
    <w:rsid w:val="00701F58"/>
    <w:rsid w:val="00701F59"/>
    <w:rsid w:val="00701FB4"/>
    <w:rsid w:val="007020A5"/>
    <w:rsid w:val="007020A8"/>
    <w:rsid w:val="007020AC"/>
    <w:rsid w:val="007023A2"/>
    <w:rsid w:val="00702439"/>
    <w:rsid w:val="00702690"/>
    <w:rsid w:val="007029D8"/>
    <w:rsid w:val="00702ABF"/>
    <w:rsid w:val="00702BEC"/>
    <w:rsid w:val="00702C7F"/>
    <w:rsid w:val="00702D2F"/>
    <w:rsid w:val="007032BB"/>
    <w:rsid w:val="0070383D"/>
    <w:rsid w:val="007039C6"/>
    <w:rsid w:val="00703B51"/>
    <w:rsid w:val="00703BC0"/>
    <w:rsid w:val="00703E78"/>
    <w:rsid w:val="00703EFF"/>
    <w:rsid w:val="007040CB"/>
    <w:rsid w:val="0070419A"/>
    <w:rsid w:val="007042B5"/>
    <w:rsid w:val="00704431"/>
    <w:rsid w:val="00704535"/>
    <w:rsid w:val="00704684"/>
    <w:rsid w:val="0070470C"/>
    <w:rsid w:val="0070470D"/>
    <w:rsid w:val="007048AD"/>
    <w:rsid w:val="00704A41"/>
    <w:rsid w:val="00704B18"/>
    <w:rsid w:val="00704D2D"/>
    <w:rsid w:val="00704D6E"/>
    <w:rsid w:val="007051C2"/>
    <w:rsid w:val="0070525A"/>
    <w:rsid w:val="007054F7"/>
    <w:rsid w:val="00705AAB"/>
    <w:rsid w:val="00705DAB"/>
    <w:rsid w:val="00705F31"/>
    <w:rsid w:val="0070608E"/>
    <w:rsid w:val="007061E9"/>
    <w:rsid w:val="0070620B"/>
    <w:rsid w:val="00706579"/>
    <w:rsid w:val="00706598"/>
    <w:rsid w:val="00706964"/>
    <w:rsid w:val="00706C25"/>
    <w:rsid w:val="00706CE8"/>
    <w:rsid w:val="00706F14"/>
    <w:rsid w:val="00707079"/>
    <w:rsid w:val="0070790C"/>
    <w:rsid w:val="00707A74"/>
    <w:rsid w:val="007102FD"/>
    <w:rsid w:val="00710334"/>
    <w:rsid w:val="007103C0"/>
    <w:rsid w:val="00710559"/>
    <w:rsid w:val="00710776"/>
    <w:rsid w:val="0071085D"/>
    <w:rsid w:val="007108B7"/>
    <w:rsid w:val="00710AB4"/>
    <w:rsid w:val="00710F6E"/>
    <w:rsid w:val="00711165"/>
    <w:rsid w:val="007111D1"/>
    <w:rsid w:val="00711304"/>
    <w:rsid w:val="007114A8"/>
    <w:rsid w:val="00711830"/>
    <w:rsid w:val="00711C14"/>
    <w:rsid w:val="00711D33"/>
    <w:rsid w:val="00711E59"/>
    <w:rsid w:val="007120D4"/>
    <w:rsid w:val="0071228F"/>
    <w:rsid w:val="00712296"/>
    <w:rsid w:val="00712581"/>
    <w:rsid w:val="007125E2"/>
    <w:rsid w:val="0071283A"/>
    <w:rsid w:val="00712943"/>
    <w:rsid w:val="00712CBA"/>
    <w:rsid w:val="00712D3C"/>
    <w:rsid w:val="00712DB2"/>
    <w:rsid w:val="00712DFE"/>
    <w:rsid w:val="007133F8"/>
    <w:rsid w:val="007134BE"/>
    <w:rsid w:val="0071359E"/>
    <w:rsid w:val="007135E8"/>
    <w:rsid w:val="007136E1"/>
    <w:rsid w:val="0071385E"/>
    <w:rsid w:val="007139F6"/>
    <w:rsid w:val="00713AAF"/>
    <w:rsid w:val="00713BE7"/>
    <w:rsid w:val="00713D28"/>
    <w:rsid w:val="00713E16"/>
    <w:rsid w:val="00713F65"/>
    <w:rsid w:val="00713F9D"/>
    <w:rsid w:val="00713FB8"/>
    <w:rsid w:val="0071414E"/>
    <w:rsid w:val="007143B8"/>
    <w:rsid w:val="007147D2"/>
    <w:rsid w:val="007149BD"/>
    <w:rsid w:val="00714EE9"/>
    <w:rsid w:val="00714F5F"/>
    <w:rsid w:val="007150AA"/>
    <w:rsid w:val="007155A0"/>
    <w:rsid w:val="00715630"/>
    <w:rsid w:val="007157F4"/>
    <w:rsid w:val="007159E4"/>
    <w:rsid w:val="00715BA5"/>
    <w:rsid w:val="00715C20"/>
    <w:rsid w:val="00715CCB"/>
    <w:rsid w:val="00715F69"/>
    <w:rsid w:val="007160BA"/>
    <w:rsid w:val="00716653"/>
    <w:rsid w:val="00716869"/>
    <w:rsid w:val="00716A91"/>
    <w:rsid w:val="00716C0B"/>
    <w:rsid w:val="00716ED2"/>
    <w:rsid w:val="00716EE6"/>
    <w:rsid w:val="00717039"/>
    <w:rsid w:val="00717051"/>
    <w:rsid w:val="007170B3"/>
    <w:rsid w:val="0071736F"/>
    <w:rsid w:val="00717507"/>
    <w:rsid w:val="00717535"/>
    <w:rsid w:val="00717554"/>
    <w:rsid w:val="0071762D"/>
    <w:rsid w:val="007176E4"/>
    <w:rsid w:val="00717795"/>
    <w:rsid w:val="00717908"/>
    <w:rsid w:val="00717A9A"/>
    <w:rsid w:val="00717AA5"/>
    <w:rsid w:val="00717B84"/>
    <w:rsid w:val="00717D80"/>
    <w:rsid w:val="00717F15"/>
    <w:rsid w:val="00717F87"/>
    <w:rsid w:val="0072013D"/>
    <w:rsid w:val="00720435"/>
    <w:rsid w:val="00720BAD"/>
    <w:rsid w:val="00720BE1"/>
    <w:rsid w:val="00720C18"/>
    <w:rsid w:val="007210C6"/>
    <w:rsid w:val="00721867"/>
    <w:rsid w:val="00721A9B"/>
    <w:rsid w:val="00721CDD"/>
    <w:rsid w:val="00721DF6"/>
    <w:rsid w:val="00721E95"/>
    <w:rsid w:val="00721FBA"/>
    <w:rsid w:val="00722474"/>
    <w:rsid w:val="0072265A"/>
    <w:rsid w:val="00722D6B"/>
    <w:rsid w:val="00722DF8"/>
    <w:rsid w:val="00722F9C"/>
    <w:rsid w:val="00722FB5"/>
    <w:rsid w:val="00723343"/>
    <w:rsid w:val="00723393"/>
    <w:rsid w:val="0072357A"/>
    <w:rsid w:val="0072358C"/>
    <w:rsid w:val="00723799"/>
    <w:rsid w:val="007238E8"/>
    <w:rsid w:val="00723984"/>
    <w:rsid w:val="00723D4D"/>
    <w:rsid w:val="00723FA3"/>
    <w:rsid w:val="007247A1"/>
    <w:rsid w:val="007249B0"/>
    <w:rsid w:val="00724D2E"/>
    <w:rsid w:val="00724D42"/>
    <w:rsid w:val="00724E64"/>
    <w:rsid w:val="00724F63"/>
    <w:rsid w:val="0072514B"/>
    <w:rsid w:val="00725192"/>
    <w:rsid w:val="007252CD"/>
    <w:rsid w:val="007254B8"/>
    <w:rsid w:val="007255F2"/>
    <w:rsid w:val="0072560A"/>
    <w:rsid w:val="0072561B"/>
    <w:rsid w:val="00725651"/>
    <w:rsid w:val="0072594E"/>
    <w:rsid w:val="00725CFF"/>
    <w:rsid w:val="00725D3E"/>
    <w:rsid w:val="00725D75"/>
    <w:rsid w:val="007260B1"/>
    <w:rsid w:val="007260C3"/>
    <w:rsid w:val="0072619F"/>
    <w:rsid w:val="007261E3"/>
    <w:rsid w:val="00726256"/>
    <w:rsid w:val="0072655A"/>
    <w:rsid w:val="007265D0"/>
    <w:rsid w:val="007269D1"/>
    <w:rsid w:val="00726A3A"/>
    <w:rsid w:val="00726B2D"/>
    <w:rsid w:val="00727386"/>
    <w:rsid w:val="007276F4"/>
    <w:rsid w:val="00727819"/>
    <w:rsid w:val="00727A6E"/>
    <w:rsid w:val="00727AFB"/>
    <w:rsid w:val="00727CFA"/>
    <w:rsid w:val="00727D56"/>
    <w:rsid w:val="00727F89"/>
    <w:rsid w:val="007300A4"/>
    <w:rsid w:val="0073016D"/>
    <w:rsid w:val="0073033A"/>
    <w:rsid w:val="007303A5"/>
    <w:rsid w:val="00730465"/>
    <w:rsid w:val="00730480"/>
    <w:rsid w:val="007305AA"/>
    <w:rsid w:val="00730697"/>
    <w:rsid w:val="00730B7C"/>
    <w:rsid w:val="00730D3E"/>
    <w:rsid w:val="00730EFE"/>
    <w:rsid w:val="00730F81"/>
    <w:rsid w:val="007310F2"/>
    <w:rsid w:val="00731173"/>
    <w:rsid w:val="007312AE"/>
    <w:rsid w:val="007312C8"/>
    <w:rsid w:val="007315BE"/>
    <w:rsid w:val="00731626"/>
    <w:rsid w:val="00731645"/>
    <w:rsid w:val="007318AE"/>
    <w:rsid w:val="007319DB"/>
    <w:rsid w:val="00731A1C"/>
    <w:rsid w:val="00731BFF"/>
    <w:rsid w:val="00731DBD"/>
    <w:rsid w:val="007326D7"/>
    <w:rsid w:val="007328D2"/>
    <w:rsid w:val="00733536"/>
    <w:rsid w:val="00733ED3"/>
    <w:rsid w:val="00733FC4"/>
    <w:rsid w:val="007340B7"/>
    <w:rsid w:val="0073414F"/>
    <w:rsid w:val="00734432"/>
    <w:rsid w:val="0073447C"/>
    <w:rsid w:val="00734AE2"/>
    <w:rsid w:val="00734BB5"/>
    <w:rsid w:val="00734C76"/>
    <w:rsid w:val="00735001"/>
    <w:rsid w:val="00735084"/>
    <w:rsid w:val="007352AE"/>
    <w:rsid w:val="007353E9"/>
    <w:rsid w:val="007354FC"/>
    <w:rsid w:val="00735804"/>
    <w:rsid w:val="00735941"/>
    <w:rsid w:val="0073597D"/>
    <w:rsid w:val="007359BE"/>
    <w:rsid w:val="007359E6"/>
    <w:rsid w:val="007359EF"/>
    <w:rsid w:val="00735A1B"/>
    <w:rsid w:val="00735A9E"/>
    <w:rsid w:val="00735C59"/>
    <w:rsid w:val="007362AA"/>
    <w:rsid w:val="007368C5"/>
    <w:rsid w:val="00736D6C"/>
    <w:rsid w:val="00736F11"/>
    <w:rsid w:val="00737376"/>
    <w:rsid w:val="00737536"/>
    <w:rsid w:val="007379CF"/>
    <w:rsid w:val="00737CFC"/>
    <w:rsid w:val="00737FC2"/>
    <w:rsid w:val="00737FF2"/>
    <w:rsid w:val="0074010F"/>
    <w:rsid w:val="00740210"/>
    <w:rsid w:val="007404E9"/>
    <w:rsid w:val="007404FC"/>
    <w:rsid w:val="0074056C"/>
    <w:rsid w:val="007407A9"/>
    <w:rsid w:val="0074123E"/>
    <w:rsid w:val="007412B9"/>
    <w:rsid w:val="007412E5"/>
    <w:rsid w:val="00741441"/>
    <w:rsid w:val="007415F4"/>
    <w:rsid w:val="0074185E"/>
    <w:rsid w:val="00741950"/>
    <w:rsid w:val="00741D0A"/>
    <w:rsid w:val="00741DC6"/>
    <w:rsid w:val="0074217D"/>
    <w:rsid w:val="00742183"/>
    <w:rsid w:val="007423BF"/>
    <w:rsid w:val="0074255E"/>
    <w:rsid w:val="00742B31"/>
    <w:rsid w:val="00742BC1"/>
    <w:rsid w:val="00742D84"/>
    <w:rsid w:val="00742DD9"/>
    <w:rsid w:val="0074304A"/>
    <w:rsid w:val="0074308C"/>
    <w:rsid w:val="0074312C"/>
    <w:rsid w:val="00743284"/>
    <w:rsid w:val="0074351A"/>
    <w:rsid w:val="00743988"/>
    <w:rsid w:val="00743F30"/>
    <w:rsid w:val="0074400F"/>
    <w:rsid w:val="0074404B"/>
    <w:rsid w:val="00744067"/>
    <w:rsid w:val="00744089"/>
    <w:rsid w:val="00744205"/>
    <w:rsid w:val="007443C2"/>
    <w:rsid w:val="00744601"/>
    <w:rsid w:val="00744AD6"/>
    <w:rsid w:val="00744B1B"/>
    <w:rsid w:val="00744CA5"/>
    <w:rsid w:val="00744D12"/>
    <w:rsid w:val="007450D1"/>
    <w:rsid w:val="007455C5"/>
    <w:rsid w:val="00745741"/>
    <w:rsid w:val="00745956"/>
    <w:rsid w:val="00745A7B"/>
    <w:rsid w:val="00745E3F"/>
    <w:rsid w:val="00745FC2"/>
    <w:rsid w:val="00745FE9"/>
    <w:rsid w:val="00746224"/>
    <w:rsid w:val="00746534"/>
    <w:rsid w:val="0074684A"/>
    <w:rsid w:val="00746908"/>
    <w:rsid w:val="007469C6"/>
    <w:rsid w:val="00746BD0"/>
    <w:rsid w:val="00746D9C"/>
    <w:rsid w:val="00747056"/>
    <w:rsid w:val="00747420"/>
    <w:rsid w:val="007474AC"/>
    <w:rsid w:val="0074759D"/>
    <w:rsid w:val="007477BB"/>
    <w:rsid w:val="00747A32"/>
    <w:rsid w:val="00747BC8"/>
    <w:rsid w:val="00747DF2"/>
    <w:rsid w:val="007502A2"/>
    <w:rsid w:val="007503F0"/>
    <w:rsid w:val="00750416"/>
    <w:rsid w:val="0075049F"/>
    <w:rsid w:val="0075062D"/>
    <w:rsid w:val="00750B62"/>
    <w:rsid w:val="00750D10"/>
    <w:rsid w:val="00750FD3"/>
    <w:rsid w:val="00750FE4"/>
    <w:rsid w:val="0075107C"/>
    <w:rsid w:val="007514D9"/>
    <w:rsid w:val="007515E4"/>
    <w:rsid w:val="007518C5"/>
    <w:rsid w:val="00751A28"/>
    <w:rsid w:val="00751C01"/>
    <w:rsid w:val="00751C41"/>
    <w:rsid w:val="0075243A"/>
    <w:rsid w:val="007524EB"/>
    <w:rsid w:val="00752892"/>
    <w:rsid w:val="007529F1"/>
    <w:rsid w:val="00752B0E"/>
    <w:rsid w:val="00753571"/>
    <w:rsid w:val="0075362B"/>
    <w:rsid w:val="00753648"/>
    <w:rsid w:val="00753863"/>
    <w:rsid w:val="00753913"/>
    <w:rsid w:val="00753993"/>
    <w:rsid w:val="00753C26"/>
    <w:rsid w:val="00753CA0"/>
    <w:rsid w:val="00753CF8"/>
    <w:rsid w:val="00753D30"/>
    <w:rsid w:val="00754396"/>
    <w:rsid w:val="00754750"/>
    <w:rsid w:val="007547E9"/>
    <w:rsid w:val="00754B66"/>
    <w:rsid w:val="0075524F"/>
    <w:rsid w:val="00755425"/>
    <w:rsid w:val="007556C5"/>
    <w:rsid w:val="00755819"/>
    <w:rsid w:val="00755911"/>
    <w:rsid w:val="00755C66"/>
    <w:rsid w:val="007562B4"/>
    <w:rsid w:val="007562C2"/>
    <w:rsid w:val="00756466"/>
    <w:rsid w:val="00756559"/>
    <w:rsid w:val="007565F3"/>
    <w:rsid w:val="0075667A"/>
    <w:rsid w:val="00756C48"/>
    <w:rsid w:val="00756D69"/>
    <w:rsid w:val="00756E5D"/>
    <w:rsid w:val="0075714F"/>
    <w:rsid w:val="007572A5"/>
    <w:rsid w:val="007578AA"/>
    <w:rsid w:val="00757A67"/>
    <w:rsid w:val="00757FB7"/>
    <w:rsid w:val="00760333"/>
    <w:rsid w:val="00760403"/>
    <w:rsid w:val="00760722"/>
    <w:rsid w:val="007608BA"/>
    <w:rsid w:val="007608D3"/>
    <w:rsid w:val="007609CD"/>
    <w:rsid w:val="00760C2E"/>
    <w:rsid w:val="00760C9B"/>
    <w:rsid w:val="00760D48"/>
    <w:rsid w:val="00760D58"/>
    <w:rsid w:val="0076104F"/>
    <w:rsid w:val="00761148"/>
    <w:rsid w:val="00761482"/>
    <w:rsid w:val="00761654"/>
    <w:rsid w:val="00761A3D"/>
    <w:rsid w:val="00761A80"/>
    <w:rsid w:val="00761D0B"/>
    <w:rsid w:val="00761EA0"/>
    <w:rsid w:val="0076225B"/>
    <w:rsid w:val="007622D4"/>
    <w:rsid w:val="00762347"/>
    <w:rsid w:val="007627C2"/>
    <w:rsid w:val="00762935"/>
    <w:rsid w:val="007629AC"/>
    <w:rsid w:val="00762B7C"/>
    <w:rsid w:val="00762B92"/>
    <w:rsid w:val="00762BF7"/>
    <w:rsid w:val="00762ECE"/>
    <w:rsid w:val="00763021"/>
    <w:rsid w:val="007636E8"/>
    <w:rsid w:val="007636F9"/>
    <w:rsid w:val="007637A4"/>
    <w:rsid w:val="0076387B"/>
    <w:rsid w:val="00763959"/>
    <w:rsid w:val="00763CB4"/>
    <w:rsid w:val="00763D5B"/>
    <w:rsid w:val="00763E89"/>
    <w:rsid w:val="00763F43"/>
    <w:rsid w:val="00764323"/>
    <w:rsid w:val="00764515"/>
    <w:rsid w:val="007648B5"/>
    <w:rsid w:val="007648F1"/>
    <w:rsid w:val="007649AC"/>
    <w:rsid w:val="00764A1F"/>
    <w:rsid w:val="00764BAB"/>
    <w:rsid w:val="00764C3E"/>
    <w:rsid w:val="00764CAB"/>
    <w:rsid w:val="00764E92"/>
    <w:rsid w:val="00764FD1"/>
    <w:rsid w:val="007650CF"/>
    <w:rsid w:val="00765107"/>
    <w:rsid w:val="007653FD"/>
    <w:rsid w:val="00765545"/>
    <w:rsid w:val="0076564D"/>
    <w:rsid w:val="007656A2"/>
    <w:rsid w:val="007657E5"/>
    <w:rsid w:val="00765871"/>
    <w:rsid w:val="007658AD"/>
    <w:rsid w:val="007659B2"/>
    <w:rsid w:val="00765CF9"/>
    <w:rsid w:val="00765D81"/>
    <w:rsid w:val="00765E6C"/>
    <w:rsid w:val="00765EC9"/>
    <w:rsid w:val="00765FB0"/>
    <w:rsid w:val="00765FE9"/>
    <w:rsid w:val="007662E3"/>
    <w:rsid w:val="00766312"/>
    <w:rsid w:val="007666AD"/>
    <w:rsid w:val="007666EA"/>
    <w:rsid w:val="00766A44"/>
    <w:rsid w:val="00766AEF"/>
    <w:rsid w:val="00766D3A"/>
    <w:rsid w:val="0076722A"/>
    <w:rsid w:val="007676BB"/>
    <w:rsid w:val="00767DFF"/>
    <w:rsid w:val="00767F63"/>
    <w:rsid w:val="00770167"/>
    <w:rsid w:val="007703F7"/>
    <w:rsid w:val="00770434"/>
    <w:rsid w:val="007705AD"/>
    <w:rsid w:val="00770650"/>
    <w:rsid w:val="007708CE"/>
    <w:rsid w:val="0077094E"/>
    <w:rsid w:val="00770986"/>
    <w:rsid w:val="007709B7"/>
    <w:rsid w:val="00770C32"/>
    <w:rsid w:val="00770CB9"/>
    <w:rsid w:val="00770D00"/>
    <w:rsid w:val="0077100C"/>
    <w:rsid w:val="007711CC"/>
    <w:rsid w:val="007715D5"/>
    <w:rsid w:val="00771860"/>
    <w:rsid w:val="00771B53"/>
    <w:rsid w:val="00771C22"/>
    <w:rsid w:val="00771EB4"/>
    <w:rsid w:val="0077209F"/>
    <w:rsid w:val="007720CD"/>
    <w:rsid w:val="0077211D"/>
    <w:rsid w:val="0077224B"/>
    <w:rsid w:val="00772381"/>
    <w:rsid w:val="0077292A"/>
    <w:rsid w:val="00772AAB"/>
    <w:rsid w:val="00772B9A"/>
    <w:rsid w:val="007732CA"/>
    <w:rsid w:val="00773613"/>
    <w:rsid w:val="007736B0"/>
    <w:rsid w:val="00773840"/>
    <w:rsid w:val="00773A67"/>
    <w:rsid w:val="00773AC0"/>
    <w:rsid w:val="00773BAB"/>
    <w:rsid w:val="007742E2"/>
    <w:rsid w:val="007742FA"/>
    <w:rsid w:val="00774345"/>
    <w:rsid w:val="007743A0"/>
    <w:rsid w:val="007743D8"/>
    <w:rsid w:val="007748A0"/>
    <w:rsid w:val="007749BA"/>
    <w:rsid w:val="00774A6D"/>
    <w:rsid w:val="00774AFC"/>
    <w:rsid w:val="00774C91"/>
    <w:rsid w:val="00774E02"/>
    <w:rsid w:val="00774FB6"/>
    <w:rsid w:val="00775182"/>
    <w:rsid w:val="007751B5"/>
    <w:rsid w:val="007752D6"/>
    <w:rsid w:val="00775323"/>
    <w:rsid w:val="007759C2"/>
    <w:rsid w:val="00775A99"/>
    <w:rsid w:val="00775B37"/>
    <w:rsid w:val="00775CD4"/>
    <w:rsid w:val="00776140"/>
    <w:rsid w:val="007761B1"/>
    <w:rsid w:val="007762D2"/>
    <w:rsid w:val="00776421"/>
    <w:rsid w:val="00776817"/>
    <w:rsid w:val="00776B34"/>
    <w:rsid w:val="00776B67"/>
    <w:rsid w:val="00776DAA"/>
    <w:rsid w:val="00776DF9"/>
    <w:rsid w:val="00777448"/>
    <w:rsid w:val="00777B0B"/>
    <w:rsid w:val="00780341"/>
    <w:rsid w:val="00780598"/>
    <w:rsid w:val="0078078F"/>
    <w:rsid w:val="007807EA"/>
    <w:rsid w:val="00780A5B"/>
    <w:rsid w:val="00780FA2"/>
    <w:rsid w:val="007814DC"/>
    <w:rsid w:val="00781AAF"/>
    <w:rsid w:val="00781AF3"/>
    <w:rsid w:val="0078206F"/>
    <w:rsid w:val="007820F0"/>
    <w:rsid w:val="00782136"/>
    <w:rsid w:val="00782616"/>
    <w:rsid w:val="007826A6"/>
    <w:rsid w:val="007827D9"/>
    <w:rsid w:val="00782845"/>
    <w:rsid w:val="00782CB9"/>
    <w:rsid w:val="007832C2"/>
    <w:rsid w:val="0078342C"/>
    <w:rsid w:val="00783435"/>
    <w:rsid w:val="00783664"/>
    <w:rsid w:val="007837C0"/>
    <w:rsid w:val="007838C3"/>
    <w:rsid w:val="00784118"/>
    <w:rsid w:val="007843ED"/>
    <w:rsid w:val="007847CB"/>
    <w:rsid w:val="0078480E"/>
    <w:rsid w:val="0078486C"/>
    <w:rsid w:val="00784875"/>
    <w:rsid w:val="00784A0C"/>
    <w:rsid w:val="00784A2B"/>
    <w:rsid w:val="00784DA9"/>
    <w:rsid w:val="00784E36"/>
    <w:rsid w:val="00785007"/>
    <w:rsid w:val="00785175"/>
    <w:rsid w:val="00785548"/>
    <w:rsid w:val="007856AA"/>
    <w:rsid w:val="0078579A"/>
    <w:rsid w:val="007858E1"/>
    <w:rsid w:val="00785E23"/>
    <w:rsid w:val="0078612A"/>
    <w:rsid w:val="00786337"/>
    <w:rsid w:val="007864E5"/>
    <w:rsid w:val="00786A4F"/>
    <w:rsid w:val="00786BD9"/>
    <w:rsid w:val="00786CC0"/>
    <w:rsid w:val="00786ED2"/>
    <w:rsid w:val="00786FF6"/>
    <w:rsid w:val="007873AF"/>
    <w:rsid w:val="00787518"/>
    <w:rsid w:val="007875F3"/>
    <w:rsid w:val="007877C7"/>
    <w:rsid w:val="007878C1"/>
    <w:rsid w:val="00787999"/>
    <w:rsid w:val="007879B9"/>
    <w:rsid w:val="00787DDE"/>
    <w:rsid w:val="00787F30"/>
    <w:rsid w:val="007901A0"/>
    <w:rsid w:val="00790800"/>
    <w:rsid w:val="0079086D"/>
    <w:rsid w:val="00790A40"/>
    <w:rsid w:val="00790D55"/>
    <w:rsid w:val="00790D75"/>
    <w:rsid w:val="00790D83"/>
    <w:rsid w:val="00790EC6"/>
    <w:rsid w:val="00790F13"/>
    <w:rsid w:val="00790F2F"/>
    <w:rsid w:val="00790F69"/>
    <w:rsid w:val="0079139A"/>
    <w:rsid w:val="00791995"/>
    <w:rsid w:val="00791A7D"/>
    <w:rsid w:val="00791AEF"/>
    <w:rsid w:val="00791C90"/>
    <w:rsid w:val="00791D5E"/>
    <w:rsid w:val="00791DEB"/>
    <w:rsid w:val="00791EFF"/>
    <w:rsid w:val="00791F25"/>
    <w:rsid w:val="0079256C"/>
    <w:rsid w:val="007928E8"/>
    <w:rsid w:val="0079292A"/>
    <w:rsid w:val="00792E16"/>
    <w:rsid w:val="00792E26"/>
    <w:rsid w:val="007932BB"/>
    <w:rsid w:val="00793A19"/>
    <w:rsid w:val="00793A4B"/>
    <w:rsid w:val="00793F45"/>
    <w:rsid w:val="00794027"/>
    <w:rsid w:val="0079415B"/>
    <w:rsid w:val="00794226"/>
    <w:rsid w:val="0079439A"/>
    <w:rsid w:val="0079449C"/>
    <w:rsid w:val="0079472A"/>
    <w:rsid w:val="007947BD"/>
    <w:rsid w:val="00794891"/>
    <w:rsid w:val="00794B3F"/>
    <w:rsid w:val="00794C55"/>
    <w:rsid w:val="00794DE3"/>
    <w:rsid w:val="00795071"/>
    <w:rsid w:val="007951AD"/>
    <w:rsid w:val="007951C1"/>
    <w:rsid w:val="007953F7"/>
    <w:rsid w:val="007953FF"/>
    <w:rsid w:val="007955F3"/>
    <w:rsid w:val="00795C66"/>
    <w:rsid w:val="00795C6B"/>
    <w:rsid w:val="00795CCB"/>
    <w:rsid w:val="00795D78"/>
    <w:rsid w:val="00795DA9"/>
    <w:rsid w:val="00795E70"/>
    <w:rsid w:val="00795F8C"/>
    <w:rsid w:val="007962AA"/>
    <w:rsid w:val="00796420"/>
    <w:rsid w:val="00796566"/>
    <w:rsid w:val="007965B8"/>
    <w:rsid w:val="00796A26"/>
    <w:rsid w:val="00796F89"/>
    <w:rsid w:val="007971F5"/>
    <w:rsid w:val="00797202"/>
    <w:rsid w:val="00797342"/>
    <w:rsid w:val="00797761"/>
    <w:rsid w:val="007978E3"/>
    <w:rsid w:val="00797913"/>
    <w:rsid w:val="00797964"/>
    <w:rsid w:val="00797CD7"/>
    <w:rsid w:val="00797E65"/>
    <w:rsid w:val="00797E9B"/>
    <w:rsid w:val="007A0134"/>
    <w:rsid w:val="007A0298"/>
    <w:rsid w:val="007A06EF"/>
    <w:rsid w:val="007A13AF"/>
    <w:rsid w:val="007A1495"/>
    <w:rsid w:val="007A1527"/>
    <w:rsid w:val="007A1611"/>
    <w:rsid w:val="007A19EC"/>
    <w:rsid w:val="007A1AC5"/>
    <w:rsid w:val="007A1CDF"/>
    <w:rsid w:val="007A204E"/>
    <w:rsid w:val="007A2472"/>
    <w:rsid w:val="007A25F2"/>
    <w:rsid w:val="007A2767"/>
    <w:rsid w:val="007A287A"/>
    <w:rsid w:val="007A2A33"/>
    <w:rsid w:val="007A2B0D"/>
    <w:rsid w:val="007A3053"/>
    <w:rsid w:val="007A311A"/>
    <w:rsid w:val="007A32FE"/>
    <w:rsid w:val="007A3320"/>
    <w:rsid w:val="007A352A"/>
    <w:rsid w:val="007A36C7"/>
    <w:rsid w:val="007A37DD"/>
    <w:rsid w:val="007A3A78"/>
    <w:rsid w:val="007A3A8E"/>
    <w:rsid w:val="007A3CED"/>
    <w:rsid w:val="007A3E45"/>
    <w:rsid w:val="007A3E93"/>
    <w:rsid w:val="007A478F"/>
    <w:rsid w:val="007A4808"/>
    <w:rsid w:val="007A4831"/>
    <w:rsid w:val="007A486C"/>
    <w:rsid w:val="007A48B8"/>
    <w:rsid w:val="007A4F41"/>
    <w:rsid w:val="007A4FB2"/>
    <w:rsid w:val="007A504C"/>
    <w:rsid w:val="007A537E"/>
    <w:rsid w:val="007A55D9"/>
    <w:rsid w:val="007A5985"/>
    <w:rsid w:val="007A598E"/>
    <w:rsid w:val="007A5A24"/>
    <w:rsid w:val="007A5A55"/>
    <w:rsid w:val="007A5D1A"/>
    <w:rsid w:val="007A5D69"/>
    <w:rsid w:val="007A5E98"/>
    <w:rsid w:val="007A5F15"/>
    <w:rsid w:val="007A6115"/>
    <w:rsid w:val="007A68FC"/>
    <w:rsid w:val="007A6FBD"/>
    <w:rsid w:val="007A6FED"/>
    <w:rsid w:val="007A6FFA"/>
    <w:rsid w:val="007A741F"/>
    <w:rsid w:val="007A76FE"/>
    <w:rsid w:val="007A7918"/>
    <w:rsid w:val="007A7A2C"/>
    <w:rsid w:val="007A7DE6"/>
    <w:rsid w:val="007A7E72"/>
    <w:rsid w:val="007B0147"/>
    <w:rsid w:val="007B02B4"/>
    <w:rsid w:val="007B0938"/>
    <w:rsid w:val="007B10F9"/>
    <w:rsid w:val="007B12D4"/>
    <w:rsid w:val="007B14C9"/>
    <w:rsid w:val="007B1B4B"/>
    <w:rsid w:val="007B1C72"/>
    <w:rsid w:val="007B1C86"/>
    <w:rsid w:val="007B1DD4"/>
    <w:rsid w:val="007B1FE8"/>
    <w:rsid w:val="007B2210"/>
    <w:rsid w:val="007B22E9"/>
    <w:rsid w:val="007B2638"/>
    <w:rsid w:val="007B2823"/>
    <w:rsid w:val="007B2A13"/>
    <w:rsid w:val="007B2B5C"/>
    <w:rsid w:val="007B2BB8"/>
    <w:rsid w:val="007B2CEE"/>
    <w:rsid w:val="007B2E0E"/>
    <w:rsid w:val="007B3228"/>
    <w:rsid w:val="007B3369"/>
    <w:rsid w:val="007B3377"/>
    <w:rsid w:val="007B33E9"/>
    <w:rsid w:val="007B346A"/>
    <w:rsid w:val="007B372B"/>
    <w:rsid w:val="007B3AEE"/>
    <w:rsid w:val="007B3CBD"/>
    <w:rsid w:val="007B3F5E"/>
    <w:rsid w:val="007B4230"/>
    <w:rsid w:val="007B424C"/>
    <w:rsid w:val="007B426D"/>
    <w:rsid w:val="007B42C3"/>
    <w:rsid w:val="007B4309"/>
    <w:rsid w:val="007B4328"/>
    <w:rsid w:val="007B4799"/>
    <w:rsid w:val="007B4814"/>
    <w:rsid w:val="007B48D8"/>
    <w:rsid w:val="007B4C0E"/>
    <w:rsid w:val="007B4F5E"/>
    <w:rsid w:val="007B5200"/>
    <w:rsid w:val="007B5237"/>
    <w:rsid w:val="007B5393"/>
    <w:rsid w:val="007B5670"/>
    <w:rsid w:val="007B58ED"/>
    <w:rsid w:val="007B58F9"/>
    <w:rsid w:val="007B5B80"/>
    <w:rsid w:val="007B5B82"/>
    <w:rsid w:val="007B5C84"/>
    <w:rsid w:val="007B5E4D"/>
    <w:rsid w:val="007B60B0"/>
    <w:rsid w:val="007B6187"/>
    <w:rsid w:val="007B627A"/>
    <w:rsid w:val="007B64D1"/>
    <w:rsid w:val="007B66BD"/>
    <w:rsid w:val="007B6781"/>
    <w:rsid w:val="007B6A50"/>
    <w:rsid w:val="007B6BC5"/>
    <w:rsid w:val="007B6C4F"/>
    <w:rsid w:val="007B6D60"/>
    <w:rsid w:val="007B6EFC"/>
    <w:rsid w:val="007B719E"/>
    <w:rsid w:val="007B7202"/>
    <w:rsid w:val="007B7CC2"/>
    <w:rsid w:val="007B7DC5"/>
    <w:rsid w:val="007C00EC"/>
    <w:rsid w:val="007C0202"/>
    <w:rsid w:val="007C084E"/>
    <w:rsid w:val="007C0ACA"/>
    <w:rsid w:val="007C0BB7"/>
    <w:rsid w:val="007C0BD3"/>
    <w:rsid w:val="007C0C33"/>
    <w:rsid w:val="007C112F"/>
    <w:rsid w:val="007C143B"/>
    <w:rsid w:val="007C1CEA"/>
    <w:rsid w:val="007C1E87"/>
    <w:rsid w:val="007C1F25"/>
    <w:rsid w:val="007C1F8F"/>
    <w:rsid w:val="007C2339"/>
    <w:rsid w:val="007C248F"/>
    <w:rsid w:val="007C27D6"/>
    <w:rsid w:val="007C28F0"/>
    <w:rsid w:val="007C2C2F"/>
    <w:rsid w:val="007C2CC3"/>
    <w:rsid w:val="007C2F46"/>
    <w:rsid w:val="007C335A"/>
    <w:rsid w:val="007C338C"/>
    <w:rsid w:val="007C33F3"/>
    <w:rsid w:val="007C3DA5"/>
    <w:rsid w:val="007C3DF0"/>
    <w:rsid w:val="007C3E6D"/>
    <w:rsid w:val="007C407F"/>
    <w:rsid w:val="007C420E"/>
    <w:rsid w:val="007C4415"/>
    <w:rsid w:val="007C4669"/>
    <w:rsid w:val="007C47D4"/>
    <w:rsid w:val="007C4849"/>
    <w:rsid w:val="007C4E5C"/>
    <w:rsid w:val="007C4EDF"/>
    <w:rsid w:val="007C4F4D"/>
    <w:rsid w:val="007C50E8"/>
    <w:rsid w:val="007C513F"/>
    <w:rsid w:val="007C51FF"/>
    <w:rsid w:val="007C529B"/>
    <w:rsid w:val="007C579C"/>
    <w:rsid w:val="007C5B79"/>
    <w:rsid w:val="007C6004"/>
    <w:rsid w:val="007C641B"/>
    <w:rsid w:val="007C641E"/>
    <w:rsid w:val="007C678B"/>
    <w:rsid w:val="007C6BE6"/>
    <w:rsid w:val="007C6D7E"/>
    <w:rsid w:val="007C70DC"/>
    <w:rsid w:val="007C7180"/>
    <w:rsid w:val="007C7184"/>
    <w:rsid w:val="007C7260"/>
    <w:rsid w:val="007C734B"/>
    <w:rsid w:val="007C7363"/>
    <w:rsid w:val="007C7434"/>
    <w:rsid w:val="007C7D2A"/>
    <w:rsid w:val="007D0138"/>
    <w:rsid w:val="007D0765"/>
    <w:rsid w:val="007D07CE"/>
    <w:rsid w:val="007D0967"/>
    <w:rsid w:val="007D0B00"/>
    <w:rsid w:val="007D0B25"/>
    <w:rsid w:val="007D0C60"/>
    <w:rsid w:val="007D0DB6"/>
    <w:rsid w:val="007D106F"/>
    <w:rsid w:val="007D1091"/>
    <w:rsid w:val="007D14E4"/>
    <w:rsid w:val="007D173C"/>
    <w:rsid w:val="007D1AF4"/>
    <w:rsid w:val="007D1E52"/>
    <w:rsid w:val="007D1E92"/>
    <w:rsid w:val="007D273A"/>
    <w:rsid w:val="007D2F23"/>
    <w:rsid w:val="007D30DB"/>
    <w:rsid w:val="007D31A0"/>
    <w:rsid w:val="007D3308"/>
    <w:rsid w:val="007D34F6"/>
    <w:rsid w:val="007D34FF"/>
    <w:rsid w:val="007D3518"/>
    <w:rsid w:val="007D3878"/>
    <w:rsid w:val="007D3B61"/>
    <w:rsid w:val="007D3E05"/>
    <w:rsid w:val="007D3E9E"/>
    <w:rsid w:val="007D3E9F"/>
    <w:rsid w:val="007D3F2C"/>
    <w:rsid w:val="007D4466"/>
    <w:rsid w:val="007D4467"/>
    <w:rsid w:val="007D45A5"/>
    <w:rsid w:val="007D4BE9"/>
    <w:rsid w:val="007D4D24"/>
    <w:rsid w:val="007D4E8D"/>
    <w:rsid w:val="007D4F81"/>
    <w:rsid w:val="007D5280"/>
    <w:rsid w:val="007D5355"/>
    <w:rsid w:val="007D558C"/>
    <w:rsid w:val="007D57B3"/>
    <w:rsid w:val="007D59D8"/>
    <w:rsid w:val="007D5B87"/>
    <w:rsid w:val="007D5BDA"/>
    <w:rsid w:val="007D5CB2"/>
    <w:rsid w:val="007D607B"/>
    <w:rsid w:val="007D63F5"/>
    <w:rsid w:val="007D64A1"/>
    <w:rsid w:val="007D654F"/>
    <w:rsid w:val="007D678B"/>
    <w:rsid w:val="007D69CD"/>
    <w:rsid w:val="007D6CF6"/>
    <w:rsid w:val="007D6D69"/>
    <w:rsid w:val="007D6DC9"/>
    <w:rsid w:val="007D70F4"/>
    <w:rsid w:val="007D725A"/>
    <w:rsid w:val="007D72E8"/>
    <w:rsid w:val="007D72EA"/>
    <w:rsid w:val="007D760C"/>
    <w:rsid w:val="007D788F"/>
    <w:rsid w:val="007D7AEE"/>
    <w:rsid w:val="007D7B95"/>
    <w:rsid w:val="007D7BE4"/>
    <w:rsid w:val="007D7E25"/>
    <w:rsid w:val="007D7EEF"/>
    <w:rsid w:val="007E0009"/>
    <w:rsid w:val="007E00F1"/>
    <w:rsid w:val="007E029F"/>
    <w:rsid w:val="007E02BD"/>
    <w:rsid w:val="007E04A3"/>
    <w:rsid w:val="007E0502"/>
    <w:rsid w:val="007E0620"/>
    <w:rsid w:val="007E0711"/>
    <w:rsid w:val="007E07DC"/>
    <w:rsid w:val="007E0B36"/>
    <w:rsid w:val="007E0BD9"/>
    <w:rsid w:val="007E0DD4"/>
    <w:rsid w:val="007E0EA2"/>
    <w:rsid w:val="007E10B6"/>
    <w:rsid w:val="007E1119"/>
    <w:rsid w:val="007E12D1"/>
    <w:rsid w:val="007E180B"/>
    <w:rsid w:val="007E1BE5"/>
    <w:rsid w:val="007E1CBC"/>
    <w:rsid w:val="007E1D0F"/>
    <w:rsid w:val="007E1DFB"/>
    <w:rsid w:val="007E2731"/>
    <w:rsid w:val="007E2A6F"/>
    <w:rsid w:val="007E2A7E"/>
    <w:rsid w:val="007E2B1A"/>
    <w:rsid w:val="007E2B1F"/>
    <w:rsid w:val="007E2D40"/>
    <w:rsid w:val="007E317A"/>
    <w:rsid w:val="007E31EE"/>
    <w:rsid w:val="007E35EF"/>
    <w:rsid w:val="007E36CB"/>
    <w:rsid w:val="007E388A"/>
    <w:rsid w:val="007E3D41"/>
    <w:rsid w:val="007E3D91"/>
    <w:rsid w:val="007E3E2A"/>
    <w:rsid w:val="007E3F15"/>
    <w:rsid w:val="007E4088"/>
    <w:rsid w:val="007E40D5"/>
    <w:rsid w:val="007E41A7"/>
    <w:rsid w:val="007E490C"/>
    <w:rsid w:val="007E4AAD"/>
    <w:rsid w:val="007E4C77"/>
    <w:rsid w:val="007E4DC6"/>
    <w:rsid w:val="007E4E82"/>
    <w:rsid w:val="007E5287"/>
    <w:rsid w:val="007E5F3F"/>
    <w:rsid w:val="007E615E"/>
    <w:rsid w:val="007E6912"/>
    <w:rsid w:val="007E6BA7"/>
    <w:rsid w:val="007E6C36"/>
    <w:rsid w:val="007E6C9B"/>
    <w:rsid w:val="007E6E2B"/>
    <w:rsid w:val="007E6F4D"/>
    <w:rsid w:val="007E7047"/>
    <w:rsid w:val="007E70EC"/>
    <w:rsid w:val="007E71F6"/>
    <w:rsid w:val="007E7384"/>
    <w:rsid w:val="007E77CD"/>
    <w:rsid w:val="007E7B7F"/>
    <w:rsid w:val="007E7C7B"/>
    <w:rsid w:val="007F01D4"/>
    <w:rsid w:val="007F0253"/>
    <w:rsid w:val="007F03C0"/>
    <w:rsid w:val="007F05E2"/>
    <w:rsid w:val="007F064C"/>
    <w:rsid w:val="007F068A"/>
    <w:rsid w:val="007F078C"/>
    <w:rsid w:val="007F07B4"/>
    <w:rsid w:val="007F0BE7"/>
    <w:rsid w:val="007F0EDF"/>
    <w:rsid w:val="007F117C"/>
    <w:rsid w:val="007F135E"/>
    <w:rsid w:val="007F17AC"/>
    <w:rsid w:val="007F18E3"/>
    <w:rsid w:val="007F19B5"/>
    <w:rsid w:val="007F1EA1"/>
    <w:rsid w:val="007F1F62"/>
    <w:rsid w:val="007F2A93"/>
    <w:rsid w:val="007F2E2F"/>
    <w:rsid w:val="007F2EAD"/>
    <w:rsid w:val="007F2F7E"/>
    <w:rsid w:val="007F2FE6"/>
    <w:rsid w:val="007F3D06"/>
    <w:rsid w:val="007F3E09"/>
    <w:rsid w:val="007F4010"/>
    <w:rsid w:val="007F41AE"/>
    <w:rsid w:val="007F432D"/>
    <w:rsid w:val="007F448A"/>
    <w:rsid w:val="007F4737"/>
    <w:rsid w:val="007F48C2"/>
    <w:rsid w:val="007F491A"/>
    <w:rsid w:val="007F4A3A"/>
    <w:rsid w:val="007F4BAB"/>
    <w:rsid w:val="007F4CDD"/>
    <w:rsid w:val="007F53C8"/>
    <w:rsid w:val="007F5AF6"/>
    <w:rsid w:val="007F5D18"/>
    <w:rsid w:val="007F5EE7"/>
    <w:rsid w:val="007F5F64"/>
    <w:rsid w:val="007F6006"/>
    <w:rsid w:val="007F6027"/>
    <w:rsid w:val="007F60D9"/>
    <w:rsid w:val="007F63BB"/>
    <w:rsid w:val="007F63D9"/>
    <w:rsid w:val="007F646D"/>
    <w:rsid w:val="007F6533"/>
    <w:rsid w:val="007F6551"/>
    <w:rsid w:val="007F6980"/>
    <w:rsid w:val="007F6CD8"/>
    <w:rsid w:val="007F6D38"/>
    <w:rsid w:val="007F6F09"/>
    <w:rsid w:val="007F6FA7"/>
    <w:rsid w:val="007F74C3"/>
    <w:rsid w:val="007F761F"/>
    <w:rsid w:val="007F77DA"/>
    <w:rsid w:val="007F7CF7"/>
    <w:rsid w:val="0080008D"/>
    <w:rsid w:val="00800283"/>
    <w:rsid w:val="008004C2"/>
    <w:rsid w:val="00800626"/>
    <w:rsid w:val="00800E2C"/>
    <w:rsid w:val="00801109"/>
    <w:rsid w:val="0080123F"/>
    <w:rsid w:val="00801262"/>
    <w:rsid w:val="00801542"/>
    <w:rsid w:val="00801693"/>
    <w:rsid w:val="008018F6"/>
    <w:rsid w:val="00801A0E"/>
    <w:rsid w:val="00801A13"/>
    <w:rsid w:val="00801AAD"/>
    <w:rsid w:val="00801B5D"/>
    <w:rsid w:val="00801C4F"/>
    <w:rsid w:val="00801E3C"/>
    <w:rsid w:val="00801F1C"/>
    <w:rsid w:val="00801FC6"/>
    <w:rsid w:val="008021BC"/>
    <w:rsid w:val="008025C6"/>
    <w:rsid w:val="0080287B"/>
    <w:rsid w:val="00802B63"/>
    <w:rsid w:val="00802C77"/>
    <w:rsid w:val="00803065"/>
    <w:rsid w:val="0080318A"/>
    <w:rsid w:val="008031D7"/>
    <w:rsid w:val="008032B8"/>
    <w:rsid w:val="008034DA"/>
    <w:rsid w:val="00803678"/>
    <w:rsid w:val="008036DA"/>
    <w:rsid w:val="00803831"/>
    <w:rsid w:val="008038B5"/>
    <w:rsid w:val="00803956"/>
    <w:rsid w:val="008039C0"/>
    <w:rsid w:val="00803A7D"/>
    <w:rsid w:val="00803A9C"/>
    <w:rsid w:val="00803E8F"/>
    <w:rsid w:val="008040DC"/>
    <w:rsid w:val="008042F2"/>
    <w:rsid w:val="008044ED"/>
    <w:rsid w:val="008045B0"/>
    <w:rsid w:val="00804853"/>
    <w:rsid w:val="0080492E"/>
    <w:rsid w:val="008049EB"/>
    <w:rsid w:val="00804BD8"/>
    <w:rsid w:val="00804D19"/>
    <w:rsid w:val="00804D33"/>
    <w:rsid w:val="00804DAF"/>
    <w:rsid w:val="00804EB5"/>
    <w:rsid w:val="0080507B"/>
    <w:rsid w:val="008055C7"/>
    <w:rsid w:val="0080567D"/>
    <w:rsid w:val="00805994"/>
    <w:rsid w:val="0080599F"/>
    <w:rsid w:val="00805ACD"/>
    <w:rsid w:val="00805CB3"/>
    <w:rsid w:val="00805CBA"/>
    <w:rsid w:val="00805DCC"/>
    <w:rsid w:val="00805E7A"/>
    <w:rsid w:val="00806317"/>
    <w:rsid w:val="00806501"/>
    <w:rsid w:val="00806519"/>
    <w:rsid w:val="00806671"/>
    <w:rsid w:val="008069A6"/>
    <w:rsid w:val="00806DFF"/>
    <w:rsid w:val="00807080"/>
    <w:rsid w:val="008076EA"/>
    <w:rsid w:val="00807824"/>
    <w:rsid w:val="00807E82"/>
    <w:rsid w:val="00807ECF"/>
    <w:rsid w:val="00810011"/>
    <w:rsid w:val="00810139"/>
    <w:rsid w:val="008101E1"/>
    <w:rsid w:val="00810B78"/>
    <w:rsid w:val="00810CE8"/>
    <w:rsid w:val="00810E26"/>
    <w:rsid w:val="00811270"/>
    <w:rsid w:val="008114AA"/>
    <w:rsid w:val="00811E44"/>
    <w:rsid w:val="0081207B"/>
    <w:rsid w:val="0081243C"/>
    <w:rsid w:val="008127BC"/>
    <w:rsid w:val="00812821"/>
    <w:rsid w:val="00812D6A"/>
    <w:rsid w:val="00813149"/>
    <w:rsid w:val="008132CD"/>
    <w:rsid w:val="00813708"/>
    <w:rsid w:val="008137E9"/>
    <w:rsid w:val="008138B4"/>
    <w:rsid w:val="008138DF"/>
    <w:rsid w:val="00813A9C"/>
    <w:rsid w:val="00813AB6"/>
    <w:rsid w:val="00813FA9"/>
    <w:rsid w:val="0081404F"/>
    <w:rsid w:val="0081431E"/>
    <w:rsid w:val="008147B2"/>
    <w:rsid w:val="00814B19"/>
    <w:rsid w:val="00814CB4"/>
    <w:rsid w:val="00814EB0"/>
    <w:rsid w:val="0081509F"/>
    <w:rsid w:val="008153CB"/>
    <w:rsid w:val="0081549E"/>
    <w:rsid w:val="008155D1"/>
    <w:rsid w:val="00815B01"/>
    <w:rsid w:val="00815C16"/>
    <w:rsid w:val="00815D2A"/>
    <w:rsid w:val="00815D70"/>
    <w:rsid w:val="00815EDC"/>
    <w:rsid w:val="00815F26"/>
    <w:rsid w:val="00815F87"/>
    <w:rsid w:val="00815FF3"/>
    <w:rsid w:val="00816128"/>
    <w:rsid w:val="00816294"/>
    <w:rsid w:val="00816393"/>
    <w:rsid w:val="00816787"/>
    <w:rsid w:val="00816847"/>
    <w:rsid w:val="008168F1"/>
    <w:rsid w:val="00816E2E"/>
    <w:rsid w:val="00816F10"/>
    <w:rsid w:val="00817375"/>
    <w:rsid w:val="008177BE"/>
    <w:rsid w:val="0081793E"/>
    <w:rsid w:val="00817AF8"/>
    <w:rsid w:val="00820048"/>
    <w:rsid w:val="0082031E"/>
    <w:rsid w:val="0082049C"/>
    <w:rsid w:val="008204F8"/>
    <w:rsid w:val="00820569"/>
    <w:rsid w:val="008207F5"/>
    <w:rsid w:val="00820E80"/>
    <w:rsid w:val="00820EAC"/>
    <w:rsid w:val="00820F53"/>
    <w:rsid w:val="00821130"/>
    <w:rsid w:val="008213D5"/>
    <w:rsid w:val="008213DE"/>
    <w:rsid w:val="0082184A"/>
    <w:rsid w:val="00821AE9"/>
    <w:rsid w:val="00821C94"/>
    <w:rsid w:val="00821E33"/>
    <w:rsid w:val="00821E75"/>
    <w:rsid w:val="00821FF8"/>
    <w:rsid w:val="00822474"/>
    <w:rsid w:val="00822600"/>
    <w:rsid w:val="0082262B"/>
    <w:rsid w:val="00822651"/>
    <w:rsid w:val="0082273A"/>
    <w:rsid w:val="0082275C"/>
    <w:rsid w:val="008227C4"/>
    <w:rsid w:val="00822AB5"/>
    <w:rsid w:val="00822E0A"/>
    <w:rsid w:val="00822F37"/>
    <w:rsid w:val="00822FBF"/>
    <w:rsid w:val="0082311A"/>
    <w:rsid w:val="0082312F"/>
    <w:rsid w:val="00823577"/>
    <w:rsid w:val="008235A2"/>
    <w:rsid w:val="00823927"/>
    <w:rsid w:val="008239F6"/>
    <w:rsid w:val="00823A1E"/>
    <w:rsid w:val="00824091"/>
    <w:rsid w:val="008240AC"/>
    <w:rsid w:val="0082410E"/>
    <w:rsid w:val="0082425D"/>
    <w:rsid w:val="008246A5"/>
    <w:rsid w:val="00824A7C"/>
    <w:rsid w:val="00824CF6"/>
    <w:rsid w:val="00824EF1"/>
    <w:rsid w:val="00825030"/>
    <w:rsid w:val="0082520B"/>
    <w:rsid w:val="008252F6"/>
    <w:rsid w:val="0082566B"/>
    <w:rsid w:val="00825713"/>
    <w:rsid w:val="00825CBE"/>
    <w:rsid w:val="00825F01"/>
    <w:rsid w:val="008260D3"/>
    <w:rsid w:val="00826210"/>
    <w:rsid w:val="008267C1"/>
    <w:rsid w:val="008269C0"/>
    <w:rsid w:val="00826BA8"/>
    <w:rsid w:val="00826E80"/>
    <w:rsid w:val="00826F3B"/>
    <w:rsid w:val="00826FCF"/>
    <w:rsid w:val="00826FF6"/>
    <w:rsid w:val="008270BE"/>
    <w:rsid w:val="00827A47"/>
    <w:rsid w:val="00827CAD"/>
    <w:rsid w:val="00827E47"/>
    <w:rsid w:val="00830311"/>
    <w:rsid w:val="00830451"/>
    <w:rsid w:val="00830703"/>
    <w:rsid w:val="00830725"/>
    <w:rsid w:val="008307F0"/>
    <w:rsid w:val="008309CA"/>
    <w:rsid w:val="00830B20"/>
    <w:rsid w:val="00830ED8"/>
    <w:rsid w:val="0083119A"/>
    <w:rsid w:val="008315CD"/>
    <w:rsid w:val="008316B7"/>
    <w:rsid w:val="008319A1"/>
    <w:rsid w:val="00831A69"/>
    <w:rsid w:val="00831B73"/>
    <w:rsid w:val="00831D68"/>
    <w:rsid w:val="00831E18"/>
    <w:rsid w:val="00831E4F"/>
    <w:rsid w:val="008320EE"/>
    <w:rsid w:val="00832136"/>
    <w:rsid w:val="0083214F"/>
    <w:rsid w:val="008323B0"/>
    <w:rsid w:val="008327BE"/>
    <w:rsid w:val="0083297D"/>
    <w:rsid w:val="00832B7D"/>
    <w:rsid w:val="00832D3B"/>
    <w:rsid w:val="00832DBB"/>
    <w:rsid w:val="00832FF5"/>
    <w:rsid w:val="0083323D"/>
    <w:rsid w:val="008333DD"/>
    <w:rsid w:val="00833BFE"/>
    <w:rsid w:val="00833CA3"/>
    <w:rsid w:val="00833D86"/>
    <w:rsid w:val="00833F03"/>
    <w:rsid w:val="008344B2"/>
    <w:rsid w:val="00834639"/>
    <w:rsid w:val="0083493E"/>
    <w:rsid w:val="00834950"/>
    <w:rsid w:val="00834A8C"/>
    <w:rsid w:val="00834BE9"/>
    <w:rsid w:val="00834BED"/>
    <w:rsid w:val="0083527E"/>
    <w:rsid w:val="00835405"/>
    <w:rsid w:val="00835906"/>
    <w:rsid w:val="008359EA"/>
    <w:rsid w:val="00835A05"/>
    <w:rsid w:val="00835ABA"/>
    <w:rsid w:val="0083608A"/>
    <w:rsid w:val="008360AF"/>
    <w:rsid w:val="008361AC"/>
    <w:rsid w:val="00836242"/>
    <w:rsid w:val="00836636"/>
    <w:rsid w:val="00836848"/>
    <w:rsid w:val="00836981"/>
    <w:rsid w:val="00836A3B"/>
    <w:rsid w:val="00836B4B"/>
    <w:rsid w:val="00836B6F"/>
    <w:rsid w:val="00836D08"/>
    <w:rsid w:val="00836F42"/>
    <w:rsid w:val="0083707F"/>
    <w:rsid w:val="00837084"/>
    <w:rsid w:val="0083715D"/>
    <w:rsid w:val="0083716C"/>
    <w:rsid w:val="00837493"/>
    <w:rsid w:val="008374CD"/>
    <w:rsid w:val="008374D3"/>
    <w:rsid w:val="008376A9"/>
    <w:rsid w:val="0083775D"/>
    <w:rsid w:val="0084007B"/>
    <w:rsid w:val="00840245"/>
    <w:rsid w:val="00840481"/>
    <w:rsid w:val="008406D4"/>
    <w:rsid w:val="0084071D"/>
    <w:rsid w:val="00840956"/>
    <w:rsid w:val="00840A14"/>
    <w:rsid w:val="00840A29"/>
    <w:rsid w:val="00840AEC"/>
    <w:rsid w:val="00840D76"/>
    <w:rsid w:val="00840DB1"/>
    <w:rsid w:val="00841200"/>
    <w:rsid w:val="00841669"/>
    <w:rsid w:val="00841767"/>
    <w:rsid w:val="00841933"/>
    <w:rsid w:val="00841946"/>
    <w:rsid w:val="00841A26"/>
    <w:rsid w:val="00841A9A"/>
    <w:rsid w:val="00841C91"/>
    <w:rsid w:val="00841CAD"/>
    <w:rsid w:val="00841EB3"/>
    <w:rsid w:val="00841ED1"/>
    <w:rsid w:val="00841EEF"/>
    <w:rsid w:val="0084200D"/>
    <w:rsid w:val="0084205F"/>
    <w:rsid w:val="008420F6"/>
    <w:rsid w:val="0084214A"/>
    <w:rsid w:val="00842207"/>
    <w:rsid w:val="0084236D"/>
    <w:rsid w:val="00842521"/>
    <w:rsid w:val="00842671"/>
    <w:rsid w:val="00842724"/>
    <w:rsid w:val="008427A6"/>
    <w:rsid w:val="00842922"/>
    <w:rsid w:val="00842E09"/>
    <w:rsid w:val="00842EE7"/>
    <w:rsid w:val="00843479"/>
    <w:rsid w:val="008438EC"/>
    <w:rsid w:val="00843AE3"/>
    <w:rsid w:val="00843B77"/>
    <w:rsid w:val="00843C15"/>
    <w:rsid w:val="00843C32"/>
    <w:rsid w:val="00843CD7"/>
    <w:rsid w:val="00843CEB"/>
    <w:rsid w:val="00843D56"/>
    <w:rsid w:val="00843E52"/>
    <w:rsid w:val="00843F3C"/>
    <w:rsid w:val="00843F44"/>
    <w:rsid w:val="00844523"/>
    <w:rsid w:val="00844867"/>
    <w:rsid w:val="00844F0F"/>
    <w:rsid w:val="00844F89"/>
    <w:rsid w:val="008452EE"/>
    <w:rsid w:val="00845375"/>
    <w:rsid w:val="0084543A"/>
    <w:rsid w:val="008455F6"/>
    <w:rsid w:val="00845889"/>
    <w:rsid w:val="00845955"/>
    <w:rsid w:val="00845AFD"/>
    <w:rsid w:val="00845D35"/>
    <w:rsid w:val="00845E01"/>
    <w:rsid w:val="00846029"/>
    <w:rsid w:val="0084604E"/>
    <w:rsid w:val="00846149"/>
    <w:rsid w:val="00846234"/>
    <w:rsid w:val="00846408"/>
    <w:rsid w:val="00846BEF"/>
    <w:rsid w:val="00846BF7"/>
    <w:rsid w:val="00846F07"/>
    <w:rsid w:val="00846FFD"/>
    <w:rsid w:val="008471CD"/>
    <w:rsid w:val="0084733A"/>
    <w:rsid w:val="0084735E"/>
    <w:rsid w:val="008474FC"/>
    <w:rsid w:val="00847756"/>
    <w:rsid w:val="008477E2"/>
    <w:rsid w:val="00847B32"/>
    <w:rsid w:val="00847C4B"/>
    <w:rsid w:val="00847CE2"/>
    <w:rsid w:val="00847F6E"/>
    <w:rsid w:val="008501CB"/>
    <w:rsid w:val="008502A1"/>
    <w:rsid w:val="0085037B"/>
    <w:rsid w:val="0085047D"/>
    <w:rsid w:val="00850755"/>
    <w:rsid w:val="00850873"/>
    <w:rsid w:val="00850BD0"/>
    <w:rsid w:val="0085109A"/>
    <w:rsid w:val="008512E0"/>
    <w:rsid w:val="008517B7"/>
    <w:rsid w:val="00851AA0"/>
    <w:rsid w:val="00851DD2"/>
    <w:rsid w:val="00851F0D"/>
    <w:rsid w:val="008522D9"/>
    <w:rsid w:val="00852334"/>
    <w:rsid w:val="008524CE"/>
    <w:rsid w:val="008524E8"/>
    <w:rsid w:val="008524EA"/>
    <w:rsid w:val="008527C7"/>
    <w:rsid w:val="00852B0D"/>
    <w:rsid w:val="00852B9A"/>
    <w:rsid w:val="0085300D"/>
    <w:rsid w:val="00853227"/>
    <w:rsid w:val="0085327C"/>
    <w:rsid w:val="008532FA"/>
    <w:rsid w:val="008537D6"/>
    <w:rsid w:val="008538E1"/>
    <w:rsid w:val="008538E2"/>
    <w:rsid w:val="00853A2A"/>
    <w:rsid w:val="00853B8C"/>
    <w:rsid w:val="00853BB1"/>
    <w:rsid w:val="008540D7"/>
    <w:rsid w:val="0085416C"/>
    <w:rsid w:val="00854174"/>
    <w:rsid w:val="0085457E"/>
    <w:rsid w:val="00854855"/>
    <w:rsid w:val="00854B85"/>
    <w:rsid w:val="00854BBC"/>
    <w:rsid w:val="00854C21"/>
    <w:rsid w:val="0085503E"/>
    <w:rsid w:val="0085507C"/>
    <w:rsid w:val="0085530D"/>
    <w:rsid w:val="00855507"/>
    <w:rsid w:val="00855AA6"/>
    <w:rsid w:val="00855BC8"/>
    <w:rsid w:val="00855C0C"/>
    <w:rsid w:val="008560AB"/>
    <w:rsid w:val="00856369"/>
    <w:rsid w:val="00856529"/>
    <w:rsid w:val="00856548"/>
    <w:rsid w:val="00856619"/>
    <w:rsid w:val="008568A9"/>
    <w:rsid w:val="00856BFE"/>
    <w:rsid w:val="00856CCB"/>
    <w:rsid w:val="00856CF6"/>
    <w:rsid w:val="00856EEC"/>
    <w:rsid w:val="00857191"/>
    <w:rsid w:val="00857388"/>
    <w:rsid w:val="00857737"/>
    <w:rsid w:val="00857790"/>
    <w:rsid w:val="008577BF"/>
    <w:rsid w:val="00857B23"/>
    <w:rsid w:val="00857C3B"/>
    <w:rsid w:val="00857CB2"/>
    <w:rsid w:val="00857F26"/>
    <w:rsid w:val="0086002D"/>
    <w:rsid w:val="008600E0"/>
    <w:rsid w:val="00860628"/>
    <w:rsid w:val="0086070C"/>
    <w:rsid w:val="0086094E"/>
    <w:rsid w:val="00860A80"/>
    <w:rsid w:val="00860BF0"/>
    <w:rsid w:val="00860CA5"/>
    <w:rsid w:val="00861173"/>
    <w:rsid w:val="00861328"/>
    <w:rsid w:val="008614AF"/>
    <w:rsid w:val="0086183C"/>
    <w:rsid w:val="0086188D"/>
    <w:rsid w:val="00861A42"/>
    <w:rsid w:val="00861AC6"/>
    <w:rsid w:val="00861AD7"/>
    <w:rsid w:val="00861EA0"/>
    <w:rsid w:val="00862198"/>
    <w:rsid w:val="00862727"/>
    <w:rsid w:val="008627C0"/>
    <w:rsid w:val="00862D59"/>
    <w:rsid w:val="00862DF0"/>
    <w:rsid w:val="0086311E"/>
    <w:rsid w:val="0086335D"/>
    <w:rsid w:val="008633A6"/>
    <w:rsid w:val="008637A1"/>
    <w:rsid w:val="008637D8"/>
    <w:rsid w:val="00863893"/>
    <w:rsid w:val="008641BE"/>
    <w:rsid w:val="00864410"/>
    <w:rsid w:val="0086444F"/>
    <w:rsid w:val="00864A0D"/>
    <w:rsid w:val="00864AC0"/>
    <w:rsid w:val="00864E23"/>
    <w:rsid w:val="00864EED"/>
    <w:rsid w:val="008653D3"/>
    <w:rsid w:val="008653D9"/>
    <w:rsid w:val="00865438"/>
    <w:rsid w:val="00865863"/>
    <w:rsid w:val="00865889"/>
    <w:rsid w:val="00865BB1"/>
    <w:rsid w:val="00866335"/>
    <w:rsid w:val="00866386"/>
    <w:rsid w:val="00866719"/>
    <w:rsid w:val="00866751"/>
    <w:rsid w:val="00866815"/>
    <w:rsid w:val="0086687C"/>
    <w:rsid w:val="008669B7"/>
    <w:rsid w:val="00866A30"/>
    <w:rsid w:val="00867369"/>
    <w:rsid w:val="008673E7"/>
    <w:rsid w:val="008677FF"/>
    <w:rsid w:val="00867B37"/>
    <w:rsid w:val="00867C5D"/>
    <w:rsid w:val="00867CAE"/>
    <w:rsid w:val="00867D57"/>
    <w:rsid w:val="00867DB0"/>
    <w:rsid w:val="00867F30"/>
    <w:rsid w:val="008700D9"/>
    <w:rsid w:val="008704F8"/>
    <w:rsid w:val="00870737"/>
    <w:rsid w:val="008707E9"/>
    <w:rsid w:val="008709FB"/>
    <w:rsid w:val="00870A05"/>
    <w:rsid w:val="00870A0A"/>
    <w:rsid w:val="00870A31"/>
    <w:rsid w:val="00870A46"/>
    <w:rsid w:val="00870B28"/>
    <w:rsid w:val="00870E29"/>
    <w:rsid w:val="008711BF"/>
    <w:rsid w:val="008711EB"/>
    <w:rsid w:val="00871298"/>
    <w:rsid w:val="00871841"/>
    <w:rsid w:val="008718E9"/>
    <w:rsid w:val="0087191A"/>
    <w:rsid w:val="00871D0D"/>
    <w:rsid w:val="00871D21"/>
    <w:rsid w:val="008721C7"/>
    <w:rsid w:val="008725E1"/>
    <w:rsid w:val="008726C6"/>
    <w:rsid w:val="008727AB"/>
    <w:rsid w:val="008728FD"/>
    <w:rsid w:val="00872B18"/>
    <w:rsid w:val="00872E67"/>
    <w:rsid w:val="00872F1C"/>
    <w:rsid w:val="008730AC"/>
    <w:rsid w:val="008732E5"/>
    <w:rsid w:val="0087339C"/>
    <w:rsid w:val="008733F1"/>
    <w:rsid w:val="0087359C"/>
    <w:rsid w:val="008736FC"/>
    <w:rsid w:val="0087388C"/>
    <w:rsid w:val="00873F28"/>
    <w:rsid w:val="008740AD"/>
    <w:rsid w:val="008740B3"/>
    <w:rsid w:val="00874266"/>
    <w:rsid w:val="00874293"/>
    <w:rsid w:val="0087434D"/>
    <w:rsid w:val="00874A1C"/>
    <w:rsid w:val="00874BC4"/>
    <w:rsid w:val="00874CFC"/>
    <w:rsid w:val="00874F87"/>
    <w:rsid w:val="00875142"/>
    <w:rsid w:val="008752D2"/>
    <w:rsid w:val="008753CB"/>
    <w:rsid w:val="008753F3"/>
    <w:rsid w:val="00875652"/>
    <w:rsid w:val="00875829"/>
    <w:rsid w:val="00875D64"/>
    <w:rsid w:val="00876124"/>
    <w:rsid w:val="0087639E"/>
    <w:rsid w:val="0087649C"/>
    <w:rsid w:val="0087682E"/>
    <w:rsid w:val="00876843"/>
    <w:rsid w:val="008768E9"/>
    <w:rsid w:val="00876A54"/>
    <w:rsid w:val="00876C71"/>
    <w:rsid w:val="00876D63"/>
    <w:rsid w:val="00876F7A"/>
    <w:rsid w:val="0087719E"/>
    <w:rsid w:val="008772EC"/>
    <w:rsid w:val="00877447"/>
    <w:rsid w:val="0087769B"/>
    <w:rsid w:val="0087781D"/>
    <w:rsid w:val="0087799A"/>
    <w:rsid w:val="00877F56"/>
    <w:rsid w:val="00880038"/>
    <w:rsid w:val="008805FF"/>
    <w:rsid w:val="008806D0"/>
    <w:rsid w:val="00880B15"/>
    <w:rsid w:val="00881065"/>
    <w:rsid w:val="008813D8"/>
    <w:rsid w:val="00881737"/>
    <w:rsid w:val="00881A79"/>
    <w:rsid w:val="00881CC0"/>
    <w:rsid w:val="00881FC2"/>
    <w:rsid w:val="00882401"/>
    <w:rsid w:val="0088257C"/>
    <w:rsid w:val="00882742"/>
    <w:rsid w:val="00882D58"/>
    <w:rsid w:val="00882E12"/>
    <w:rsid w:val="00882E54"/>
    <w:rsid w:val="0088306F"/>
    <w:rsid w:val="008830E3"/>
    <w:rsid w:val="0088311D"/>
    <w:rsid w:val="008832D5"/>
    <w:rsid w:val="00883649"/>
    <w:rsid w:val="00883734"/>
    <w:rsid w:val="00883A85"/>
    <w:rsid w:val="00883CEF"/>
    <w:rsid w:val="00883D13"/>
    <w:rsid w:val="00883E5F"/>
    <w:rsid w:val="00883ECB"/>
    <w:rsid w:val="00883FEE"/>
    <w:rsid w:val="0088449B"/>
    <w:rsid w:val="008844DD"/>
    <w:rsid w:val="008846C6"/>
    <w:rsid w:val="0088472D"/>
    <w:rsid w:val="00884935"/>
    <w:rsid w:val="00884B90"/>
    <w:rsid w:val="00884BD2"/>
    <w:rsid w:val="00884C54"/>
    <w:rsid w:val="00884E13"/>
    <w:rsid w:val="008851A7"/>
    <w:rsid w:val="00885267"/>
    <w:rsid w:val="00885284"/>
    <w:rsid w:val="008853BF"/>
    <w:rsid w:val="008854DB"/>
    <w:rsid w:val="00885712"/>
    <w:rsid w:val="0088594C"/>
    <w:rsid w:val="00885C51"/>
    <w:rsid w:val="00885E6B"/>
    <w:rsid w:val="00885ED9"/>
    <w:rsid w:val="00885F35"/>
    <w:rsid w:val="00886050"/>
    <w:rsid w:val="008861F4"/>
    <w:rsid w:val="00886283"/>
    <w:rsid w:val="00886440"/>
    <w:rsid w:val="008868F7"/>
    <w:rsid w:val="0088692B"/>
    <w:rsid w:val="00886ACC"/>
    <w:rsid w:val="00886CCA"/>
    <w:rsid w:val="00886CDA"/>
    <w:rsid w:val="00886E45"/>
    <w:rsid w:val="0088712B"/>
    <w:rsid w:val="0088740C"/>
    <w:rsid w:val="00887BD5"/>
    <w:rsid w:val="00887DA5"/>
    <w:rsid w:val="00887E49"/>
    <w:rsid w:val="008902FD"/>
    <w:rsid w:val="00890495"/>
    <w:rsid w:val="0089051D"/>
    <w:rsid w:val="008906FC"/>
    <w:rsid w:val="0089081B"/>
    <w:rsid w:val="00890FA3"/>
    <w:rsid w:val="008910AA"/>
    <w:rsid w:val="00891146"/>
    <w:rsid w:val="00891500"/>
    <w:rsid w:val="008917EE"/>
    <w:rsid w:val="00891B1F"/>
    <w:rsid w:val="00891D1F"/>
    <w:rsid w:val="00891E98"/>
    <w:rsid w:val="00891F3D"/>
    <w:rsid w:val="008922F1"/>
    <w:rsid w:val="00893000"/>
    <w:rsid w:val="0089374A"/>
    <w:rsid w:val="00893A02"/>
    <w:rsid w:val="00893B16"/>
    <w:rsid w:val="00893C10"/>
    <w:rsid w:val="00893D2A"/>
    <w:rsid w:val="00893D52"/>
    <w:rsid w:val="00893DD6"/>
    <w:rsid w:val="00893E56"/>
    <w:rsid w:val="00894066"/>
    <w:rsid w:val="00894FD5"/>
    <w:rsid w:val="00895355"/>
    <w:rsid w:val="008955F5"/>
    <w:rsid w:val="00895678"/>
    <w:rsid w:val="0089574B"/>
    <w:rsid w:val="00895AF9"/>
    <w:rsid w:val="00895B18"/>
    <w:rsid w:val="00895CFC"/>
    <w:rsid w:val="00895D77"/>
    <w:rsid w:val="00895D81"/>
    <w:rsid w:val="00895EDC"/>
    <w:rsid w:val="00895F0C"/>
    <w:rsid w:val="00895FDE"/>
    <w:rsid w:val="00896161"/>
    <w:rsid w:val="008961C9"/>
    <w:rsid w:val="00896321"/>
    <w:rsid w:val="008966BC"/>
    <w:rsid w:val="0089678A"/>
    <w:rsid w:val="008968F4"/>
    <w:rsid w:val="00896C81"/>
    <w:rsid w:val="00896EAF"/>
    <w:rsid w:val="00896F1F"/>
    <w:rsid w:val="00896F9E"/>
    <w:rsid w:val="00897060"/>
    <w:rsid w:val="00897296"/>
    <w:rsid w:val="00897491"/>
    <w:rsid w:val="00897492"/>
    <w:rsid w:val="0089777A"/>
    <w:rsid w:val="00897A2F"/>
    <w:rsid w:val="00897CB6"/>
    <w:rsid w:val="00897DB6"/>
    <w:rsid w:val="008A0010"/>
    <w:rsid w:val="008A03B4"/>
    <w:rsid w:val="008A0AE0"/>
    <w:rsid w:val="008A0F4A"/>
    <w:rsid w:val="008A0FF1"/>
    <w:rsid w:val="008A109D"/>
    <w:rsid w:val="008A1119"/>
    <w:rsid w:val="008A1394"/>
    <w:rsid w:val="008A14E3"/>
    <w:rsid w:val="008A150F"/>
    <w:rsid w:val="008A151F"/>
    <w:rsid w:val="008A1560"/>
    <w:rsid w:val="008A18EC"/>
    <w:rsid w:val="008A1A5F"/>
    <w:rsid w:val="008A1D6C"/>
    <w:rsid w:val="008A1F05"/>
    <w:rsid w:val="008A20D8"/>
    <w:rsid w:val="008A2439"/>
    <w:rsid w:val="008A25BA"/>
    <w:rsid w:val="008A2782"/>
    <w:rsid w:val="008A2AE6"/>
    <w:rsid w:val="008A2AF2"/>
    <w:rsid w:val="008A2E7A"/>
    <w:rsid w:val="008A2ECB"/>
    <w:rsid w:val="008A30A6"/>
    <w:rsid w:val="008A310B"/>
    <w:rsid w:val="008A33C0"/>
    <w:rsid w:val="008A33EB"/>
    <w:rsid w:val="008A3402"/>
    <w:rsid w:val="008A3477"/>
    <w:rsid w:val="008A3576"/>
    <w:rsid w:val="008A3616"/>
    <w:rsid w:val="008A3626"/>
    <w:rsid w:val="008A38D5"/>
    <w:rsid w:val="008A3BBD"/>
    <w:rsid w:val="008A3BDC"/>
    <w:rsid w:val="008A3CC2"/>
    <w:rsid w:val="008A3D20"/>
    <w:rsid w:val="008A4093"/>
    <w:rsid w:val="008A4322"/>
    <w:rsid w:val="008A47AF"/>
    <w:rsid w:val="008A4A69"/>
    <w:rsid w:val="008A4B59"/>
    <w:rsid w:val="008A4DB4"/>
    <w:rsid w:val="008A4E12"/>
    <w:rsid w:val="008A4FB2"/>
    <w:rsid w:val="008A50B1"/>
    <w:rsid w:val="008A52C4"/>
    <w:rsid w:val="008A52EA"/>
    <w:rsid w:val="008A5555"/>
    <w:rsid w:val="008A5605"/>
    <w:rsid w:val="008A568A"/>
    <w:rsid w:val="008A5864"/>
    <w:rsid w:val="008A5A1B"/>
    <w:rsid w:val="008A5CD6"/>
    <w:rsid w:val="008A5E85"/>
    <w:rsid w:val="008A61C8"/>
    <w:rsid w:val="008A6239"/>
    <w:rsid w:val="008A62A3"/>
    <w:rsid w:val="008A67B5"/>
    <w:rsid w:val="008A68AF"/>
    <w:rsid w:val="008A6AC3"/>
    <w:rsid w:val="008A71A4"/>
    <w:rsid w:val="008A7551"/>
    <w:rsid w:val="008A76B4"/>
    <w:rsid w:val="008A7837"/>
    <w:rsid w:val="008A7A19"/>
    <w:rsid w:val="008A7E85"/>
    <w:rsid w:val="008A7F15"/>
    <w:rsid w:val="008A7F58"/>
    <w:rsid w:val="008B06E1"/>
    <w:rsid w:val="008B09FB"/>
    <w:rsid w:val="008B0C37"/>
    <w:rsid w:val="008B0C98"/>
    <w:rsid w:val="008B113C"/>
    <w:rsid w:val="008B13AA"/>
    <w:rsid w:val="008B1445"/>
    <w:rsid w:val="008B163A"/>
    <w:rsid w:val="008B18E3"/>
    <w:rsid w:val="008B1EBF"/>
    <w:rsid w:val="008B20DD"/>
    <w:rsid w:val="008B2406"/>
    <w:rsid w:val="008B258B"/>
    <w:rsid w:val="008B2602"/>
    <w:rsid w:val="008B26B0"/>
    <w:rsid w:val="008B27F5"/>
    <w:rsid w:val="008B2AAB"/>
    <w:rsid w:val="008B2D13"/>
    <w:rsid w:val="008B2D7C"/>
    <w:rsid w:val="008B2E48"/>
    <w:rsid w:val="008B2F0D"/>
    <w:rsid w:val="008B3262"/>
    <w:rsid w:val="008B33D1"/>
    <w:rsid w:val="008B3704"/>
    <w:rsid w:val="008B377B"/>
    <w:rsid w:val="008B3826"/>
    <w:rsid w:val="008B38CC"/>
    <w:rsid w:val="008B3997"/>
    <w:rsid w:val="008B3AF3"/>
    <w:rsid w:val="008B3C6C"/>
    <w:rsid w:val="008B3ED9"/>
    <w:rsid w:val="008B3F41"/>
    <w:rsid w:val="008B40B3"/>
    <w:rsid w:val="008B417C"/>
    <w:rsid w:val="008B4200"/>
    <w:rsid w:val="008B4236"/>
    <w:rsid w:val="008B454C"/>
    <w:rsid w:val="008B45B6"/>
    <w:rsid w:val="008B4654"/>
    <w:rsid w:val="008B46FD"/>
    <w:rsid w:val="008B47EE"/>
    <w:rsid w:val="008B488D"/>
    <w:rsid w:val="008B4C8C"/>
    <w:rsid w:val="008B4D03"/>
    <w:rsid w:val="008B4DFD"/>
    <w:rsid w:val="008B4ED3"/>
    <w:rsid w:val="008B4F96"/>
    <w:rsid w:val="008B50E6"/>
    <w:rsid w:val="008B53FB"/>
    <w:rsid w:val="008B5474"/>
    <w:rsid w:val="008B5860"/>
    <w:rsid w:val="008B588A"/>
    <w:rsid w:val="008B5A51"/>
    <w:rsid w:val="008B5C22"/>
    <w:rsid w:val="008B5C58"/>
    <w:rsid w:val="008B5CBF"/>
    <w:rsid w:val="008B5D94"/>
    <w:rsid w:val="008B5EBA"/>
    <w:rsid w:val="008B5EC5"/>
    <w:rsid w:val="008B5F3D"/>
    <w:rsid w:val="008B63B1"/>
    <w:rsid w:val="008B64D8"/>
    <w:rsid w:val="008B64FC"/>
    <w:rsid w:val="008B6896"/>
    <w:rsid w:val="008B6DF5"/>
    <w:rsid w:val="008B7045"/>
    <w:rsid w:val="008B74EC"/>
    <w:rsid w:val="008B7754"/>
    <w:rsid w:val="008B7803"/>
    <w:rsid w:val="008B7958"/>
    <w:rsid w:val="008C019C"/>
    <w:rsid w:val="008C0879"/>
    <w:rsid w:val="008C08A9"/>
    <w:rsid w:val="008C098F"/>
    <w:rsid w:val="008C09EF"/>
    <w:rsid w:val="008C0A90"/>
    <w:rsid w:val="008C0AE9"/>
    <w:rsid w:val="008C0E2E"/>
    <w:rsid w:val="008C163E"/>
    <w:rsid w:val="008C1B4D"/>
    <w:rsid w:val="008C1BDB"/>
    <w:rsid w:val="008C1F12"/>
    <w:rsid w:val="008C1F74"/>
    <w:rsid w:val="008C21C0"/>
    <w:rsid w:val="008C226C"/>
    <w:rsid w:val="008C24A5"/>
    <w:rsid w:val="008C2548"/>
    <w:rsid w:val="008C28AE"/>
    <w:rsid w:val="008C2A3A"/>
    <w:rsid w:val="008C2AE0"/>
    <w:rsid w:val="008C2B75"/>
    <w:rsid w:val="008C2D76"/>
    <w:rsid w:val="008C2F62"/>
    <w:rsid w:val="008C31B3"/>
    <w:rsid w:val="008C3269"/>
    <w:rsid w:val="008C3323"/>
    <w:rsid w:val="008C346B"/>
    <w:rsid w:val="008C34EE"/>
    <w:rsid w:val="008C35FF"/>
    <w:rsid w:val="008C3DE7"/>
    <w:rsid w:val="008C3E7B"/>
    <w:rsid w:val="008C3FA1"/>
    <w:rsid w:val="008C456B"/>
    <w:rsid w:val="008C4807"/>
    <w:rsid w:val="008C4AFA"/>
    <w:rsid w:val="008C50BD"/>
    <w:rsid w:val="008C5964"/>
    <w:rsid w:val="008C5A61"/>
    <w:rsid w:val="008C5D12"/>
    <w:rsid w:val="008C698C"/>
    <w:rsid w:val="008C69A6"/>
    <w:rsid w:val="008C6ACF"/>
    <w:rsid w:val="008C6B62"/>
    <w:rsid w:val="008C6BE3"/>
    <w:rsid w:val="008C6CA2"/>
    <w:rsid w:val="008C6D46"/>
    <w:rsid w:val="008C6EA3"/>
    <w:rsid w:val="008C710C"/>
    <w:rsid w:val="008C743B"/>
    <w:rsid w:val="008C75A2"/>
    <w:rsid w:val="008C7692"/>
    <w:rsid w:val="008C772D"/>
    <w:rsid w:val="008C7791"/>
    <w:rsid w:val="008C780A"/>
    <w:rsid w:val="008C79BB"/>
    <w:rsid w:val="008C7AA4"/>
    <w:rsid w:val="008C7B15"/>
    <w:rsid w:val="008C7B23"/>
    <w:rsid w:val="008C7B8F"/>
    <w:rsid w:val="008C7C6E"/>
    <w:rsid w:val="008C7CF0"/>
    <w:rsid w:val="008C7DBE"/>
    <w:rsid w:val="008C7F81"/>
    <w:rsid w:val="008D0087"/>
    <w:rsid w:val="008D056C"/>
    <w:rsid w:val="008D0663"/>
    <w:rsid w:val="008D0671"/>
    <w:rsid w:val="008D0A27"/>
    <w:rsid w:val="008D0DA4"/>
    <w:rsid w:val="008D0E88"/>
    <w:rsid w:val="008D0ED4"/>
    <w:rsid w:val="008D11A1"/>
    <w:rsid w:val="008D11E4"/>
    <w:rsid w:val="008D12ED"/>
    <w:rsid w:val="008D1346"/>
    <w:rsid w:val="008D14AF"/>
    <w:rsid w:val="008D17B1"/>
    <w:rsid w:val="008D19C6"/>
    <w:rsid w:val="008D1A1B"/>
    <w:rsid w:val="008D1D06"/>
    <w:rsid w:val="008D1D22"/>
    <w:rsid w:val="008D1F0E"/>
    <w:rsid w:val="008D1F77"/>
    <w:rsid w:val="008D2181"/>
    <w:rsid w:val="008D279E"/>
    <w:rsid w:val="008D29D4"/>
    <w:rsid w:val="008D2B12"/>
    <w:rsid w:val="008D3120"/>
    <w:rsid w:val="008D335F"/>
    <w:rsid w:val="008D36C9"/>
    <w:rsid w:val="008D36D2"/>
    <w:rsid w:val="008D3C85"/>
    <w:rsid w:val="008D3F1B"/>
    <w:rsid w:val="008D3F8F"/>
    <w:rsid w:val="008D3FFC"/>
    <w:rsid w:val="008D449C"/>
    <w:rsid w:val="008D4544"/>
    <w:rsid w:val="008D460B"/>
    <w:rsid w:val="008D4C33"/>
    <w:rsid w:val="008D4F96"/>
    <w:rsid w:val="008D577A"/>
    <w:rsid w:val="008D5A34"/>
    <w:rsid w:val="008D5BAB"/>
    <w:rsid w:val="008D5BD2"/>
    <w:rsid w:val="008D5BEB"/>
    <w:rsid w:val="008D5C5D"/>
    <w:rsid w:val="008D5DEC"/>
    <w:rsid w:val="008D5E4D"/>
    <w:rsid w:val="008D628B"/>
    <w:rsid w:val="008D63AB"/>
    <w:rsid w:val="008D63DE"/>
    <w:rsid w:val="008D6573"/>
    <w:rsid w:val="008D65E1"/>
    <w:rsid w:val="008D6D72"/>
    <w:rsid w:val="008D6F82"/>
    <w:rsid w:val="008D7050"/>
    <w:rsid w:val="008D79AF"/>
    <w:rsid w:val="008D7C1C"/>
    <w:rsid w:val="008D7D60"/>
    <w:rsid w:val="008E004C"/>
    <w:rsid w:val="008E0186"/>
    <w:rsid w:val="008E044B"/>
    <w:rsid w:val="008E04AF"/>
    <w:rsid w:val="008E05EC"/>
    <w:rsid w:val="008E06A0"/>
    <w:rsid w:val="008E0780"/>
    <w:rsid w:val="008E07CF"/>
    <w:rsid w:val="008E085B"/>
    <w:rsid w:val="008E0EC6"/>
    <w:rsid w:val="008E0FD0"/>
    <w:rsid w:val="008E11F1"/>
    <w:rsid w:val="008E11F5"/>
    <w:rsid w:val="008E1522"/>
    <w:rsid w:val="008E17EC"/>
    <w:rsid w:val="008E1DB9"/>
    <w:rsid w:val="008E2345"/>
    <w:rsid w:val="008E24AF"/>
    <w:rsid w:val="008E270B"/>
    <w:rsid w:val="008E2879"/>
    <w:rsid w:val="008E2C5B"/>
    <w:rsid w:val="008E2CC5"/>
    <w:rsid w:val="008E2D5B"/>
    <w:rsid w:val="008E3C21"/>
    <w:rsid w:val="008E3EB4"/>
    <w:rsid w:val="008E3EC2"/>
    <w:rsid w:val="008E412B"/>
    <w:rsid w:val="008E417A"/>
    <w:rsid w:val="008E41E4"/>
    <w:rsid w:val="008E450C"/>
    <w:rsid w:val="008E458F"/>
    <w:rsid w:val="008E482C"/>
    <w:rsid w:val="008E4AAC"/>
    <w:rsid w:val="008E4B18"/>
    <w:rsid w:val="008E4B3F"/>
    <w:rsid w:val="008E4BF9"/>
    <w:rsid w:val="008E5167"/>
    <w:rsid w:val="008E559F"/>
    <w:rsid w:val="008E5A70"/>
    <w:rsid w:val="008E5AB5"/>
    <w:rsid w:val="008E5C12"/>
    <w:rsid w:val="008E5CC5"/>
    <w:rsid w:val="008E5EA4"/>
    <w:rsid w:val="008E5F2C"/>
    <w:rsid w:val="008E5FF8"/>
    <w:rsid w:val="008E629B"/>
    <w:rsid w:val="008E6518"/>
    <w:rsid w:val="008E6881"/>
    <w:rsid w:val="008E6C02"/>
    <w:rsid w:val="008E6E2E"/>
    <w:rsid w:val="008E6EE9"/>
    <w:rsid w:val="008E7179"/>
    <w:rsid w:val="008E7447"/>
    <w:rsid w:val="008E7471"/>
    <w:rsid w:val="008E75DC"/>
    <w:rsid w:val="008E7F9B"/>
    <w:rsid w:val="008F0096"/>
    <w:rsid w:val="008F0278"/>
    <w:rsid w:val="008F03EA"/>
    <w:rsid w:val="008F03FC"/>
    <w:rsid w:val="008F0552"/>
    <w:rsid w:val="008F0813"/>
    <w:rsid w:val="008F0AA3"/>
    <w:rsid w:val="008F0CA8"/>
    <w:rsid w:val="008F0E46"/>
    <w:rsid w:val="008F0F96"/>
    <w:rsid w:val="008F123D"/>
    <w:rsid w:val="008F12FE"/>
    <w:rsid w:val="008F1511"/>
    <w:rsid w:val="008F1631"/>
    <w:rsid w:val="008F1859"/>
    <w:rsid w:val="008F1872"/>
    <w:rsid w:val="008F1B84"/>
    <w:rsid w:val="008F1CA9"/>
    <w:rsid w:val="008F1F38"/>
    <w:rsid w:val="008F1FA6"/>
    <w:rsid w:val="008F2173"/>
    <w:rsid w:val="008F2768"/>
    <w:rsid w:val="008F28AE"/>
    <w:rsid w:val="008F2EF4"/>
    <w:rsid w:val="008F319D"/>
    <w:rsid w:val="008F331B"/>
    <w:rsid w:val="008F33C4"/>
    <w:rsid w:val="008F35B0"/>
    <w:rsid w:val="008F3628"/>
    <w:rsid w:val="008F397F"/>
    <w:rsid w:val="008F39E3"/>
    <w:rsid w:val="008F3B8D"/>
    <w:rsid w:val="008F3CDF"/>
    <w:rsid w:val="008F3E88"/>
    <w:rsid w:val="008F41C8"/>
    <w:rsid w:val="008F46FC"/>
    <w:rsid w:val="008F48A8"/>
    <w:rsid w:val="008F4AC8"/>
    <w:rsid w:val="008F4C95"/>
    <w:rsid w:val="008F4F51"/>
    <w:rsid w:val="008F50EA"/>
    <w:rsid w:val="008F51BD"/>
    <w:rsid w:val="008F51C3"/>
    <w:rsid w:val="008F52EF"/>
    <w:rsid w:val="008F534C"/>
    <w:rsid w:val="008F54B6"/>
    <w:rsid w:val="008F55CD"/>
    <w:rsid w:val="008F5832"/>
    <w:rsid w:val="008F589C"/>
    <w:rsid w:val="008F58EC"/>
    <w:rsid w:val="008F5958"/>
    <w:rsid w:val="008F5BF3"/>
    <w:rsid w:val="008F5C75"/>
    <w:rsid w:val="008F616A"/>
    <w:rsid w:val="008F6296"/>
    <w:rsid w:val="008F62E5"/>
    <w:rsid w:val="008F63DE"/>
    <w:rsid w:val="008F6570"/>
    <w:rsid w:val="008F66A0"/>
    <w:rsid w:val="008F66F7"/>
    <w:rsid w:val="008F673D"/>
    <w:rsid w:val="008F683B"/>
    <w:rsid w:val="008F6C12"/>
    <w:rsid w:val="008F6F54"/>
    <w:rsid w:val="008F72BE"/>
    <w:rsid w:val="008F73F2"/>
    <w:rsid w:val="008F76EC"/>
    <w:rsid w:val="008F785E"/>
    <w:rsid w:val="008F788A"/>
    <w:rsid w:val="008F7C08"/>
    <w:rsid w:val="008F7D02"/>
    <w:rsid w:val="009000B8"/>
    <w:rsid w:val="00900377"/>
    <w:rsid w:val="00900392"/>
    <w:rsid w:val="00900491"/>
    <w:rsid w:val="009006B1"/>
    <w:rsid w:val="009007C7"/>
    <w:rsid w:val="009009EE"/>
    <w:rsid w:val="00900A54"/>
    <w:rsid w:val="00900B70"/>
    <w:rsid w:val="00900D07"/>
    <w:rsid w:val="00900DE4"/>
    <w:rsid w:val="00900DE8"/>
    <w:rsid w:val="00900E87"/>
    <w:rsid w:val="00901A6A"/>
    <w:rsid w:val="00901D80"/>
    <w:rsid w:val="00901DFC"/>
    <w:rsid w:val="00901F02"/>
    <w:rsid w:val="00901F9C"/>
    <w:rsid w:val="009022DD"/>
    <w:rsid w:val="009024CD"/>
    <w:rsid w:val="009024E6"/>
    <w:rsid w:val="0090251A"/>
    <w:rsid w:val="00902BD1"/>
    <w:rsid w:val="00902CFF"/>
    <w:rsid w:val="00902DE0"/>
    <w:rsid w:val="00902E87"/>
    <w:rsid w:val="00902EF2"/>
    <w:rsid w:val="00902FD8"/>
    <w:rsid w:val="0090313E"/>
    <w:rsid w:val="0090341F"/>
    <w:rsid w:val="00903C06"/>
    <w:rsid w:val="00903C6C"/>
    <w:rsid w:val="00904253"/>
    <w:rsid w:val="009043C5"/>
    <w:rsid w:val="00904997"/>
    <w:rsid w:val="00904B14"/>
    <w:rsid w:val="00904C11"/>
    <w:rsid w:val="00904CCE"/>
    <w:rsid w:val="00904F6A"/>
    <w:rsid w:val="00905103"/>
    <w:rsid w:val="009053A9"/>
    <w:rsid w:val="00905409"/>
    <w:rsid w:val="00905793"/>
    <w:rsid w:val="0090583D"/>
    <w:rsid w:val="00905993"/>
    <w:rsid w:val="00905E4A"/>
    <w:rsid w:val="00906127"/>
    <w:rsid w:val="0090631B"/>
    <w:rsid w:val="0090636A"/>
    <w:rsid w:val="009067DB"/>
    <w:rsid w:val="0090682C"/>
    <w:rsid w:val="009068F3"/>
    <w:rsid w:val="0090691D"/>
    <w:rsid w:val="00906A9A"/>
    <w:rsid w:val="0090723D"/>
    <w:rsid w:val="00907282"/>
    <w:rsid w:val="00907596"/>
    <w:rsid w:val="0090763C"/>
    <w:rsid w:val="0090765A"/>
    <w:rsid w:val="00907A65"/>
    <w:rsid w:val="00907A9F"/>
    <w:rsid w:val="00907B60"/>
    <w:rsid w:val="00907D0B"/>
    <w:rsid w:val="00907D74"/>
    <w:rsid w:val="00910260"/>
    <w:rsid w:val="009103BC"/>
    <w:rsid w:val="009103C9"/>
    <w:rsid w:val="0091064F"/>
    <w:rsid w:val="0091074D"/>
    <w:rsid w:val="009108B0"/>
    <w:rsid w:val="009109DC"/>
    <w:rsid w:val="00910A37"/>
    <w:rsid w:val="00910BCE"/>
    <w:rsid w:val="00910C31"/>
    <w:rsid w:val="00910F00"/>
    <w:rsid w:val="00910F8E"/>
    <w:rsid w:val="009110B5"/>
    <w:rsid w:val="009111AA"/>
    <w:rsid w:val="00911914"/>
    <w:rsid w:val="00911A00"/>
    <w:rsid w:val="00911B5E"/>
    <w:rsid w:val="00912062"/>
    <w:rsid w:val="009120B3"/>
    <w:rsid w:val="00912659"/>
    <w:rsid w:val="00912746"/>
    <w:rsid w:val="00912AA2"/>
    <w:rsid w:val="00912AAF"/>
    <w:rsid w:val="0091316A"/>
    <w:rsid w:val="0091366E"/>
    <w:rsid w:val="009136AB"/>
    <w:rsid w:val="009137AC"/>
    <w:rsid w:val="00913C97"/>
    <w:rsid w:val="00913CBA"/>
    <w:rsid w:val="00913D91"/>
    <w:rsid w:val="00913E2F"/>
    <w:rsid w:val="00913F1A"/>
    <w:rsid w:val="00913FC6"/>
    <w:rsid w:val="009140E4"/>
    <w:rsid w:val="009143C6"/>
    <w:rsid w:val="0091444C"/>
    <w:rsid w:val="009144B2"/>
    <w:rsid w:val="009144B5"/>
    <w:rsid w:val="009144D0"/>
    <w:rsid w:val="009146C3"/>
    <w:rsid w:val="009147A1"/>
    <w:rsid w:val="009147CC"/>
    <w:rsid w:val="009147D3"/>
    <w:rsid w:val="00914987"/>
    <w:rsid w:val="00914B5A"/>
    <w:rsid w:val="00914B99"/>
    <w:rsid w:val="0091521D"/>
    <w:rsid w:val="00915459"/>
    <w:rsid w:val="00915EAF"/>
    <w:rsid w:val="00915EE2"/>
    <w:rsid w:val="00916028"/>
    <w:rsid w:val="0091605E"/>
    <w:rsid w:val="00916150"/>
    <w:rsid w:val="00916276"/>
    <w:rsid w:val="009162F8"/>
    <w:rsid w:val="009168D7"/>
    <w:rsid w:val="00916D8D"/>
    <w:rsid w:val="00916D90"/>
    <w:rsid w:val="00916E09"/>
    <w:rsid w:val="009174E0"/>
    <w:rsid w:val="0091750C"/>
    <w:rsid w:val="00917827"/>
    <w:rsid w:val="009178E8"/>
    <w:rsid w:val="00917C61"/>
    <w:rsid w:val="00917E09"/>
    <w:rsid w:val="00917EC6"/>
    <w:rsid w:val="00917ED0"/>
    <w:rsid w:val="00917F5C"/>
    <w:rsid w:val="00920098"/>
    <w:rsid w:val="0092010A"/>
    <w:rsid w:val="009203A1"/>
    <w:rsid w:val="0092054E"/>
    <w:rsid w:val="00920610"/>
    <w:rsid w:val="00920BB0"/>
    <w:rsid w:val="00920E86"/>
    <w:rsid w:val="00921051"/>
    <w:rsid w:val="00921112"/>
    <w:rsid w:val="0092145C"/>
    <w:rsid w:val="00921DF2"/>
    <w:rsid w:val="00922129"/>
    <w:rsid w:val="009224F3"/>
    <w:rsid w:val="009225B3"/>
    <w:rsid w:val="00922872"/>
    <w:rsid w:val="0092296D"/>
    <w:rsid w:val="00922B8B"/>
    <w:rsid w:val="00923119"/>
    <w:rsid w:val="009231F5"/>
    <w:rsid w:val="00923BEE"/>
    <w:rsid w:val="00923E54"/>
    <w:rsid w:val="00923F3B"/>
    <w:rsid w:val="00924233"/>
    <w:rsid w:val="00924354"/>
    <w:rsid w:val="009245D0"/>
    <w:rsid w:val="00924694"/>
    <w:rsid w:val="009249FB"/>
    <w:rsid w:val="00924DA9"/>
    <w:rsid w:val="009253E4"/>
    <w:rsid w:val="0092542B"/>
    <w:rsid w:val="009255DB"/>
    <w:rsid w:val="00925616"/>
    <w:rsid w:val="009256C4"/>
    <w:rsid w:val="009256DF"/>
    <w:rsid w:val="00925C82"/>
    <w:rsid w:val="00926294"/>
    <w:rsid w:val="009265D7"/>
    <w:rsid w:val="00926B08"/>
    <w:rsid w:val="00926B80"/>
    <w:rsid w:val="00926BE3"/>
    <w:rsid w:val="00926C3F"/>
    <w:rsid w:val="00926CC3"/>
    <w:rsid w:val="00927025"/>
    <w:rsid w:val="009272EF"/>
    <w:rsid w:val="00927436"/>
    <w:rsid w:val="009274DB"/>
    <w:rsid w:val="00927825"/>
    <w:rsid w:val="00927AD5"/>
    <w:rsid w:val="00927D35"/>
    <w:rsid w:val="009301C4"/>
    <w:rsid w:val="009303F6"/>
    <w:rsid w:val="00930505"/>
    <w:rsid w:val="00930527"/>
    <w:rsid w:val="0093053E"/>
    <w:rsid w:val="00930622"/>
    <w:rsid w:val="00930D8A"/>
    <w:rsid w:val="00930F9D"/>
    <w:rsid w:val="00931060"/>
    <w:rsid w:val="0093152E"/>
    <w:rsid w:val="00931666"/>
    <w:rsid w:val="00931B8B"/>
    <w:rsid w:val="00931E80"/>
    <w:rsid w:val="009320E5"/>
    <w:rsid w:val="009321C2"/>
    <w:rsid w:val="0093271E"/>
    <w:rsid w:val="00932C39"/>
    <w:rsid w:val="00932C46"/>
    <w:rsid w:val="00932F4B"/>
    <w:rsid w:val="00933069"/>
    <w:rsid w:val="0093317B"/>
    <w:rsid w:val="009331AF"/>
    <w:rsid w:val="0093350A"/>
    <w:rsid w:val="0093352E"/>
    <w:rsid w:val="0093372B"/>
    <w:rsid w:val="00933BFC"/>
    <w:rsid w:val="00933F01"/>
    <w:rsid w:val="00934220"/>
    <w:rsid w:val="00934447"/>
    <w:rsid w:val="00934494"/>
    <w:rsid w:val="0093467D"/>
    <w:rsid w:val="00934791"/>
    <w:rsid w:val="00934796"/>
    <w:rsid w:val="00934C7D"/>
    <w:rsid w:val="00935093"/>
    <w:rsid w:val="00935155"/>
    <w:rsid w:val="009351FB"/>
    <w:rsid w:val="00935268"/>
    <w:rsid w:val="00935328"/>
    <w:rsid w:val="00935408"/>
    <w:rsid w:val="00935502"/>
    <w:rsid w:val="009356E5"/>
    <w:rsid w:val="00935906"/>
    <w:rsid w:val="00935B05"/>
    <w:rsid w:val="00935D22"/>
    <w:rsid w:val="00935E74"/>
    <w:rsid w:val="00935EB2"/>
    <w:rsid w:val="00935F4A"/>
    <w:rsid w:val="00935F6A"/>
    <w:rsid w:val="009363D2"/>
    <w:rsid w:val="00936AAE"/>
    <w:rsid w:val="00936D52"/>
    <w:rsid w:val="00936E34"/>
    <w:rsid w:val="009370D7"/>
    <w:rsid w:val="00937384"/>
    <w:rsid w:val="00937984"/>
    <w:rsid w:val="00937B9D"/>
    <w:rsid w:val="009404F0"/>
    <w:rsid w:val="00940772"/>
    <w:rsid w:val="00940AF7"/>
    <w:rsid w:val="00940B08"/>
    <w:rsid w:val="00940C08"/>
    <w:rsid w:val="00940FCB"/>
    <w:rsid w:val="009411F9"/>
    <w:rsid w:val="00941372"/>
    <w:rsid w:val="0094146E"/>
    <w:rsid w:val="00941581"/>
    <w:rsid w:val="009416B4"/>
    <w:rsid w:val="0094187C"/>
    <w:rsid w:val="00941BE2"/>
    <w:rsid w:val="00942360"/>
    <w:rsid w:val="0094236F"/>
    <w:rsid w:val="0094261C"/>
    <w:rsid w:val="0094264C"/>
    <w:rsid w:val="0094268C"/>
    <w:rsid w:val="00942893"/>
    <w:rsid w:val="009429AE"/>
    <w:rsid w:val="009429EB"/>
    <w:rsid w:val="00942A24"/>
    <w:rsid w:val="00942C9A"/>
    <w:rsid w:val="00942D35"/>
    <w:rsid w:val="00942E47"/>
    <w:rsid w:val="009430D5"/>
    <w:rsid w:val="0094336B"/>
    <w:rsid w:val="009436E7"/>
    <w:rsid w:val="00943BAA"/>
    <w:rsid w:val="00943FCB"/>
    <w:rsid w:val="0094427B"/>
    <w:rsid w:val="009442FF"/>
    <w:rsid w:val="00944326"/>
    <w:rsid w:val="0094453B"/>
    <w:rsid w:val="0094483D"/>
    <w:rsid w:val="009448FA"/>
    <w:rsid w:val="00944AB2"/>
    <w:rsid w:val="00944B4A"/>
    <w:rsid w:val="00944BAA"/>
    <w:rsid w:val="00945436"/>
    <w:rsid w:val="00945542"/>
    <w:rsid w:val="00945A20"/>
    <w:rsid w:val="00945E6C"/>
    <w:rsid w:val="00945FCF"/>
    <w:rsid w:val="0094608C"/>
    <w:rsid w:val="009461F1"/>
    <w:rsid w:val="009464EB"/>
    <w:rsid w:val="009468C9"/>
    <w:rsid w:val="00946A8A"/>
    <w:rsid w:val="00946C11"/>
    <w:rsid w:val="00946C86"/>
    <w:rsid w:val="00946C99"/>
    <w:rsid w:val="00946F3F"/>
    <w:rsid w:val="0094718A"/>
    <w:rsid w:val="00947221"/>
    <w:rsid w:val="009473F0"/>
    <w:rsid w:val="009474EC"/>
    <w:rsid w:val="0094782F"/>
    <w:rsid w:val="0094789F"/>
    <w:rsid w:val="00947A62"/>
    <w:rsid w:val="00947AAC"/>
    <w:rsid w:val="00947B27"/>
    <w:rsid w:val="00947E12"/>
    <w:rsid w:val="00947E63"/>
    <w:rsid w:val="009502D7"/>
    <w:rsid w:val="0095045C"/>
    <w:rsid w:val="0095051C"/>
    <w:rsid w:val="00950707"/>
    <w:rsid w:val="009507CF"/>
    <w:rsid w:val="00950CCF"/>
    <w:rsid w:val="00950CF2"/>
    <w:rsid w:val="00950D93"/>
    <w:rsid w:val="00951248"/>
    <w:rsid w:val="009513ED"/>
    <w:rsid w:val="009516B0"/>
    <w:rsid w:val="009517D0"/>
    <w:rsid w:val="00951A3B"/>
    <w:rsid w:val="00951D1F"/>
    <w:rsid w:val="0095228F"/>
    <w:rsid w:val="009522C2"/>
    <w:rsid w:val="0095241B"/>
    <w:rsid w:val="00952453"/>
    <w:rsid w:val="00952495"/>
    <w:rsid w:val="0095252A"/>
    <w:rsid w:val="00952541"/>
    <w:rsid w:val="009525D9"/>
    <w:rsid w:val="009529B5"/>
    <w:rsid w:val="00952C95"/>
    <w:rsid w:val="00952D15"/>
    <w:rsid w:val="00953179"/>
    <w:rsid w:val="00953491"/>
    <w:rsid w:val="009535B0"/>
    <w:rsid w:val="00953671"/>
    <w:rsid w:val="009539B7"/>
    <w:rsid w:val="00953BE3"/>
    <w:rsid w:val="00953C9B"/>
    <w:rsid w:val="00953CE6"/>
    <w:rsid w:val="00953DEC"/>
    <w:rsid w:val="00953E88"/>
    <w:rsid w:val="009543B7"/>
    <w:rsid w:val="009544FF"/>
    <w:rsid w:val="00954578"/>
    <w:rsid w:val="00954928"/>
    <w:rsid w:val="00954997"/>
    <w:rsid w:val="0095499A"/>
    <w:rsid w:val="00954A62"/>
    <w:rsid w:val="00954B4E"/>
    <w:rsid w:val="00955008"/>
    <w:rsid w:val="00955443"/>
    <w:rsid w:val="00955670"/>
    <w:rsid w:val="00955BA4"/>
    <w:rsid w:val="00955D49"/>
    <w:rsid w:val="0095600C"/>
    <w:rsid w:val="009560EE"/>
    <w:rsid w:val="0095636B"/>
    <w:rsid w:val="009563F6"/>
    <w:rsid w:val="009565CB"/>
    <w:rsid w:val="00956AE0"/>
    <w:rsid w:val="00956D0C"/>
    <w:rsid w:val="00957168"/>
    <w:rsid w:val="0095731B"/>
    <w:rsid w:val="0095739E"/>
    <w:rsid w:val="009576A4"/>
    <w:rsid w:val="009576AA"/>
    <w:rsid w:val="009576C9"/>
    <w:rsid w:val="009576CE"/>
    <w:rsid w:val="009577BC"/>
    <w:rsid w:val="00957A6E"/>
    <w:rsid w:val="00957DA8"/>
    <w:rsid w:val="00960052"/>
    <w:rsid w:val="0096008C"/>
    <w:rsid w:val="00960148"/>
    <w:rsid w:val="009601DE"/>
    <w:rsid w:val="00960375"/>
    <w:rsid w:val="00960391"/>
    <w:rsid w:val="009603A0"/>
    <w:rsid w:val="009603EA"/>
    <w:rsid w:val="009609C3"/>
    <w:rsid w:val="00960C7A"/>
    <w:rsid w:val="009612A3"/>
    <w:rsid w:val="0096197D"/>
    <w:rsid w:val="00961A5E"/>
    <w:rsid w:val="00961AAB"/>
    <w:rsid w:val="00961AE0"/>
    <w:rsid w:val="009621FA"/>
    <w:rsid w:val="0096235F"/>
    <w:rsid w:val="009623A3"/>
    <w:rsid w:val="00962B1C"/>
    <w:rsid w:val="00962E08"/>
    <w:rsid w:val="0096300E"/>
    <w:rsid w:val="00963539"/>
    <w:rsid w:val="009635E9"/>
    <w:rsid w:val="00963AC4"/>
    <w:rsid w:val="00964202"/>
    <w:rsid w:val="00964540"/>
    <w:rsid w:val="00964546"/>
    <w:rsid w:val="00964685"/>
    <w:rsid w:val="009646AA"/>
    <w:rsid w:val="0096484B"/>
    <w:rsid w:val="0096488D"/>
    <w:rsid w:val="009648CF"/>
    <w:rsid w:val="00964916"/>
    <w:rsid w:val="00964B1A"/>
    <w:rsid w:val="00964F1D"/>
    <w:rsid w:val="00964F26"/>
    <w:rsid w:val="0096507B"/>
    <w:rsid w:val="00965355"/>
    <w:rsid w:val="009654DF"/>
    <w:rsid w:val="0096571A"/>
    <w:rsid w:val="009657B2"/>
    <w:rsid w:val="0096587D"/>
    <w:rsid w:val="00965A98"/>
    <w:rsid w:val="00965C1D"/>
    <w:rsid w:val="00965CB2"/>
    <w:rsid w:val="009660DB"/>
    <w:rsid w:val="0096610B"/>
    <w:rsid w:val="00966197"/>
    <w:rsid w:val="00966460"/>
    <w:rsid w:val="009665D8"/>
    <w:rsid w:val="00966672"/>
    <w:rsid w:val="009667D0"/>
    <w:rsid w:val="009668FB"/>
    <w:rsid w:val="00966A5E"/>
    <w:rsid w:val="00966D68"/>
    <w:rsid w:val="00967073"/>
    <w:rsid w:val="0096748A"/>
    <w:rsid w:val="00967588"/>
    <w:rsid w:val="00967A19"/>
    <w:rsid w:val="00967B79"/>
    <w:rsid w:val="00967DCA"/>
    <w:rsid w:val="00970052"/>
    <w:rsid w:val="00970312"/>
    <w:rsid w:val="00970376"/>
    <w:rsid w:val="009707B2"/>
    <w:rsid w:val="00970B42"/>
    <w:rsid w:val="00970BAD"/>
    <w:rsid w:val="00970C42"/>
    <w:rsid w:val="009715F1"/>
    <w:rsid w:val="00971663"/>
    <w:rsid w:val="00971AB9"/>
    <w:rsid w:val="00971C36"/>
    <w:rsid w:val="00971CF0"/>
    <w:rsid w:val="00972056"/>
    <w:rsid w:val="0097266A"/>
    <w:rsid w:val="00972673"/>
    <w:rsid w:val="00972882"/>
    <w:rsid w:val="00972992"/>
    <w:rsid w:val="00972DDF"/>
    <w:rsid w:val="0097370E"/>
    <w:rsid w:val="00973784"/>
    <w:rsid w:val="00973855"/>
    <w:rsid w:val="0097389B"/>
    <w:rsid w:val="00973932"/>
    <w:rsid w:val="00973CAD"/>
    <w:rsid w:val="00973E13"/>
    <w:rsid w:val="009747B6"/>
    <w:rsid w:val="009748E9"/>
    <w:rsid w:val="00974915"/>
    <w:rsid w:val="00974B6C"/>
    <w:rsid w:val="00974D86"/>
    <w:rsid w:val="00975124"/>
    <w:rsid w:val="0097567C"/>
    <w:rsid w:val="00975BA5"/>
    <w:rsid w:val="00975CEF"/>
    <w:rsid w:val="00975E12"/>
    <w:rsid w:val="00976242"/>
    <w:rsid w:val="0097629F"/>
    <w:rsid w:val="009764B7"/>
    <w:rsid w:val="0097673C"/>
    <w:rsid w:val="00976BD1"/>
    <w:rsid w:val="00976BE2"/>
    <w:rsid w:val="00976C06"/>
    <w:rsid w:val="00976CCE"/>
    <w:rsid w:val="00976D0D"/>
    <w:rsid w:val="00976F2D"/>
    <w:rsid w:val="00977389"/>
    <w:rsid w:val="00977441"/>
    <w:rsid w:val="00977449"/>
    <w:rsid w:val="0097753F"/>
    <w:rsid w:val="00977667"/>
    <w:rsid w:val="009778C0"/>
    <w:rsid w:val="00977ED7"/>
    <w:rsid w:val="00977F44"/>
    <w:rsid w:val="0098002E"/>
    <w:rsid w:val="009809C7"/>
    <w:rsid w:val="00980A5C"/>
    <w:rsid w:val="00980EFF"/>
    <w:rsid w:val="0098116B"/>
    <w:rsid w:val="0098118F"/>
    <w:rsid w:val="00981422"/>
    <w:rsid w:val="009816B9"/>
    <w:rsid w:val="009817E2"/>
    <w:rsid w:val="009817E9"/>
    <w:rsid w:val="00981AB3"/>
    <w:rsid w:val="00981B67"/>
    <w:rsid w:val="00981D1D"/>
    <w:rsid w:val="009820A3"/>
    <w:rsid w:val="00982151"/>
    <w:rsid w:val="009824A8"/>
    <w:rsid w:val="009825A8"/>
    <w:rsid w:val="00982978"/>
    <w:rsid w:val="00982A73"/>
    <w:rsid w:val="00982B50"/>
    <w:rsid w:val="00982C43"/>
    <w:rsid w:val="00982C4F"/>
    <w:rsid w:val="00982F1E"/>
    <w:rsid w:val="00983108"/>
    <w:rsid w:val="009831E8"/>
    <w:rsid w:val="00983349"/>
    <w:rsid w:val="0098370E"/>
    <w:rsid w:val="009837E5"/>
    <w:rsid w:val="009837E9"/>
    <w:rsid w:val="009838EE"/>
    <w:rsid w:val="00983911"/>
    <w:rsid w:val="0098392A"/>
    <w:rsid w:val="00983930"/>
    <w:rsid w:val="0098397A"/>
    <w:rsid w:val="009842A4"/>
    <w:rsid w:val="00984588"/>
    <w:rsid w:val="00984606"/>
    <w:rsid w:val="00984709"/>
    <w:rsid w:val="0098487A"/>
    <w:rsid w:val="00984A9C"/>
    <w:rsid w:val="00984AC3"/>
    <w:rsid w:val="009851D7"/>
    <w:rsid w:val="009854A2"/>
    <w:rsid w:val="009855FE"/>
    <w:rsid w:val="0098597E"/>
    <w:rsid w:val="00986018"/>
    <w:rsid w:val="0098628C"/>
    <w:rsid w:val="00986BC8"/>
    <w:rsid w:val="00987026"/>
    <w:rsid w:val="0098702C"/>
    <w:rsid w:val="009870F2"/>
    <w:rsid w:val="00987220"/>
    <w:rsid w:val="00987241"/>
    <w:rsid w:val="00987295"/>
    <w:rsid w:val="009878AB"/>
    <w:rsid w:val="00987C36"/>
    <w:rsid w:val="0099001D"/>
    <w:rsid w:val="00990172"/>
    <w:rsid w:val="00990222"/>
    <w:rsid w:val="0099022C"/>
    <w:rsid w:val="00990B2F"/>
    <w:rsid w:val="00990CCD"/>
    <w:rsid w:val="00990D87"/>
    <w:rsid w:val="00990E04"/>
    <w:rsid w:val="009910ED"/>
    <w:rsid w:val="00991108"/>
    <w:rsid w:val="00991609"/>
    <w:rsid w:val="009916BD"/>
    <w:rsid w:val="00991A63"/>
    <w:rsid w:val="00991C61"/>
    <w:rsid w:val="00991D5C"/>
    <w:rsid w:val="00991E16"/>
    <w:rsid w:val="00991FAE"/>
    <w:rsid w:val="009920F8"/>
    <w:rsid w:val="0099212D"/>
    <w:rsid w:val="009921F2"/>
    <w:rsid w:val="00992498"/>
    <w:rsid w:val="0099279F"/>
    <w:rsid w:val="00992B40"/>
    <w:rsid w:val="00992D21"/>
    <w:rsid w:val="00992D3B"/>
    <w:rsid w:val="00992E3F"/>
    <w:rsid w:val="00992E97"/>
    <w:rsid w:val="00992F3E"/>
    <w:rsid w:val="0099304B"/>
    <w:rsid w:val="009932AA"/>
    <w:rsid w:val="00993516"/>
    <w:rsid w:val="009935A6"/>
    <w:rsid w:val="009936C8"/>
    <w:rsid w:val="009936FF"/>
    <w:rsid w:val="00993ACB"/>
    <w:rsid w:val="00994306"/>
    <w:rsid w:val="00994386"/>
    <w:rsid w:val="009943F0"/>
    <w:rsid w:val="00994478"/>
    <w:rsid w:val="009946E3"/>
    <w:rsid w:val="009948B4"/>
    <w:rsid w:val="00994B65"/>
    <w:rsid w:val="00994C42"/>
    <w:rsid w:val="00994CDA"/>
    <w:rsid w:val="00994D62"/>
    <w:rsid w:val="00994F3A"/>
    <w:rsid w:val="00994F91"/>
    <w:rsid w:val="009950B1"/>
    <w:rsid w:val="009950F7"/>
    <w:rsid w:val="009954F4"/>
    <w:rsid w:val="00995820"/>
    <w:rsid w:val="00995B09"/>
    <w:rsid w:val="00995BD5"/>
    <w:rsid w:val="00995C3B"/>
    <w:rsid w:val="00995CEF"/>
    <w:rsid w:val="00995D5A"/>
    <w:rsid w:val="00995DAF"/>
    <w:rsid w:val="00995E78"/>
    <w:rsid w:val="00996337"/>
    <w:rsid w:val="0099661B"/>
    <w:rsid w:val="009967FF"/>
    <w:rsid w:val="00996931"/>
    <w:rsid w:val="009969F7"/>
    <w:rsid w:val="00996D43"/>
    <w:rsid w:val="00996DD0"/>
    <w:rsid w:val="009972A6"/>
    <w:rsid w:val="009972E1"/>
    <w:rsid w:val="00997418"/>
    <w:rsid w:val="0099749E"/>
    <w:rsid w:val="00997588"/>
    <w:rsid w:val="00997795"/>
    <w:rsid w:val="009977B4"/>
    <w:rsid w:val="0099783A"/>
    <w:rsid w:val="009978B1"/>
    <w:rsid w:val="00997ADA"/>
    <w:rsid w:val="00997BEB"/>
    <w:rsid w:val="00997D0B"/>
    <w:rsid w:val="009A02FD"/>
    <w:rsid w:val="009A0309"/>
    <w:rsid w:val="009A0395"/>
    <w:rsid w:val="009A041D"/>
    <w:rsid w:val="009A042A"/>
    <w:rsid w:val="009A055A"/>
    <w:rsid w:val="009A0775"/>
    <w:rsid w:val="009A098E"/>
    <w:rsid w:val="009A0AB9"/>
    <w:rsid w:val="009A0C12"/>
    <w:rsid w:val="009A0CAF"/>
    <w:rsid w:val="009A1281"/>
    <w:rsid w:val="009A131B"/>
    <w:rsid w:val="009A133B"/>
    <w:rsid w:val="009A134F"/>
    <w:rsid w:val="009A177E"/>
    <w:rsid w:val="009A1A08"/>
    <w:rsid w:val="009A1B4D"/>
    <w:rsid w:val="009A1CDE"/>
    <w:rsid w:val="009A1DA6"/>
    <w:rsid w:val="009A1E8A"/>
    <w:rsid w:val="009A2235"/>
    <w:rsid w:val="009A257F"/>
    <w:rsid w:val="009A28A3"/>
    <w:rsid w:val="009A3143"/>
    <w:rsid w:val="009A3378"/>
    <w:rsid w:val="009A34C7"/>
    <w:rsid w:val="009A358D"/>
    <w:rsid w:val="009A39D7"/>
    <w:rsid w:val="009A3B66"/>
    <w:rsid w:val="009A3BDC"/>
    <w:rsid w:val="009A3C3B"/>
    <w:rsid w:val="009A3D7D"/>
    <w:rsid w:val="009A495A"/>
    <w:rsid w:val="009A4ABC"/>
    <w:rsid w:val="009A4B09"/>
    <w:rsid w:val="009A4CB8"/>
    <w:rsid w:val="009A4D19"/>
    <w:rsid w:val="009A4D89"/>
    <w:rsid w:val="009A4E06"/>
    <w:rsid w:val="009A4F11"/>
    <w:rsid w:val="009A5274"/>
    <w:rsid w:val="009A56AA"/>
    <w:rsid w:val="009A5740"/>
    <w:rsid w:val="009A5B71"/>
    <w:rsid w:val="009A5BD1"/>
    <w:rsid w:val="009A5FA3"/>
    <w:rsid w:val="009A5FF5"/>
    <w:rsid w:val="009A609C"/>
    <w:rsid w:val="009A68C0"/>
    <w:rsid w:val="009A6B42"/>
    <w:rsid w:val="009A6B46"/>
    <w:rsid w:val="009A6EA5"/>
    <w:rsid w:val="009A6EF1"/>
    <w:rsid w:val="009A7108"/>
    <w:rsid w:val="009A74CE"/>
    <w:rsid w:val="009A77A3"/>
    <w:rsid w:val="009A7873"/>
    <w:rsid w:val="009A7B68"/>
    <w:rsid w:val="009A7BE8"/>
    <w:rsid w:val="009A7EC1"/>
    <w:rsid w:val="009A7EEA"/>
    <w:rsid w:val="009B029E"/>
    <w:rsid w:val="009B044C"/>
    <w:rsid w:val="009B051B"/>
    <w:rsid w:val="009B0790"/>
    <w:rsid w:val="009B0C56"/>
    <w:rsid w:val="009B0CDD"/>
    <w:rsid w:val="009B0D8F"/>
    <w:rsid w:val="009B0DA8"/>
    <w:rsid w:val="009B0E45"/>
    <w:rsid w:val="009B10C9"/>
    <w:rsid w:val="009B10F6"/>
    <w:rsid w:val="009B11BB"/>
    <w:rsid w:val="009B13AD"/>
    <w:rsid w:val="009B14A4"/>
    <w:rsid w:val="009B157B"/>
    <w:rsid w:val="009B211F"/>
    <w:rsid w:val="009B2326"/>
    <w:rsid w:val="009B23B2"/>
    <w:rsid w:val="009B2659"/>
    <w:rsid w:val="009B27B8"/>
    <w:rsid w:val="009B2858"/>
    <w:rsid w:val="009B2C05"/>
    <w:rsid w:val="009B2E60"/>
    <w:rsid w:val="009B2F0F"/>
    <w:rsid w:val="009B308B"/>
    <w:rsid w:val="009B34EB"/>
    <w:rsid w:val="009B350D"/>
    <w:rsid w:val="009B386B"/>
    <w:rsid w:val="009B3980"/>
    <w:rsid w:val="009B3B7A"/>
    <w:rsid w:val="009B40E2"/>
    <w:rsid w:val="009B424B"/>
    <w:rsid w:val="009B43D1"/>
    <w:rsid w:val="009B4513"/>
    <w:rsid w:val="009B4713"/>
    <w:rsid w:val="009B490C"/>
    <w:rsid w:val="009B49C7"/>
    <w:rsid w:val="009B4A46"/>
    <w:rsid w:val="009B4D0C"/>
    <w:rsid w:val="009B4F62"/>
    <w:rsid w:val="009B5032"/>
    <w:rsid w:val="009B513E"/>
    <w:rsid w:val="009B5346"/>
    <w:rsid w:val="009B53F7"/>
    <w:rsid w:val="009B543A"/>
    <w:rsid w:val="009B5466"/>
    <w:rsid w:val="009B5783"/>
    <w:rsid w:val="009B5909"/>
    <w:rsid w:val="009B59B8"/>
    <w:rsid w:val="009B5A5D"/>
    <w:rsid w:val="009B5AC5"/>
    <w:rsid w:val="009B5F7B"/>
    <w:rsid w:val="009B5F8E"/>
    <w:rsid w:val="009B603D"/>
    <w:rsid w:val="009B60E5"/>
    <w:rsid w:val="009B61FA"/>
    <w:rsid w:val="009B6389"/>
    <w:rsid w:val="009B6547"/>
    <w:rsid w:val="009B65A4"/>
    <w:rsid w:val="009B6679"/>
    <w:rsid w:val="009B677C"/>
    <w:rsid w:val="009B6998"/>
    <w:rsid w:val="009B6B5C"/>
    <w:rsid w:val="009B6B8F"/>
    <w:rsid w:val="009B6E9A"/>
    <w:rsid w:val="009B6F23"/>
    <w:rsid w:val="009B70CD"/>
    <w:rsid w:val="009B71D5"/>
    <w:rsid w:val="009B736F"/>
    <w:rsid w:val="009B76BE"/>
    <w:rsid w:val="009B7845"/>
    <w:rsid w:val="009C03B4"/>
    <w:rsid w:val="009C0A94"/>
    <w:rsid w:val="009C0FDC"/>
    <w:rsid w:val="009C107A"/>
    <w:rsid w:val="009C1458"/>
    <w:rsid w:val="009C152B"/>
    <w:rsid w:val="009C1664"/>
    <w:rsid w:val="009C18C9"/>
    <w:rsid w:val="009C1DE4"/>
    <w:rsid w:val="009C1E78"/>
    <w:rsid w:val="009C1F50"/>
    <w:rsid w:val="009C1FC1"/>
    <w:rsid w:val="009C1FDF"/>
    <w:rsid w:val="009C204D"/>
    <w:rsid w:val="009C2122"/>
    <w:rsid w:val="009C2392"/>
    <w:rsid w:val="009C23FC"/>
    <w:rsid w:val="009C276B"/>
    <w:rsid w:val="009C2AC5"/>
    <w:rsid w:val="009C2BD5"/>
    <w:rsid w:val="009C2E37"/>
    <w:rsid w:val="009C2EB1"/>
    <w:rsid w:val="009C3173"/>
    <w:rsid w:val="009C3546"/>
    <w:rsid w:val="009C36C9"/>
    <w:rsid w:val="009C3AB5"/>
    <w:rsid w:val="009C3BE4"/>
    <w:rsid w:val="009C3BEA"/>
    <w:rsid w:val="009C3C69"/>
    <w:rsid w:val="009C429E"/>
    <w:rsid w:val="009C4490"/>
    <w:rsid w:val="009C46AF"/>
    <w:rsid w:val="009C48B9"/>
    <w:rsid w:val="009C49E8"/>
    <w:rsid w:val="009C4E41"/>
    <w:rsid w:val="009C4E80"/>
    <w:rsid w:val="009C4EFF"/>
    <w:rsid w:val="009C522C"/>
    <w:rsid w:val="009C57D7"/>
    <w:rsid w:val="009C58E3"/>
    <w:rsid w:val="009C5AEA"/>
    <w:rsid w:val="009C5C50"/>
    <w:rsid w:val="009C5D24"/>
    <w:rsid w:val="009C6000"/>
    <w:rsid w:val="009C6032"/>
    <w:rsid w:val="009C6127"/>
    <w:rsid w:val="009C6218"/>
    <w:rsid w:val="009C6257"/>
    <w:rsid w:val="009C6262"/>
    <w:rsid w:val="009C6EB0"/>
    <w:rsid w:val="009C6F6C"/>
    <w:rsid w:val="009C71BB"/>
    <w:rsid w:val="009C722F"/>
    <w:rsid w:val="009C7237"/>
    <w:rsid w:val="009C73C8"/>
    <w:rsid w:val="009C7577"/>
    <w:rsid w:val="009C7600"/>
    <w:rsid w:val="009C7655"/>
    <w:rsid w:val="009C7844"/>
    <w:rsid w:val="009C78BD"/>
    <w:rsid w:val="009C7927"/>
    <w:rsid w:val="009C7ADB"/>
    <w:rsid w:val="009C7BF2"/>
    <w:rsid w:val="009D0465"/>
    <w:rsid w:val="009D04FB"/>
    <w:rsid w:val="009D06ED"/>
    <w:rsid w:val="009D09F6"/>
    <w:rsid w:val="009D0D4B"/>
    <w:rsid w:val="009D11B6"/>
    <w:rsid w:val="009D13F6"/>
    <w:rsid w:val="009D16AB"/>
    <w:rsid w:val="009D1826"/>
    <w:rsid w:val="009D1961"/>
    <w:rsid w:val="009D1CA6"/>
    <w:rsid w:val="009D1CC0"/>
    <w:rsid w:val="009D2043"/>
    <w:rsid w:val="009D206E"/>
    <w:rsid w:val="009D2516"/>
    <w:rsid w:val="009D275B"/>
    <w:rsid w:val="009D277B"/>
    <w:rsid w:val="009D2825"/>
    <w:rsid w:val="009D2B03"/>
    <w:rsid w:val="009D30EF"/>
    <w:rsid w:val="009D3369"/>
    <w:rsid w:val="009D3677"/>
    <w:rsid w:val="009D38B0"/>
    <w:rsid w:val="009D38DC"/>
    <w:rsid w:val="009D39D1"/>
    <w:rsid w:val="009D3C3E"/>
    <w:rsid w:val="009D3C56"/>
    <w:rsid w:val="009D3FFC"/>
    <w:rsid w:val="009D4252"/>
    <w:rsid w:val="009D447A"/>
    <w:rsid w:val="009D449C"/>
    <w:rsid w:val="009D4827"/>
    <w:rsid w:val="009D497C"/>
    <w:rsid w:val="009D4A02"/>
    <w:rsid w:val="009D4E31"/>
    <w:rsid w:val="009D4E35"/>
    <w:rsid w:val="009D5230"/>
    <w:rsid w:val="009D54D2"/>
    <w:rsid w:val="009D54D6"/>
    <w:rsid w:val="009D54FE"/>
    <w:rsid w:val="009D58DE"/>
    <w:rsid w:val="009D5A27"/>
    <w:rsid w:val="009D5C79"/>
    <w:rsid w:val="009D5CD0"/>
    <w:rsid w:val="009D5D1A"/>
    <w:rsid w:val="009D5D4F"/>
    <w:rsid w:val="009D5D76"/>
    <w:rsid w:val="009D5F02"/>
    <w:rsid w:val="009D612C"/>
    <w:rsid w:val="009D62BD"/>
    <w:rsid w:val="009D6562"/>
    <w:rsid w:val="009D6AA9"/>
    <w:rsid w:val="009D6C49"/>
    <w:rsid w:val="009D6C80"/>
    <w:rsid w:val="009D75D3"/>
    <w:rsid w:val="009D7653"/>
    <w:rsid w:val="009D7B7D"/>
    <w:rsid w:val="009D7D41"/>
    <w:rsid w:val="009D7D7F"/>
    <w:rsid w:val="009D7E33"/>
    <w:rsid w:val="009E0074"/>
    <w:rsid w:val="009E00BF"/>
    <w:rsid w:val="009E0416"/>
    <w:rsid w:val="009E0509"/>
    <w:rsid w:val="009E0C99"/>
    <w:rsid w:val="009E0F71"/>
    <w:rsid w:val="009E1408"/>
    <w:rsid w:val="009E14F5"/>
    <w:rsid w:val="009E17B7"/>
    <w:rsid w:val="009E17F6"/>
    <w:rsid w:val="009E1C32"/>
    <w:rsid w:val="009E200D"/>
    <w:rsid w:val="009E218E"/>
    <w:rsid w:val="009E2280"/>
    <w:rsid w:val="009E237F"/>
    <w:rsid w:val="009E245A"/>
    <w:rsid w:val="009E25D7"/>
    <w:rsid w:val="009E25FD"/>
    <w:rsid w:val="009E2719"/>
    <w:rsid w:val="009E28A1"/>
    <w:rsid w:val="009E29E4"/>
    <w:rsid w:val="009E2B15"/>
    <w:rsid w:val="009E2CED"/>
    <w:rsid w:val="009E2E49"/>
    <w:rsid w:val="009E2F34"/>
    <w:rsid w:val="009E318A"/>
    <w:rsid w:val="009E3330"/>
    <w:rsid w:val="009E3334"/>
    <w:rsid w:val="009E3467"/>
    <w:rsid w:val="009E34F5"/>
    <w:rsid w:val="009E35F9"/>
    <w:rsid w:val="009E395D"/>
    <w:rsid w:val="009E39C3"/>
    <w:rsid w:val="009E3ADA"/>
    <w:rsid w:val="009E3B6A"/>
    <w:rsid w:val="009E3D13"/>
    <w:rsid w:val="009E4355"/>
    <w:rsid w:val="009E493F"/>
    <w:rsid w:val="009E4AFF"/>
    <w:rsid w:val="009E4B38"/>
    <w:rsid w:val="009E4CEA"/>
    <w:rsid w:val="009E4E8B"/>
    <w:rsid w:val="009E502F"/>
    <w:rsid w:val="009E52C8"/>
    <w:rsid w:val="009E5453"/>
    <w:rsid w:val="009E555B"/>
    <w:rsid w:val="009E5657"/>
    <w:rsid w:val="009E58F5"/>
    <w:rsid w:val="009E5CA6"/>
    <w:rsid w:val="009E5DAF"/>
    <w:rsid w:val="009E5DF8"/>
    <w:rsid w:val="009E5FA3"/>
    <w:rsid w:val="009E5FE2"/>
    <w:rsid w:val="009E65F7"/>
    <w:rsid w:val="009E664B"/>
    <w:rsid w:val="009E6653"/>
    <w:rsid w:val="009E68D4"/>
    <w:rsid w:val="009E6946"/>
    <w:rsid w:val="009E6B2F"/>
    <w:rsid w:val="009E70B6"/>
    <w:rsid w:val="009E7282"/>
    <w:rsid w:val="009E747D"/>
    <w:rsid w:val="009E76F3"/>
    <w:rsid w:val="009E7B87"/>
    <w:rsid w:val="009E7DB6"/>
    <w:rsid w:val="009F0160"/>
    <w:rsid w:val="009F01DC"/>
    <w:rsid w:val="009F0409"/>
    <w:rsid w:val="009F0463"/>
    <w:rsid w:val="009F04D0"/>
    <w:rsid w:val="009F0525"/>
    <w:rsid w:val="009F0801"/>
    <w:rsid w:val="009F0EF1"/>
    <w:rsid w:val="009F0FC3"/>
    <w:rsid w:val="009F10E7"/>
    <w:rsid w:val="009F114F"/>
    <w:rsid w:val="009F1565"/>
    <w:rsid w:val="009F1815"/>
    <w:rsid w:val="009F1BAB"/>
    <w:rsid w:val="009F1D3B"/>
    <w:rsid w:val="009F21B7"/>
    <w:rsid w:val="009F23E0"/>
    <w:rsid w:val="009F2999"/>
    <w:rsid w:val="009F29C1"/>
    <w:rsid w:val="009F3299"/>
    <w:rsid w:val="009F333C"/>
    <w:rsid w:val="009F3447"/>
    <w:rsid w:val="009F34A4"/>
    <w:rsid w:val="009F3511"/>
    <w:rsid w:val="009F3810"/>
    <w:rsid w:val="009F381F"/>
    <w:rsid w:val="009F3B50"/>
    <w:rsid w:val="009F3C85"/>
    <w:rsid w:val="009F3CE8"/>
    <w:rsid w:val="009F3CEC"/>
    <w:rsid w:val="009F3E23"/>
    <w:rsid w:val="009F3E6B"/>
    <w:rsid w:val="009F3F25"/>
    <w:rsid w:val="009F3F97"/>
    <w:rsid w:val="009F42E3"/>
    <w:rsid w:val="009F44D1"/>
    <w:rsid w:val="009F4637"/>
    <w:rsid w:val="009F46B9"/>
    <w:rsid w:val="009F4BA6"/>
    <w:rsid w:val="009F4E7A"/>
    <w:rsid w:val="009F516C"/>
    <w:rsid w:val="009F5CD0"/>
    <w:rsid w:val="009F5CDE"/>
    <w:rsid w:val="009F5E27"/>
    <w:rsid w:val="009F5E3C"/>
    <w:rsid w:val="009F5EBF"/>
    <w:rsid w:val="009F64A2"/>
    <w:rsid w:val="009F67D9"/>
    <w:rsid w:val="009F6AA1"/>
    <w:rsid w:val="009F6CC0"/>
    <w:rsid w:val="009F6E6E"/>
    <w:rsid w:val="009F6E96"/>
    <w:rsid w:val="009F6ED4"/>
    <w:rsid w:val="009F76DB"/>
    <w:rsid w:val="009F776D"/>
    <w:rsid w:val="009F7D16"/>
    <w:rsid w:val="009F7F69"/>
    <w:rsid w:val="00A003D7"/>
    <w:rsid w:val="00A006B0"/>
    <w:rsid w:val="00A00A5D"/>
    <w:rsid w:val="00A00A83"/>
    <w:rsid w:val="00A00BC6"/>
    <w:rsid w:val="00A00DAB"/>
    <w:rsid w:val="00A00ECE"/>
    <w:rsid w:val="00A0108D"/>
    <w:rsid w:val="00A01214"/>
    <w:rsid w:val="00A012DE"/>
    <w:rsid w:val="00A013F0"/>
    <w:rsid w:val="00A017D8"/>
    <w:rsid w:val="00A01D3F"/>
    <w:rsid w:val="00A01F61"/>
    <w:rsid w:val="00A020AD"/>
    <w:rsid w:val="00A022C7"/>
    <w:rsid w:val="00A024D9"/>
    <w:rsid w:val="00A026CA"/>
    <w:rsid w:val="00A02758"/>
    <w:rsid w:val="00A0280C"/>
    <w:rsid w:val="00A028CC"/>
    <w:rsid w:val="00A029EF"/>
    <w:rsid w:val="00A02B93"/>
    <w:rsid w:val="00A0307F"/>
    <w:rsid w:val="00A0315D"/>
    <w:rsid w:val="00A03194"/>
    <w:rsid w:val="00A031F8"/>
    <w:rsid w:val="00A031F9"/>
    <w:rsid w:val="00A03ADC"/>
    <w:rsid w:val="00A03E94"/>
    <w:rsid w:val="00A04151"/>
    <w:rsid w:val="00A04188"/>
    <w:rsid w:val="00A0449B"/>
    <w:rsid w:val="00A044E4"/>
    <w:rsid w:val="00A0469A"/>
    <w:rsid w:val="00A047D0"/>
    <w:rsid w:val="00A04835"/>
    <w:rsid w:val="00A048C2"/>
    <w:rsid w:val="00A04B20"/>
    <w:rsid w:val="00A053C5"/>
    <w:rsid w:val="00A05991"/>
    <w:rsid w:val="00A05CBD"/>
    <w:rsid w:val="00A05FDF"/>
    <w:rsid w:val="00A061BD"/>
    <w:rsid w:val="00A062EE"/>
    <w:rsid w:val="00A06395"/>
    <w:rsid w:val="00A063D4"/>
    <w:rsid w:val="00A06485"/>
    <w:rsid w:val="00A06671"/>
    <w:rsid w:val="00A068D8"/>
    <w:rsid w:val="00A06A83"/>
    <w:rsid w:val="00A06C82"/>
    <w:rsid w:val="00A0717F"/>
    <w:rsid w:val="00A07548"/>
    <w:rsid w:val="00A0788F"/>
    <w:rsid w:val="00A07B35"/>
    <w:rsid w:val="00A07CA9"/>
    <w:rsid w:val="00A07CD0"/>
    <w:rsid w:val="00A07CEF"/>
    <w:rsid w:val="00A07F35"/>
    <w:rsid w:val="00A10082"/>
    <w:rsid w:val="00A103C0"/>
    <w:rsid w:val="00A103E9"/>
    <w:rsid w:val="00A107D9"/>
    <w:rsid w:val="00A108DA"/>
    <w:rsid w:val="00A10DC6"/>
    <w:rsid w:val="00A11159"/>
    <w:rsid w:val="00A111D9"/>
    <w:rsid w:val="00A117E7"/>
    <w:rsid w:val="00A118B1"/>
    <w:rsid w:val="00A118DD"/>
    <w:rsid w:val="00A11978"/>
    <w:rsid w:val="00A119FD"/>
    <w:rsid w:val="00A11A40"/>
    <w:rsid w:val="00A11D15"/>
    <w:rsid w:val="00A124FC"/>
    <w:rsid w:val="00A12593"/>
    <w:rsid w:val="00A12813"/>
    <w:rsid w:val="00A1288D"/>
    <w:rsid w:val="00A12A10"/>
    <w:rsid w:val="00A12B17"/>
    <w:rsid w:val="00A12F61"/>
    <w:rsid w:val="00A12FAA"/>
    <w:rsid w:val="00A12FC5"/>
    <w:rsid w:val="00A130D4"/>
    <w:rsid w:val="00A134B2"/>
    <w:rsid w:val="00A134B5"/>
    <w:rsid w:val="00A135D0"/>
    <w:rsid w:val="00A135FF"/>
    <w:rsid w:val="00A13D5C"/>
    <w:rsid w:val="00A1403B"/>
    <w:rsid w:val="00A14262"/>
    <w:rsid w:val="00A143CB"/>
    <w:rsid w:val="00A1497C"/>
    <w:rsid w:val="00A14BC7"/>
    <w:rsid w:val="00A14BD1"/>
    <w:rsid w:val="00A14C83"/>
    <w:rsid w:val="00A14CE6"/>
    <w:rsid w:val="00A14DF4"/>
    <w:rsid w:val="00A14EBA"/>
    <w:rsid w:val="00A15295"/>
    <w:rsid w:val="00A15633"/>
    <w:rsid w:val="00A1582C"/>
    <w:rsid w:val="00A15847"/>
    <w:rsid w:val="00A15852"/>
    <w:rsid w:val="00A15965"/>
    <w:rsid w:val="00A15A00"/>
    <w:rsid w:val="00A15C62"/>
    <w:rsid w:val="00A15D2A"/>
    <w:rsid w:val="00A15DF2"/>
    <w:rsid w:val="00A15F4E"/>
    <w:rsid w:val="00A16427"/>
    <w:rsid w:val="00A16621"/>
    <w:rsid w:val="00A168EF"/>
    <w:rsid w:val="00A1715B"/>
    <w:rsid w:val="00A173EE"/>
    <w:rsid w:val="00A174FF"/>
    <w:rsid w:val="00A1771E"/>
    <w:rsid w:val="00A1788D"/>
    <w:rsid w:val="00A17905"/>
    <w:rsid w:val="00A17AAC"/>
    <w:rsid w:val="00A17E2B"/>
    <w:rsid w:val="00A200B6"/>
    <w:rsid w:val="00A20214"/>
    <w:rsid w:val="00A205E1"/>
    <w:rsid w:val="00A20764"/>
    <w:rsid w:val="00A208D0"/>
    <w:rsid w:val="00A21038"/>
    <w:rsid w:val="00A213A0"/>
    <w:rsid w:val="00A21530"/>
    <w:rsid w:val="00A21693"/>
    <w:rsid w:val="00A21800"/>
    <w:rsid w:val="00A21810"/>
    <w:rsid w:val="00A21900"/>
    <w:rsid w:val="00A21A8F"/>
    <w:rsid w:val="00A21B2C"/>
    <w:rsid w:val="00A21CA8"/>
    <w:rsid w:val="00A21D52"/>
    <w:rsid w:val="00A2201D"/>
    <w:rsid w:val="00A222EE"/>
    <w:rsid w:val="00A224BD"/>
    <w:rsid w:val="00A22524"/>
    <w:rsid w:val="00A2276C"/>
    <w:rsid w:val="00A22FC5"/>
    <w:rsid w:val="00A23402"/>
    <w:rsid w:val="00A23418"/>
    <w:rsid w:val="00A23431"/>
    <w:rsid w:val="00A23508"/>
    <w:rsid w:val="00A2363D"/>
    <w:rsid w:val="00A237E0"/>
    <w:rsid w:val="00A23A55"/>
    <w:rsid w:val="00A23B3E"/>
    <w:rsid w:val="00A23B5A"/>
    <w:rsid w:val="00A23CEC"/>
    <w:rsid w:val="00A23E05"/>
    <w:rsid w:val="00A23E7D"/>
    <w:rsid w:val="00A2415A"/>
    <w:rsid w:val="00A24311"/>
    <w:rsid w:val="00A2455F"/>
    <w:rsid w:val="00A24CDD"/>
    <w:rsid w:val="00A24CF3"/>
    <w:rsid w:val="00A25031"/>
    <w:rsid w:val="00A25600"/>
    <w:rsid w:val="00A258A5"/>
    <w:rsid w:val="00A2593E"/>
    <w:rsid w:val="00A25E50"/>
    <w:rsid w:val="00A25F6D"/>
    <w:rsid w:val="00A26226"/>
    <w:rsid w:val="00A26571"/>
    <w:rsid w:val="00A26DF9"/>
    <w:rsid w:val="00A26EDB"/>
    <w:rsid w:val="00A271EA"/>
    <w:rsid w:val="00A274A9"/>
    <w:rsid w:val="00A27AFE"/>
    <w:rsid w:val="00A27C83"/>
    <w:rsid w:val="00A27E71"/>
    <w:rsid w:val="00A27F9C"/>
    <w:rsid w:val="00A30132"/>
    <w:rsid w:val="00A30197"/>
    <w:rsid w:val="00A3077B"/>
    <w:rsid w:val="00A30B0B"/>
    <w:rsid w:val="00A30C13"/>
    <w:rsid w:val="00A30CD7"/>
    <w:rsid w:val="00A30D55"/>
    <w:rsid w:val="00A30D9D"/>
    <w:rsid w:val="00A30DFB"/>
    <w:rsid w:val="00A31335"/>
    <w:rsid w:val="00A3141D"/>
    <w:rsid w:val="00A31445"/>
    <w:rsid w:val="00A31572"/>
    <w:rsid w:val="00A31C04"/>
    <w:rsid w:val="00A321AB"/>
    <w:rsid w:val="00A323B1"/>
    <w:rsid w:val="00A3261C"/>
    <w:rsid w:val="00A32823"/>
    <w:rsid w:val="00A32BDE"/>
    <w:rsid w:val="00A330B5"/>
    <w:rsid w:val="00A33200"/>
    <w:rsid w:val="00A3368A"/>
    <w:rsid w:val="00A338E4"/>
    <w:rsid w:val="00A339BE"/>
    <w:rsid w:val="00A33AAD"/>
    <w:rsid w:val="00A33D73"/>
    <w:rsid w:val="00A33EE9"/>
    <w:rsid w:val="00A34257"/>
    <w:rsid w:val="00A3433F"/>
    <w:rsid w:val="00A343FC"/>
    <w:rsid w:val="00A34426"/>
    <w:rsid w:val="00A3450B"/>
    <w:rsid w:val="00A3484F"/>
    <w:rsid w:val="00A34C39"/>
    <w:rsid w:val="00A34D07"/>
    <w:rsid w:val="00A34D84"/>
    <w:rsid w:val="00A34E09"/>
    <w:rsid w:val="00A34E36"/>
    <w:rsid w:val="00A352DB"/>
    <w:rsid w:val="00A353BF"/>
    <w:rsid w:val="00A35418"/>
    <w:rsid w:val="00A35445"/>
    <w:rsid w:val="00A35D0E"/>
    <w:rsid w:val="00A35D45"/>
    <w:rsid w:val="00A35D72"/>
    <w:rsid w:val="00A35E7A"/>
    <w:rsid w:val="00A35ED5"/>
    <w:rsid w:val="00A361A7"/>
    <w:rsid w:val="00A36AC0"/>
    <w:rsid w:val="00A36B0C"/>
    <w:rsid w:val="00A36C3E"/>
    <w:rsid w:val="00A37200"/>
    <w:rsid w:val="00A37315"/>
    <w:rsid w:val="00A37348"/>
    <w:rsid w:val="00A376AE"/>
    <w:rsid w:val="00A37C57"/>
    <w:rsid w:val="00A37FEC"/>
    <w:rsid w:val="00A401BF"/>
    <w:rsid w:val="00A40603"/>
    <w:rsid w:val="00A4074D"/>
    <w:rsid w:val="00A409B2"/>
    <w:rsid w:val="00A40A96"/>
    <w:rsid w:val="00A40D50"/>
    <w:rsid w:val="00A40F1E"/>
    <w:rsid w:val="00A41117"/>
    <w:rsid w:val="00A4111F"/>
    <w:rsid w:val="00A41298"/>
    <w:rsid w:val="00A41348"/>
    <w:rsid w:val="00A413D9"/>
    <w:rsid w:val="00A41751"/>
    <w:rsid w:val="00A418AB"/>
    <w:rsid w:val="00A41AF0"/>
    <w:rsid w:val="00A41B2E"/>
    <w:rsid w:val="00A41BB8"/>
    <w:rsid w:val="00A41C1D"/>
    <w:rsid w:val="00A41D5E"/>
    <w:rsid w:val="00A41E3F"/>
    <w:rsid w:val="00A41F13"/>
    <w:rsid w:val="00A42314"/>
    <w:rsid w:val="00A423BA"/>
    <w:rsid w:val="00A42665"/>
    <w:rsid w:val="00A42738"/>
    <w:rsid w:val="00A427D9"/>
    <w:rsid w:val="00A42942"/>
    <w:rsid w:val="00A42A5C"/>
    <w:rsid w:val="00A42A62"/>
    <w:rsid w:val="00A42B3F"/>
    <w:rsid w:val="00A42DA8"/>
    <w:rsid w:val="00A42E3D"/>
    <w:rsid w:val="00A430F7"/>
    <w:rsid w:val="00A432C5"/>
    <w:rsid w:val="00A436F4"/>
    <w:rsid w:val="00A439FA"/>
    <w:rsid w:val="00A4401F"/>
    <w:rsid w:val="00A44169"/>
    <w:rsid w:val="00A44353"/>
    <w:rsid w:val="00A444E9"/>
    <w:rsid w:val="00A4452E"/>
    <w:rsid w:val="00A4490E"/>
    <w:rsid w:val="00A44969"/>
    <w:rsid w:val="00A44DA5"/>
    <w:rsid w:val="00A44EE1"/>
    <w:rsid w:val="00A453BE"/>
    <w:rsid w:val="00A457AE"/>
    <w:rsid w:val="00A45885"/>
    <w:rsid w:val="00A4605B"/>
    <w:rsid w:val="00A46190"/>
    <w:rsid w:val="00A46329"/>
    <w:rsid w:val="00A46379"/>
    <w:rsid w:val="00A46849"/>
    <w:rsid w:val="00A468FC"/>
    <w:rsid w:val="00A46970"/>
    <w:rsid w:val="00A46AE5"/>
    <w:rsid w:val="00A46B62"/>
    <w:rsid w:val="00A46CBB"/>
    <w:rsid w:val="00A46CE7"/>
    <w:rsid w:val="00A46D05"/>
    <w:rsid w:val="00A46F56"/>
    <w:rsid w:val="00A4710E"/>
    <w:rsid w:val="00A477AD"/>
    <w:rsid w:val="00A477FF"/>
    <w:rsid w:val="00A47BA8"/>
    <w:rsid w:val="00A47C09"/>
    <w:rsid w:val="00A47C8B"/>
    <w:rsid w:val="00A47CF9"/>
    <w:rsid w:val="00A47FC0"/>
    <w:rsid w:val="00A50068"/>
    <w:rsid w:val="00A50184"/>
    <w:rsid w:val="00A50235"/>
    <w:rsid w:val="00A506D4"/>
    <w:rsid w:val="00A50A8C"/>
    <w:rsid w:val="00A50B4A"/>
    <w:rsid w:val="00A512DF"/>
    <w:rsid w:val="00A51CC5"/>
    <w:rsid w:val="00A51CE8"/>
    <w:rsid w:val="00A51CE9"/>
    <w:rsid w:val="00A51E28"/>
    <w:rsid w:val="00A51FEF"/>
    <w:rsid w:val="00A5202B"/>
    <w:rsid w:val="00A52045"/>
    <w:rsid w:val="00A523D2"/>
    <w:rsid w:val="00A524B7"/>
    <w:rsid w:val="00A525E1"/>
    <w:rsid w:val="00A52693"/>
    <w:rsid w:val="00A52A4A"/>
    <w:rsid w:val="00A52AA2"/>
    <w:rsid w:val="00A530B6"/>
    <w:rsid w:val="00A53666"/>
    <w:rsid w:val="00A53828"/>
    <w:rsid w:val="00A53A0C"/>
    <w:rsid w:val="00A53A56"/>
    <w:rsid w:val="00A53DD7"/>
    <w:rsid w:val="00A54332"/>
    <w:rsid w:val="00A543FD"/>
    <w:rsid w:val="00A5456C"/>
    <w:rsid w:val="00A546B5"/>
    <w:rsid w:val="00A5478C"/>
    <w:rsid w:val="00A5481E"/>
    <w:rsid w:val="00A54AE5"/>
    <w:rsid w:val="00A54BD0"/>
    <w:rsid w:val="00A54D03"/>
    <w:rsid w:val="00A54E98"/>
    <w:rsid w:val="00A54ED0"/>
    <w:rsid w:val="00A54F9B"/>
    <w:rsid w:val="00A54F9D"/>
    <w:rsid w:val="00A54FA5"/>
    <w:rsid w:val="00A55047"/>
    <w:rsid w:val="00A558A8"/>
    <w:rsid w:val="00A55A9F"/>
    <w:rsid w:val="00A55AE3"/>
    <w:rsid w:val="00A55D22"/>
    <w:rsid w:val="00A55D87"/>
    <w:rsid w:val="00A55DEF"/>
    <w:rsid w:val="00A55E4F"/>
    <w:rsid w:val="00A55E75"/>
    <w:rsid w:val="00A55F07"/>
    <w:rsid w:val="00A56097"/>
    <w:rsid w:val="00A563D6"/>
    <w:rsid w:val="00A5648B"/>
    <w:rsid w:val="00A5667B"/>
    <w:rsid w:val="00A5676B"/>
    <w:rsid w:val="00A567F7"/>
    <w:rsid w:val="00A57072"/>
    <w:rsid w:val="00A570E2"/>
    <w:rsid w:val="00A5712B"/>
    <w:rsid w:val="00A572FC"/>
    <w:rsid w:val="00A5731E"/>
    <w:rsid w:val="00A57519"/>
    <w:rsid w:val="00A577D3"/>
    <w:rsid w:val="00A600F6"/>
    <w:rsid w:val="00A60201"/>
    <w:rsid w:val="00A602AD"/>
    <w:rsid w:val="00A6051B"/>
    <w:rsid w:val="00A60824"/>
    <w:rsid w:val="00A60931"/>
    <w:rsid w:val="00A6096A"/>
    <w:rsid w:val="00A60A01"/>
    <w:rsid w:val="00A60B4D"/>
    <w:rsid w:val="00A60FD5"/>
    <w:rsid w:val="00A6162A"/>
    <w:rsid w:val="00A616EB"/>
    <w:rsid w:val="00A61904"/>
    <w:rsid w:val="00A619C7"/>
    <w:rsid w:val="00A619EE"/>
    <w:rsid w:val="00A61E20"/>
    <w:rsid w:val="00A61F75"/>
    <w:rsid w:val="00A62394"/>
    <w:rsid w:val="00A62811"/>
    <w:rsid w:val="00A62E96"/>
    <w:rsid w:val="00A62F00"/>
    <w:rsid w:val="00A62F9D"/>
    <w:rsid w:val="00A62FA9"/>
    <w:rsid w:val="00A630D5"/>
    <w:rsid w:val="00A6316D"/>
    <w:rsid w:val="00A632C4"/>
    <w:rsid w:val="00A633B4"/>
    <w:rsid w:val="00A6365E"/>
    <w:rsid w:val="00A6371F"/>
    <w:rsid w:val="00A63A42"/>
    <w:rsid w:val="00A63CE7"/>
    <w:rsid w:val="00A63D9B"/>
    <w:rsid w:val="00A6421A"/>
    <w:rsid w:val="00A64514"/>
    <w:rsid w:val="00A649C4"/>
    <w:rsid w:val="00A64ADD"/>
    <w:rsid w:val="00A64D83"/>
    <w:rsid w:val="00A64DEA"/>
    <w:rsid w:val="00A652DC"/>
    <w:rsid w:val="00A65317"/>
    <w:rsid w:val="00A653C7"/>
    <w:rsid w:val="00A65A5A"/>
    <w:rsid w:val="00A65C27"/>
    <w:rsid w:val="00A65D26"/>
    <w:rsid w:val="00A65D71"/>
    <w:rsid w:val="00A65E2F"/>
    <w:rsid w:val="00A65EBD"/>
    <w:rsid w:val="00A66246"/>
    <w:rsid w:val="00A662A5"/>
    <w:rsid w:val="00A662C0"/>
    <w:rsid w:val="00A667D8"/>
    <w:rsid w:val="00A66AB2"/>
    <w:rsid w:val="00A66C7B"/>
    <w:rsid w:val="00A66F63"/>
    <w:rsid w:val="00A67069"/>
    <w:rsid w:val="00A672B9"/>
    <w:rsid w:val="00A67353"/>
    <w:rsid w:val="00A67593"/>
    <w:rsid w:val="00A67659"/>
    <w:rsid w:val="00A67E11"/>
    <w:rsid w:val="00A67EA7"/>
    <w:rsid w:val="00A67F3B"/>
    <w:rsid w:val="00A67F4B"/>
    <w:rsid w:val="00A70358"/>
    <w:rsid w:val="00A708E4"/>
    <w:rsid w:val="00A70AEC"/>
    <w:rsid w:val="00A70C0A"/>
    <w:rsid w:val="00A70C3D"/>
    <w:rsid w:val="00A70CBC"/>
    <w:rsid w:val="00A70CC5"/>
    <w:rsid w:val="00A70F72"/>
    <w:rsid w:val="00A713D9"/>
    <w:rsid w:val="00A717B3"/>
    <w:rsid w:val="00A71EE5"/>
    <w:rsid w:val="00A71F4A"/>
    <w:rsid w:val="00A72083"/>
    <w:rsid w:val="00A72249"/>
    <w:rsid w:val="00A72267"/>
    <w:rsid w:val="00A72316"/>
    <w:rsid w:val="00A72513"/>
    <w:rsid w:val="00A72DA5"/>
    <w:rsid w:val="00A72FCA"/>
    <w:rsid w:val="00A7339E"/>
    <w:rsid w:val="00A7344F"/>
    <w:rsid w:val="00A73594"/>
    <w:rsid w:val="00A7386A"/>
    <w:rsid w:val="00A73A0F"/>
    <w:rsid w:val="00A73AF4"/>
    <w:rsid w:val="00A73C26"/>
    <w:rsid w:val="00A741B0"/>
    <w:rsid w:val="00A74216"/>
    <w:rsid w:val="00A74540"/>
    <w:rsid w:val="00A74570"/>
    <w:rsid w:val="00A7457A"/>
    <w:rsid w:val="00A745B4"/>
    <w:rsid w:val="00A745FE"/>
    <w:rsid w:val="00A74CF4"/>
    <w:rsid w:val="00A74D60"/>
    <w:rsid w:val="00A74E59"/>
    <w:rsid w:val="00A753AB"/>
    <w:rsid w:val="00A7583F"/>
    <w:rsid w:val="00A7585D"/>
    <w:rsid w:val="00A75B1E"/>
    <w:rsid w:val="00A75C92"/>
    <w:rsid w:val="00A763E6"/>
    <w:rsid w:val="00A767BA"/>
    <w:rsid w:val="00A767E8"/>
    <w:rsid w:val="00A76B5B"/>
    <w:rsid w:val="00A76B5E"/>
    <w:rsid w:val="00A76BD1"/>
    <w:rsid w:val="00A76E59"/>
    <w:rsid w:val="00A76FDA"/>
    <w:rsid w:val="00A771F6"/>
    <w:rsid w:val="00A774E2"/>
    <w:rsid w:val="00A7757C"/>
    <w:rsid w:val="00A776E9"/>
    <w:rsid w:val="00A776F2"/>
    <w:rsid w:val="00A777C3"/>
    <w:rsid w:val="00A77A6A"/>
    <w:rsid w:val="00A77F42"/>
    <w:rsid w:val="00A80020"/>
    <w:rsid w:val="00A800D9"/>
    <w:rsid w:val="00A803CA"/>
    <w:rsid w:val="00A807BF"/>
    <w:rsid w:val="00A807F5"/>
    <w:rsid w:val="00A80850"/>
    <w:rsid w:val="00A80B92"/>
    <w:rsid w:val="00A81035"/>
    <w:rsid w:val="00A812B9"/>
    <w:rsid w:val="00A81554"/>
    <w:rsid w:val="00A815F9"/>
    <w:rsid w:val="00A8165A"/>
    <w:rsid w:val="00A81D17"/>
    <w:rsid w:val="00A81EAD"/>
    <w:rsid w:val="00A82204"/>
    <w:rsid w:val="00A825BB"/>
    <w:rsid w:val="00A82786"/>
    <w:rsid w:val="00A827C9"/>
    <w:rsid w:val="00A82A23"/>
    <w:rsid w:val="00A82A2A"/>
    <w:rsid w:val="00A82A5A"/>
    <w:rsid w:val="00A82F31"/>
    <w:rsid w:val="00A83127"/>
    <w:rsid w:val="00A831D6"/>
    <w:rsid w:val="00A83350"/>
    <w:rsid w:val="00A839C6"/>
    <w:rsid w:val="00A83ED5"/>
    <w:rsid w:val="00A840A9"/>
    <w:rsid w:val="00A842C0"/>
    <w:rsid w:val="00A84507"/>
    <w:rsid w:val="00A8477D"/>
    <w:rsid w:val="00A8493C"/>
    <w:rsid w:val="00A84F95"/>
    <w:rsid w:val="00A850BD"/>
    <w:rsid w:val="00A851E6"/>
    <w:rsid w:val="00A8520A"/>
    <w:rsid w:val="00A85922"/>
    <w:rsid w:val="00A85B14"/>
    <w:rsid w:val="00A85F13"/>
    <w:rsid w:val="00A8607A"/>
    <w:rsid w:val="00A86273"/>
    <w:rsid w:val="00A86289"/>
    <w:rsid w:val="00A86331"/>
    <w:rsid w:val="00A8645D"/>
    <w:rsid w:val="00A8662E"/>
    <w:rsid w:val="00A8687A"/>
    <w:rsid w:val="00A86AE4"/>
    <w:rsid w:val="00A86BD1"/>
    <w:rsid w:val="00A86BF6"/>
    <w:rsid w:val="00A86F86"/>
    <w:rsid w:val="00A86F92"/>
    <w:rsid w:val="00A879D7"/>
    <w:rsid w:val="00A87AB8"/>
    <w:rsid w:val="00A87C00"/>
    <w:rsid w:val="00A87C7C"/>
    <w:rsid w:val="00A87E42"/>
    <w:rsid w:val="00A87F77"/>
    <w:rsid w:val="00A901F5"/>
    <w:rsid w:val="00A9069C"/>
    <w:rsid w:val="00A906CB"/>
    <w:rsid w:val="00A90703"/>
    <w:rsid w:val="00A9082A"/>
    <w:rsid w:val="00A90899"/>
    <w:rsid w:val="00A90A4F"/>
    <w:rsid w:val="00A90A5A"/>
    <w:rsid w:val="00A90D8E"/>
    <w:rsid w:val="00A90ECE"/>
    <w:rsid w:val="00A90EDC"/>
    <w:rsid w:val="00A9112F"/>
    <w:rsid w:val="00A911F0"/>
    <w:rsid w:val="00A912ED"/>
    <w:rsid w:val="00A9141C"/>
    <w:rsid w:val="00A91694"/>
    <w:rsid w:val="00A917CD"/>
    <w:rsid w:val="00A91A52"/>
    <w:rsid w:val="00A91C2D"/>
    <w:rsid w:val="00A9204C"/>
    <w:rsid w:val="00A921A9"/>
    <w:rsid w:val="00A922D3"/>
    <w:rsid w:val="00A923CB"/>
    <w:rsid w:val="00A92575"/>
    <w:rsid w:val="00A92666"/>
    <w:rsid w:val="00A9288B"/>
    <w:rsid w:val="00A92992"/>
    <w:rsid w:val="00A929FE"/>
    <w:rsid w:val="00A92C34"/>
    <w:rsid w:val="00A92DBA"/>
    <w:rsid w:val="00A9318A"/>
    <w:rsid w:val="00A9318E"/>
    <w:rsid w:val="00A933EA"/>
    <w:rsid w:val="00A9366A"/>
    <w:rsid w:val="00A93A1C"/>
    <w:rsid w:val="00A93C91"/>
    <w:rsid w:val="00A93EDB"/>
    <w:rsid w:val="00A940DE"/>
    <w:rsid w:val="00A94243"/>
    <w:rsid w:val="00A942C8"/>
    <w:rsid w:val="00A94594"/>
    <w:rsid w:val="00A94972"/>
    <w:rsid w:val="00A949AB"/>
    <w:rsid w:val="00A94BC0"/>
    <w:rsid w:val="00A94D7A"/>
    <w:rsid w:val="00A94DA9"/>
    <w:rsid w:val="00A94E41"/>
    <w:rsid w:val="00A95341"/>
    <w:rsid w:val="00A957F0"/>
    <w:rsid w:val="00A95869"/>
    <w:rsid w:val="00A95BA5"/>
    <w:rsid w:val="00A95C23"/>
    <w:rsid w:val="00A95DE8"/>
    <w:rsid w:val="00A95F14"/>
    <w:rsid w:val="00A95FCD"/>
    <w:rsid w:val="00A96432"/>
    <w:rsid w:val="00A9669A"/>
    <w:rsid w:val="00A96898"/>
    <w:rsid w:val="00A969AB"/>
    <w:rsid w:val="00A969B7"/>
    <w:rsid w:val="00A96A6B"/>
    <w:rsid w:val="00A96B31"/>
    <w:rsid w:val="00A96CA5"/>
    <w:rsid w:val="00A96D7E"/>
    <w:rsid w:val="00A96DAA"/>
    <w:rsid w:val="00A973FA"/>
    <w:rsid w:val="00A97409"/>
    <w:rsid w:val="00A97A67"/>
    <w:rsid w:val="00A97CD2"/>
    <w:rsid w:val="00A97F4B"/>
    <w:rsid w:val="00AA047F"/>
    <w:rsid w:val="00AA0519"/>
    <w:rsid w:val="00AA0539"/>
    <w:rsid w:val="00AA0A6F"/>
    <w:rsid w:val="00AA0B8A"/>
    <w:rsid w:val="00AA0DB6"/>
    <w:rsid w:val="00AA0EEE"/>
    <w:rsid w:val="00AA0F82"/>
    <w:rsid w:val="00AA106A"/>
    <w:rsid w:val="00AA1098"/>
    <w:rsid w:val="00AA109F"/>
    <w:rsid w:val="00AA10CA"/>
    <w:rsid w:val="00AA1353"/>
    <w:rsid w:val="00AA13EA"/>
    <w:rsid w:val="00AA1567"/>
    <w:rsid w:val="00AA1795"/>
    <w:rsid w:val="00AA1A6C"/>
    <w:rsid w:val="00AA1A79"/>
    <w:rsid w:val="00AA1F37"/>
    <w:rsid w:val="00AA200B"/>
    <w:rsid w:val="00AA2186"/>
    <w:rsid w:val="00AA243E"/>
    <w:rsid w:val="00AA2D72"/>
    <w:rsid w:val="00AA2DDA"/>
    <w:rsid w:val="00AA3251"/>
    <w:rsid w:val="00AA33AC"/>
    <w:rsid w:val="00AA3542"/>
    <w:rsid w:val="00AA3766"/>
    <w:rsid w:val="00AA3BBE"/>
    <w:rsid w:val="00AA3C99"/>
    <w:rsid w:val="00AA3CA7"/>
    <w:rsid w:val="00AA3FAF"/>
    <w:rsid w:val="00AA4042"/>
    <w:rsid w:val="00AA40A5"/>
    <w:rsid w:val="00AA4234"/>
    <w:rsid w:val="00AA47DE"/>
    <w:rsid w:val="00AA47E8"/>
    <w:rsid w:val="00AA4A2C"/>
    <w:rsid w:val="00AA4D68"/>
    <w:rsid w:val="00AA4DD8"/>
    <w:rsid w:val="00AA504A"/>
    <w:rsid w:val="00AA51F6"/>
    <w:rsid w:val="00AA5237"/>
    <w:rsid w:val="00AA5250"/>
    <w:rsid w:val="00AA53A7"/>
    <w:rsid w:val="00AA54EC"/>
    <w:rsid w:val="00AA5962"/>
    <w:rsid w:val="00AA5AAA"/>
    <w:rsid w:val="00AA5D0A"/>
    <w:rsid w:val="00AA5D4C"/>
    <w:rsid w:val="00AA5D7F"/>
    <w:rsid w:val="00AA5DB9"/>
    <w:rsid w:val="00AA613A"/>
    <w:rsid w:val="00AA6425"/>
    <w:rsid w:val="00AA6A0D"/>
    <w:rsid w:val="00AA6ADE"/>
    <w:rsid w:val="00AA6BF2"/>
    <w:rsid w:val="00AA6D30"/>
    <w:rsid w:val="00AA6FC1"/>
    <w:rsid w:val="00AA750E"/>
    <w:rsid w:val="00AA75A7"/>
    <w:rsid w:val="00AA78CE"/>
    <w:rsid w:val="00AA7A2A"/>
    <w:rsid w:val="00AB0323"/>
    <w:rsid w:val="00AB0574"/>
    <w:rsid w:val="00AB0928"/>
    <w:rsid w:val="00AB0D46"/>
    <w:rsid w:val="00AB0E77"/>
    <w:rsid w:val="00AB153F"/>
    <w:rsid w:val="00AB1642"/>
    <w:rsid w:val="00AB1953"/>
    <w:rsid w:val="00AB1B24"/>
    <w:rsid w:val="00AB1D8C"/>
    <w:rsid w:val="00AB1E9F"/>
    <w:rsid w:val="00AB1EEB"/>
    <w:rsid w:val="00AB1F5E"/>
    <w:rsid w:val="00AB228E"/>
    <w:rsid w:val="00AB22B1"/>
    <w:rsid w:val="00AB2383"/>
    <w:rsid w:val="00AB26BA"/>
    <w:rsid w:val="00AB2705"/>
    <w:rsid w:val="00AB2770"/>
    <w:rsid w:val="00AB28DF"/>
    <w:rsid w:val="00AB293A"/>
    <w:rsid w:val="00AB2E13"/>
    <w:rsid w:val="00AB2E79"/>
    <w:rsid w:val="00AB30CC"/>
    <w:rsid w:val="00AB30FE"/>
    <w:rsid w:val="00AB3115"/>
    <w:rsid w:val="00AB3286"/>
    <w:rsid w:val="00AB33E2"/>
    <w:rsid w:val="00AB3671"/>
    <w:rsid w:val="00AB38B8"/>
    <w:rsid w:val="00AB3BBB"/>
    <w:rsid w:val="00AB3D1B"/>
    <w:rsid w:val="00AB3F4E"/>
    <w:rsid w:val="00AB3FD9"/>
    <w:rsid w:val="00AB4003"/>
    <w:rsid w:val="00AB40E7"/>
    <w:rsid w:val="00AB419B"/>
    <w:rsid w:val="00AB449D"/>
    <w:rsid w:val="00AB449E"/>
    <w:rsid w:val="00AB4D38"/>
    <w:rsid w:val="00AB5031"/>
    <w:rsid w:val="00AB5265"/>
    <w:rsid w:val="00AB53BD"/>
    <w:rsid w:val="00AB55D9"/>
    <w:rsid w:val="00AB57F7"/>
    <w:rsid w:val="00AB5A53"/>
    <w:rsid w:val="00AB5B39"/>
    <w:rsid w:val="00AB5D31"/>
    <w:rsid w:val="00AB5F4B"/>
    <w:rsid w:val="00AB6028"/>
    <w:rsid w:val="00AB660C"/>
    <w:rsid w:val="00AB664D"/>
    <w:rsid w:val="00AB6AE4"/>
    <w:rsid w:val="00AB6B16"/>
    <w:rsid w:val="00AB6C0D"/>
    <w:rsid w:val="00AB6CD0"/>
    <w:rsid w:val="00AB7044"/>
    <w:rsid w:val="00AB71C0"/>
    <w:rsid w:val="00AB73BB"/>
    <w:rsid w:val="00AB74A1"/>
    <w:rsid w:val="00AB756B"/>
    <w:rsid w:val="00AB7BA5"/>
    <w:rsid w:val="00AB7BEB"/>
    <w:rsid w:val="00AC01B3"/>
    <w:rsid w:val="00AC066E"/>
    <w:rsid w:val="00AC0734"/>
    <w:rsid w:val="00AC073F"/>
    <w:rsid w:val="00AC0936"/>
    <w:rsid w:val="00AC0961"/>
    <w:rsid w:val="00AC0C13"/>
    <w:rsid w:val="00AC0CAB"/>
    <w:rsid w:val="00AC0DD8"/>
    <w:rsid w:val="00AC0DEB"/>
    <w:rsid w:val="00AC0E13"/>
    <w:rsid w:val="00AC10F9"/>
    <w:rsid w:val="00AC11C7"/>
    <w:rsid w:val="00AC1230"/>
    <w:rsid w:val="00AC12B9"/>
    <w:rsid w:val="00AC16F1"/>
    <w:rsid w:val="00AC17B8"/>
    <w:rsid w:val="00AC1857"/>
    <w:rsid w:val="00AC1899"/>
    <w:rsid w:val="00AC1918"/>
    <w:rsid w:val="00AC19CE"/>
    <w:rsid w:val="00AC1C15"/>
    <w:rsid w:val="00AC1C49"/>
    <w:rsid w:val="00AC1D57"/>
    <w:rsid w:val="00AC2184"/>
    <w:rsid w:val="00AC2998"/>
    <w:rsid w:val="00AC2CFB"/>
    <w:rsid w:val="00AC2DBA"/>
    <w:rsid w:val="00AC2F60"/>
    <w:rsid w:val="00AC2F69"/>
    <w:rsid w:val="00AC2FCB"/>
    <w:rsid w:val="00AC31E4"/>
    <w:rsid w:val="00AC32C7"/>
    <w:rsid w:val="00AC34D9"/>
    <w:rsid w:val="00AC3657"/>
    <w:rsid w:val="00AC397D"/>
    <w:rsid w:val="00AC3B6D"/>
    <w:rsid w:val="00AC3B8E"/>
    <w:rsid w:val="00AC3C38"/>
    <w:rsid w:val="00AC3D6D"/>
    <w:rsid w:val="00AC4231"/>
    <w:rsid w:val="00AC47EC"/>
    <w:rsid w:val="00AC4F21"/>
    <w:rsid w:val="00AC50BF"/>
    <w:rsid w:val="00AC512C"/>
    <w:rsid w:val="00AC527D"/>
    <w:rsid w:val="00AC57E0"/>
    <w:rsid w:val="00AC583E"/>
    <w:rsid w:val="00AC59D8"/>
    <w:rsid w:val="00AC5B3F"/>
    <w:rsid w:val="00AC5BDC"/>
    <w:rsid w:val="00AC654D"/>
    <w:rsid w:val="00AC6677"/>
    <w:rsid w:val="00AC6830"/>
    <w:rsid w:val="00AC6913"/>
    <w:rsid w:val="00AC6D6F"/>
    <w:rsid w:val="00AC6DCC"/>
    <w:rsid w:val="00AC6EF1"/>
    <w:rsid w:val="00AC6FBB"/>
    <w:rsid w:val="00AC7016"/>
    <w:rsid w:val="00AC7047"/>
    <w:rsid w:val="00AC70FB"/>
    <w:rsid w:val="00AC7145"/>
    <w:rsid w:val="00AC7193"/>
    <w:rsid w:val="00AC742D"/>
    <w:rsid w:val="00AC7456"/>
    <w:rsid w:val="00AC764B"/>
    <w:rsid w:val="00AC764C"/>
    <w:rsid w:val="00AC780D"/>
    <w:rsid w:val="00AC7C19"/>
    <w:rsid w:val="00AC7D89"/>
    <w:rsid w:val="00AD01E5"/>
    <w:rsid w:val="00AD0205"/>
    <w:rsid w:val="00AD024E"/>
    <w:rsid w:val="00AD0645"/>
    <w:rsid w:val="00AD0744"/>
    <w:rsid w:val="00AD09D3"/>
    <w:rsid w:val="00AD0A93"/>
    <w:rsid w:val="00AD0B10"/>
    <w:rsid w:val="00AD0B60"/>
    <w:rsid w:val="00AD0C06"/>
    <w:rsid w:val="00AD0D6D"/>
    <w:rsid w:val="00AD0FD0"/>
    <w:rsid w:val="00AD14BA"/>
    <w:rsid w:val="00AD156E"/>
    <w:rsid w:val="00AD1891"/>
    <w:rsid w:val="00AD19BF"/>
    <w:rsid w:val="00AD1A9A"/>
    <w:rsid w:val="00AD1BC8"/>
    <w:rsid w:val="00AD1F78"/>
    <w:rsid w:val="00AD2157"/>
    <w:rsid w:val="00AD2279"/>
    <w:rsid w:val="00AD241E"/>
    <w:rsid w:val="00AD2428"/>
    <w:rsid w:val="00AD247C"/>
    <w:rsid w:val="00AD2537"/>
    <w:rsid w:val="00AD287C"/>
    <w:rsid w:val="00AD2A3C"/>
    <w:rsid w:val="00AD2BEE"/>
    <w:rsid w:val="00AD302F"/>
    <w:rsid w:val="00AD3158"/>
    <w:rsid w:val="00AD327A"/>
    <w:rsid w:val="00AD37CA"/>
    <w:rsid w:val="00AD38E1"/>
    <w:rsid w:val="00AD393C"/>
    <w:rsid w:val="00AD39A3"/>
    <w:rsid w:val="00AD3D89"/>
    <w:rsid w:val="00AD3E41"/>
    <w:rsid w:val="00AD3F2F"/>
    <w:rsid w:val="00AD4181"/>
    <w:rsid w:val="00AD41A0"/>
    <w:rsid w:val="00AD41AF"/>
    <w:rsid w:val="00AD43FC"/>
    <w:rsid w:val="00AD44A5"/>
    <w:rsid w:val="00AD475F"/>
    <w:rsid w:val="00AD48A6"/>
    <w:rsid w:val="00AD49B2"/>
    <w:rsid w:val="00AD4AEC"/>
    <w:rsid w:val="00AD4B2C"/>
    <w:rsid w:val="00AD4B46"/>
    <w:rsid w:val="00AD4BFD"/>
    <w:rsid w:val="00AD4C3C"/>
    <w:rsid w:val="00AD4D82"/>
    <w:rsid w:val="00AD4F36"/>
    <w:rsid w:val="00AD5037"/>
    <w:rsid w:val="00AD511E"/>
    <w:rsid w:val="00AD51EC"/>
    <w:rsid w:val="00AD523E"/>
    <w:rsid w:val="00AD5721"/>
    <w:rsid w:val="00AD583B"/>
    <w:rsid w:val="00AD59F1"/>
    <w:rsid w:val="00AD5A77"/>
    <w:rsid w:val="00AD5B7A"/>
    <w:rsid w:val="00AD5F4E"/>
    <w:rsid w:val="00AD5FF4"/>
    <w:rsid w:val="00AD608A"/>
    <w:rsid w:val="00AD6334"/>
    <w:rsid w:val="00AD682D"/>
    <w:rsid w:val="00AD68B9"/>
    <w:rsid w:val="00AD6C18"/>
    <w:rsid w:val="00AD7148"/>
    <w:rsid w:val="00AD72F2"/>
    <w:rsid w:val="00AD77CC"/>
    <w:rsid w:val="00AD7BA4"/>
    <w:rsid w:val="00AD7BE9"/>
    <w:rsid w:val="00AD7D02"/>
    <w:rsid w:val="00AD7D26"/>
    <w:rsid w:val="00AD7D4A"/>
    <w:rsid w:val="00AE0218"/>
    <w:rsid w:val="00AE0282"/>
    <w:rsid w:val="00AE03A6"/>
    <w:rsid w:val="00AE077B"/>
    <w:rsid w:val="00AE07C8"/>
    <w:rsid w:val="00AE0987"/>
    <w:rsid w:val="00AE099A"/>
    <w:rsid w:val="00AE0BCE"/>
    <w:rsid w:val="00AE0E36"/>
    <w:rsid w:val="00AE0F0A"/>
    <w:rsid w:val="00AE108D"/>
    <w:rsid w:val="00AE10BB"/>
    <w:rsid w:val="00AE1416"/>
    <w:rsid w:val="00AE1666"/>
    <w:rsid w:val="00AE169C"/>
    <w:rsid w:val="00AE1B61"/>
    <w:rsid w:val="00AE1D00"/>
    <w:rsid w:val="00AE22BB"/>
    <w:rsid w:val="00AE2851"/>
    <w:rsid w:val="00AE2EE1"/>
    <w:rsid w:val="00AE2FBD"/>
    <w:rsid w:val="00AE3286"/>
    <w:rsid w:val="00AE3D61"/>
    <w:rsid w:val="00AE3EA2"/>
    <w:rsid w:val="00AE412A"/>
    <w:rsid w:val="00AE4484"/>
    <w:rsid w:val="00AE45E7"/>
    <w:rsid w:val="00AE4628"/>
    <w:rsid w:val="00AE4A43"/>
    <w:rsid w:val="00AE4A6C"/>
    <w:rsid w:val="00AE4A7A"/>
    <w:rsid w:val="00AE4B43"/>
    <w:rsid w:val="00AE4BAC"/>
    <w:rsid w:val="00AE4C38"/>
    <w:rsid w:val="00AE4D13"/>
    <w:rsid w:val="00AE4E51"/>
    <w:rsid w:val="00AE5258"/>
    <w:rsid w:val="00AE56A7"/>
    <w:rsid w:val="00AE57FE"/>
    <w:rsid w:val="00AE5A0E"/>
    <w:rsid w:val="00AE5FC3"/>
    <w:rsid w:val="00AE6032"/>
    <w:rsid w:val="00AE60BD"/>
    <w:rsid w:val="00AE689B"/>
    <w:rsid w:val="00AE68B3"/>
    <w:rsid w:val="00AE68F5"/>
    <w:rsid w:val="00AE6BBD"/>
    <w:rsid w:val="00AE6BD7"/>
    <w:rsid w:val="00AE70AC"/>
    <w:rsid w:val="00AE721A"/>
    <w:rsid w:val="00AE72A9"/>
    <w:rsid w:val="00AE74CA"/>
    <w:rsid w:val="00AE74ED"/>
    <w:rsid w:val="00AE7516"/>
    <w:rsid w:val="00AE761E"/>
    <w:rsid w:val="00AE77B0"/>
    <w:rsid w:val="00AE7D1C"/>
    <w:rsid w:val="00AE7D4F"/>
    <w:rsid w:val="00AE7F02"/>
    <w:rsid w:val="00AE7FB3"/>
    <w:rsid w:val="00AF00CC"/>
    <w:rsid w:val="00AF0280"/>
    <w:rsid w:val="00AF02EA"/>
    <w:rsid w:val="00AF041A"/>
    <w:rsid w:val="00AF0635"/>
    <w:rsid w:val="00AF0785"/>
    <w:rsid w:val="00AF0961"/>
    <w:rsid w:val="00AF0A56"/>
    <w:rsid w:val="00AF0B09"/>
    <w:rsid w:val="00AF1076"/>
    <w:rsid w:val="00AF1364"/>
    <w:rsid w:val="00AF14D4"/>
    <w:rsid w:val="00AF15E2"/>
    <w:rsid w:val="00AF17B0"/>
    <w:rsid w:val="00AF17E4"/>
    <w:rsid w:val="00AF1A3B"/>
    <w:rsid w:val="00AF1A7A"/>
    <w:rsid w:val="00AF1D04"/>
    <w:rsid w:val="00AF2456"/>
    <w:rsid w:val="00AF2531"/>
    <w:rsid w:val="00AF26E2"/>
    <w:rsid w:val="00AF2825"/>
    <w:rsid w:val="00AF29AA"/>
    <w:rsid w:val="00AF29C5"/>
    <w:rsid w:val="00AF2AA1"/>
    <w:rsid w:val="00AF2B33"/>
    <w:rsid w:val="00AF2D66"/>
    <w:rsid w:val="00AF2DAA"/>
    <w:rsid w:val="00AF2DDF"/>
    <w:rsid w:val="00AF2F26"/>
    <w:rsid w:val="00AF30C8"/>
    <w:rsid w:val="00AF3176"/>
    <w:rsid w:val="00AF317D"/>
    <w:rsid w:val="00AF3576"/>
    <w:rsid w:val="00AF35B8"/>
    <w:rsid w:val="00AF3612"/>
    <w:rsid w:val="00AF3828"/>
    <w:rsid w:val="00AF38FA"/>
    <w:rsid w:val="00AF3971"/>
    <w:rsid w:val="00AF3BE1"/>
    <w:rsid w:val="00AF3C35"/>
    <w:rsid w:val="00AF3C87"/>
    <w:rsid w:val="00AF3FEC"/>
    <w:rsid w:val="00AF42AC"/>
    <w:rsid w:val="00AF43E8"/>
    <w:rsid w:val="00AF44E8"/>
    <w:rsid w:val="00AF45BB"/>
    <w:rsid w:val="00AF4631"/>
    <w:rsid w:val="00AF46A7"/>
    <w:rsid w:val="00AF47A2"/>
    <w:rsid w:val="00AF47E9"/>
    <w:rsid w:val="00AF4ADC"/>
    <w:rsid w:val="00AF4AFD"/>
    <w:rsid w:val="00AF4B6A"/>
    <w:rsid w:val="00AF4E2E"/>
    <w:rsid w:val="00AF50DC"/>
    <w:rsid w:val="00AF516D"/>
    <w:rsid w:val="00AF528E"/>
    <w:rsid w:val="00AF549C"/>
    <w:rsid w:val="00AF5519"/>
    <w:rsid w:val="00AF55D5"/>
    <w:rsid w:val="00AF5DB8"/>
    <w:rsid w:val="00AF5E5C"/>
    <w:rsid w:val="00AF5E67"/>
    <w:rsid w:val="00AF613A"/>
    <w:rsid w:val="00AF62BD"/>
    <w:rsid w:val="00AF651B"/>
    <w:rsid w:val="00AF67C8"/>
    <w:rsid w:val="00AF6953"/>
    <w:rsid w:val="00AF698F"/>
    <w:rsid w:val="00AF6E19"/>
    <w:rsid w:val="00AF7233"/>
    <w:rsid w:val="00AF7246"/>
    <w:rsid w:val="00AF76E0"/>
    <w:rsid w:val="00AF79FA"/>
    <w:rsid w:val="00AF7FC8"/>
    <w:rsid w:val="00B001CB"/>
    <w:rsid w:val="00B001FD"/>
    <w:rsid w:val="00B002BC"/>
    <w:rsid w:val="00B00364"/>
    <w:rsid w:val="00B0054A"/>
    <w:rsid w:val="00B00639"/>
    <w:rsid w:val="00B0085C"/>
    <w:rsid w:val="00B008E0"/>
    <w:rsid w:val="00B00C87"/>
    <w:rsid w:val="00B00DCF"/>
    <w:rsid w:val="00B00E39"/>
    <w:rsid w:val="00B0106C"/>
    <w:rsid w:val="00B0120B"/>
    <w:rsid w:val="00B01377"/>
    <w:rsid w:val="00B01409"/>
    <w:rsid w:val="00B01463"/>
    <w:rsid w:val="00B017E2"/>
    <w:rsid w:val="00B018E8"/>
    <w:rsid w:val="00B019EB"/>
    <w:rsid w:val="00B019F2"/>
    <w:rsid w:val="00B01A88"/>
    <w:rsid w:val="00B01AFC"/>
    <w:rsid w:val="00B01DD3"/>
    <w:rsid w:val="00B024D7"/>
    <w:rsid w:val="00B0260F"/>
    <w:rsid w:val="00B0270D"/>
    <w:rsid w:val="00B02745"/>
    <w:rsid w:val="00B027D2"/>
    <w:rsid w:val="00B0282E"/>
    <w:rsid w:val="00B028D3"/>
    <w:rsid w:val="00B02B01"/>
    <w:rsid w:val="00B02BA9"/>
    <w:rsid w:val="00B02C4B"/>
    <w:rsid w:val="00B02E73"/>
    <w:rsid w:val="00B03947"/>
    <w:rsid w:val="00B03AB6"/>
    <w:rsid w:val="00B03B00"/>
    <w:rsid w:val="00B03BB6"/>
    <w:rsid w:val="00B03E10"/>
    <w:rsid w:val="00B03F35"/>
    <w:rsid w:val="00B04092"/>
    <w:rsid w:val="00B040C9"/>
    <w:rsid w:val="00B04408"/>
    <w:rsid w:val="00B04467"/>
    <w:rsid w:val="00B0459E"/>
    <w:rsid w:val="00B04696"/>
    <w:rsid w:val="00B046A6"/>
    <w:rsid w:val="00B049A8"/>
    <w:rsid w:val="00B04AED"/>
    <w:rsid w:val="00B04D9F"/>
    <w:rsid w:val="00B04DA6"/>
    <w:rsid w:val="00B050F2"/>
    <w:rsid w:val="00B05303"/>
    <w:rsid w:val="00B05AFC"/>
    <w:rsid w:val="00B05B0E"/>
    <w:rsid w:val="00B05BB0"/>
    <w:rsid w:val="00B062D2"/>
    <w:rsid w:val="00B063E8"/>
    <w:rsid w:val="00B064BA"/>
    <w:rsid w:val="00B06782"/>
    <w:rsid w:val="00B067BC"/>
    <w:rsid w:val="00B06BB7"/>
    <w:rsid w:val="00B06D18"/>
    <w:rsid w:val="00B06E72"/>
    <w:rsid w:val="00B06EAF"/>
    <w:rsid w:val="00B0709F"/>
    <w:rsid w:val="00B072BA"/>
    <w:rsid w:val="00B07345"/>
    <w:rsid w:val="00B07554"/>
    <w:rsid w:val="00B07B59"/>
    <w:rsid w:val="00B07DC6"/>
    <w:rsid w:val="00B07E89"/>
    <w:rsid w:val="00B07F37"/>
    <w:rsid w:val="00B10051"/>
    <w:rsid w:val="00B10066"/>
    <w:rsid w:val="00B1028C"/>
    <w:rsid w:val="00B102E2"/>
    <w:rsid w:val="00B102F8"/>
    <w:rsid w:val="00B10305"/>
    <w:rsid w:val="00B1035A"/>
    <w:rsid w:val="00B104B6"/>
    <w:rsid w:val="00B1050A"/>
    <w:rsid w:val="00B10530"/>
    <w:rsid w:val="00B10684"/>
    <w:rsid w:val="00B107B3"/>
    <w:rsid w:val="00B10925"/>
    <w:rsid w:val="00B10A89"/>
    <w:rsid w:val="00B10CFA"/>
    <w:rsid w:val="00B10DAC"/>
    <w:rsid w:val="00B10F91"/>
    <w:rsid w:val="00B1115E"/>
    <w:rsid w:val="00B1127E"/>
    <w:rsid w:val="00B118A3"/>
    <w:rsid w:val="00B11B00"/>
    <w:rsid w:val="00B11D95"/>
    <w:rsid w:val="00B11DC5"/>
    <w:rsid w:val="00B11E42"/>
    <w:rsid w:val="00B11FBA"/>
    <w:rsid w:val="00B11FF2"/>
    <w:rsid w:val="00B122BB"/>
    <w:rsid w:val="00B12562"/>
    <w:rsid w:val="00B12605"/>
    <w:rsid w:val="00B12777"/>
    <w:rsid w:val="00B1290B"/>
    <w:rsid w:val="00B1291D"/>
    <w:rsid w:val="00B12A59"/>
    <w:rsid w:val="00B12A94"/>
    <w:rsid w:val="00B12B68"/>
    <w:rsid w:val="00B12F72"/>
    <w:rsid w:val="00B133E5"/>
    <w:rsid w:val="00B13472"/>
    <w:rsid w:val="00B13531"/>
    <w:rsid w:val="00B1378E"/>
    <w:rsid w:val="00B1387C"/>
    <w:rsid w:val="00B1392B"/>
    <w:rsid w:val="00B13F05"/>
    <w:rsid w:val="00B13F11"/>
    <w:rsid w:val="00B140FE"/>
    <w:rsid w:val="00B14262"/>
    <w:rsid w:val="00B14718"/>
    <w:rsid w:val="00B1472B"/>
    <w:rsid w:val="00B149AA"/>
    <w:rsid w:val="00B14AD3"/>
    <w:rsid w:val="00B14CCE"/>
    <w:rsid w:val="00B14ECD"/>
    <w:rsid w:val="00B14F9D"/>
    <w:rsid w:val="00B15656"/>
    <w:rsid w:val="00B157CD"/>
    <w:rsid w:val="00B159E0"/>
    <w:rsid w:val="00B15A71"/>
    <w:rsid w:val="00B15B47"/>
    <w:rsid w:val="00B15F98"/>
    <w:rsid w:val="00B16067"/>
    <w:rsid w:val="00B162A9"/>
    <w:rsid w:val="00B1646C"/>
    <w:rsid w:val="00B1686D"/>
    <w:rsid w:val="00B16B18"/>
    <w:rsid w:val="00B16CAF"/>
    <w:rsid w:val="00B16CD7"/>
    <w:rsid w:val="00B16DA9"/>
    <w:rsid w:val="00B16ECC"/>
    <w:rsid w:val="00B17738"/>
    <w:rsid w:val="00B17835"/>
    <w:rsid w:val="00B178AC"/>
    <w:rsid w:val="00B179CA"/>
    <w:rsid w:val="00B17AF3"/>
    <w:rsid w:val="00B17B64"/>
    <w:rsid w:val="00B17D44"/>
    <w:rsid w:val="00B17E57"/>
    <w:rsid w:val="00B2022A"/>
    <w:rsid w:val="00B20460"/>
    <w:rsid w:val="00B2057E"/>
    <w:rsid w:val="00B205B9"/>
    <w:rsid w:val="00B20634"/>
    <w:rsid w:val="00B208FA"/>
    <w:rsid w:val="00B209A3"/>
    <w:rsid w:val="00B20F13"/>
    <w:rsid w:val="00B20F90"/>
    <w:rsid w:val="00B210B9"/>
    <w:rsid w:val="00B2124D"/>
    <w:rsid w:val="00B21314"/>
    <w:rsid w:val="00B214BC"/>
    <w:rsid w:val="00B217CE"/>
    <w:rsid w:val="00B21A1B"/>
    <w:rsid w:val="00B2251F"/>
    <w:rsid w:val="00B226F3"/>
    <w:rsid w:val="00B22703"/>
    <w:rsid w:val="00B22FEC"/>
    <w:rsid w:val="00B230CF"/>
    <w:rsid w:val="00B231DD"/>
    <w:rsid w:val="00B238BA"/>
    <w:rsid w:val="00B23B60"/>
    <w:rsid w:val="00B23B83"/>
    <w:rsid w:val="00B2425E"/>
    <w:rsid w:val="00B242A2"/>
    <w:rsid w:val="00B24549"/>
    <w:rsid w:val="00B247FE"/>
    <w:rsid w:val="00B24DDD"/>
    <w:rsid w:val="00B25200"/>
    <w:rsid w:val="00B25471"/>
    <w:rsid w:val="00B254ED"/>
    <w:rsid w:val="00B25779"/>
    <w:rsid w:val="00B25A21"/>
    <w:rsid w:val="00B25BEB"/>
    <w:rsid w:val="00B25D4F"/>
    <w:rsid w:val="00B25E56"/>
    <w:rsid w:val="00B26004"/>
    <w:rsid w:val="00B26082"/>
    <w:rsid w:val="00B2634E"/>
    <w:rsid w:val="00B265EF"/>
    <w:rsid w:val="00B2661E"/>
    <w:rsid w:val="00B26A28"/>
    <w:rsid w:val="00B26B17"/>
    <w:rsid w:val="00B26BDF"/>
    <w:rsid w:val="00B26BE3"/>
    <w:rsid w:val="00B26E41"/>
    <w:rsid w:val="00B26FA8"/>
    <w:rsid w:val="00B27171"/>
    <w:rsid w:val="00B271B7"/>
    <w:rsid w:val="00B27227"/>
    <w:rsid w:val="00B27359"/>
    <w:rsid w:val="00B27582"/>
    <w:rsid w:val="00B276E7"/>
    <w:rsid w:val="00B279AE"/>
    <w:rsid w:val="00B27F4D"/>
    <w:rsid w:val="00B30101"/>
    <w:rsid w:val="00B30251"/>
    <w:rsid w:val="00B30571"/>
    <w:rsid w:val="00B305CF"/>
    <w:rsid w:val="00B30610"/>
    <w:rsid w:val="00B3065C"/>
    <w:rsid w:val="00B308F0"/>
    <w:rsid w:val="00B30905"/>
    <w:rsid w:val="00B30AA3"/>
    <w:rsid w:val="00B30AD8"/>
    <w:rsid w:val="00B30BA1"/>
    <w:rsid w:val="00B30BDA"/>
    <w:rsid w:val="00B31148"/>
    <w:rsid w:val="00B311D9"/>
    <w:rsid w:val="00B31410"/>
    <w:rsid w:val="00B319E3"/>
    <w:rsid w:val="00B32068"/>
    <w:rsid w:val="00B32218"/>
    <w:rsid w:val="00B3240E"/>
    <w:rsid w:val="00B326A0"/>
    <w:rsid w:val="00B32AF5"/>
    <w:rsid w:val="00B32F9F"/>
    <w:rsid w:val="00B3305F"/>
    <w:rsid w:val="00B330B1"/>
    <w:rsid w:val="00B330E5"/>
    <w:rsid w:val="00B332EC"/>
    <w:rsid w:val="00B3334D"/>
    <w:rsid w:val="00B339F4"/>
    <w:rsid w:val="00B33B8F"/>
    <w:rsid w:val="00B33C41"/>
    <w:rsid w:val="00B33C72"/>
    <w:rsid w:val="00B33E11"/>
    <w:rsid w:val="00B33FAF"/>
    <w:rsid w:val="00B34143"/>
    <w:rsid w:val="00B34296"/>
    <w:rsid w:val="00B34387"/>
    <w:rsid w:val="00B343B0"/>
    <w:rsid w:val="00B3452B"/>
    <w:rsid w:val="00B34645"/>
    <w:rsid w:val="00B34863"/>
    <w:rsid w:val="00B348F9"/>
    <w:rsid w:val="00B34D10"/>
    <w:rsid w:val="00B34DF9"/>
    <w:rsid w:val="00B34E28"/>
    <w:rsid w:val="00B34F40"/>
    <w:rsid w:val="00B35117"/>
    <w:rsid w:val="00B3515B"/>
    <w:rsid w:val="00B3523D"/>
    <w:rsid w:val="00B35377"/>
    <w:rsid w:val="00B355D4"/>
    <w:rsid w:val="00B35758"/>
    <w:rsid w:val="00B35B30"/>
    <w:rsid w:val="00B35D8E"/>
    <w:rsid w:val="00B35F14"/>
    <w:rsid w:val="00B36369"/>
    <w:rsid w:val="00B364AD"/>
    <w:rsid w:val="00B3660A"/>
    <w:rsid w:val="00B367C5"/>
    <w:rsid w:val="00B36935"/>
    <w:rsid w:val="00B36C34"/>
    <w:rsid w:val="00B36EDE"/>
    <w:rsid w:val="00B36EE4"/>
    <w:rsid w:val="00B37433"/>
    <w:rsid w:val="00B37719"/>
    <w:rsid w:val="00B37776"/>
    <w:rsid w:val="00B37DA3"/>
    <w:rsid w:val="00B37E45"/>
    <w:rsid w:val="00B37EBD"/>
    <w:rsid w:val="00B40026"/>
    <w:rsid w:val="00B40183"/>
    <w:rsid w:val="00B401AD"/>
    <w:rsid w:val="00B403B0"/>
    <w:rsid w:val="00B403CC"/>
    <w:rsid w:val="00B40587"/>
    <w:rsid w:val="00B40629"/>
    <w:rsid w:val="00B406BD"/>
    <w:rsid w:val="00B40DE6"/>
    <w:rsid w:val="00B40E3B"/>
    <w:rsid w:val="00B410F4"/>
    <w:rsid w:val="00B411B1"/>
    <w:rsid w:val="00B41251"/>
    <w:rsid w:val="00B415FA"/>
    <w:rsid w:val="00B416B5"/>
    <w:rsid w:val="00B416C3"/>
    <w:rsid w:val="00B417B7"/>
    <w:rsid w:val="00B419AA"/>
    <w:rsid w:val="00B419AB"/>
    <w:rsid w:val="00B41B81"/>
    <w:rsid w:val="00B41EBB"/>
    <w:rsid w:val="00B41F0D"/>
    <w:rsid w:val="00B4206C"/>
    <w:rsid w:val="00B4253D"/>
    <w:rsid w:val="00B425C9"/>
    <w:rsid w:val="00B42BB4"/>
    <w:rsid w:val="00B42C1D"/>
    <w:rsid w:val="00B431A7"/>
    <w:rsid w:val="00B431ED"/>
    <w:rsid w:val="00B43201"/>
    <w:rsid w:val="00B43521"/>
    <w:rsid w:val="00B4355C"/>
    <w:rsid w:val="00B43B74"/>
    <w:rsid w:val="00B43F5D"/>
    <w:rsid w:val="00B4429F"/>
    <w:rsid w:val="00B442CD"/>
    <w:rsid w:val="00B442D3"/>
    <w:rsid w:val="00B4443B"/>
    <w:rsid w:val="00B445C8"/>
    <w:rsid w:val="00B445FA"/>
    <w:rsid w:val="00B4472D"/>
    <w:rsid w:val="00B44947"/>
    <w:rsid w:val="00B44DC6"/>
    <w:rsid w:val="00B44F0B"/>
    <w:rsid w:val="00B45180"/>
    <w:rsid w:val="00B45282"/>
    <w:rsid w:val="00B4557F"/>
    <w:rsid w:val="00B4564C"/>
    <w:rsid w:val="00B460CA"/>
    <w:rsid w:val="00B46240"/>
    <w:rsid w:val="00B465B5"/>
    <w:rsid w:val="00B468D6"/>
    <w:rsid w:val="00B468FF"/>
    <w:rsid w:val="00B46A47"/>
    <w:rsid w:val="00B46B6E"/>
    <w:rsid w:val="00B46C13"/>
    <w:rsid w:val="00B46CB2"/>
    <w:rsid w:val="00B46DF2"/>
    <w:rsid w:val="00B46E86"/>
    <w:rsid w:val="00B46EB3"/>
    <w:rsid w:val="00B46F87"/>
    <w:rsid w:val="00B470C0"/>
    <w:rsid w:val="00B47168"/>
    <w:rsid w:val="00B472FD"/>
    <w:rsid w:val="00B475DA"/>
    <w:rsid w:val="00B47638"/>
    <w:rsid w:val="00B47708"/>
    <w:rsid w:val="00B478C3"/>
    <w:rsid w:val="00B4797A"/>
    <w:rsid w:val="00B47A61"/>
    <w:rsid w:val="00B47B54"/>
    <w:rsid w:val="00B47BFB"/>
    <w:rsid w:val="00B47C41"/>
    <w:rsid w:val="00B500D3"/>
    <w:rsid w:val="00B50207"/>
    <w:rsid w:val="00B503C3"/>
    <w:rsid w:val="00B50583"/>
    <w:rsid w:val="00B50705"/>
    <w:rsid w:val="00B507B3"/>
    <w:rsid w:val="00B50936"/>
    <w:rsid w:val="00B50956"/>
    <w:rsid w:val="00B50AC4"/>
    <w:rsid w:val="00B50B9E"/>
    <w:rsid w:val="00B50CF1"/>
    <w:rsid w:val="00B50D5D"/>
    <w:rsid w:val="00B50E41"/>
    <w:rsid w:val="00B50E63"/>
    <w:rsid w:val="00B50F29"/>
    <w:rsid w:val="00B51000"/>
    <w:rsid w:val="00B511C8"/>
    <w:rsid w:val="00B5159C"/>
    <w:rsid w:val="00B517C2"/>
    <w:rsid w:val="00B5199D"/>
    <w:rsid w:val="00B51BFA"/>
    <w:rsid w:val="00B51C0B"/>
    <w:rsid w:val="00B51FC2"/>
    <w:rsid w:val="00B520D8"/>
    <w:rsid w:val="00B522ED"/>
    <w:rsid w:val="00B52497"/>
    <w:rsid w:val="00B52838"/>
    <w:rsid w:val="00B52B0B"/>
    <w:rsid w:val="00B531B2"/>
    <w:rsid w:val="00B534CB"/>
    <w:rsid w:val="00B535F1"/>
    <w:rsid w:val="00B53795"/>
    <w:rsid w:val="00B53B70"/>
    <w:rsid w:val="00B53E95"/>
    <w:rsid w:val="00B54389"/>
    <w:rsid w:val="00B543F8"/>
    <w:rsid w:val="00B544E0"/>
    <w:rsid w:val="00B544F7"/>
    <w:rsid w:val="00B549A3"/>
    <w:rsid w:val="00B549B5"/>
    <w:rsid w:val="00B54E4A"/>
    <w:rsid w:val="00B54F27"/>
    <w:rsid w:val="00B5547B"/>
    <w:rsid w:val="00B554D3"/>
    <w:rsid w:val="00B555F7"/>
    <w:rsid w:val="00B557AD"/>
    <w:rsid w:val="00B55DB4"/>
    <w:rsid w:val="00B55F32"/>
    <w:rsid w:val="00B56184"/>
    <w:rsid w:val="00B56355"/>
    <w:rsid w:val="00B569DC"/>
    <w:rsid w:val="00B56D0F"/>
    <w:rsid w:val="00B56D41"/>
    <w:rsid w:val="00B56F4D"/>
    <w:rsid w:val="00B56FB8"/>
    <w:rsid w:val="00B57432"/>
    <w:rsid w:val="00B574E0"/>
    <w:rsid w:val="00B57600"/>
    <w:rsid w:val="00B57695"/>
    <w:rsid w:val="00B577F3"/>
    <w:rsid w:val="00B57816"/>
    <w:rsid w:val="00B57B38"/>
    <w:rsid w:val="00B57F57"/>
    <w:rsid w:val="00B60167"/>
    <w:rsid w:val="00B601B9"/>
    <w:rsid w:val="00B603F4"/>
    <w:rsid w:val="00B60742"/>
    <w:rsid w:val="00B60C56"/>
    <w:rsid w:val="00B60C79"/>
    <w:rsid w:val="00B60E2F"/>
    <w:rsid w:val="00B60F1D"/>
    <w:rsid w:val="00B612D5"/>
    <w:rsid w:val="00B612EB"/>
    <w:rsid w:val="00B6146B"/>
    <w:rsid w:val="00B617EF"/>
    <w:rsid w:val="00B620AD"/>
    <w:rsid w:val="00B62487"/>
    <w:rsid w:val="00B626A2"/>
    <w:rsid w:val="00B62866"/>
    <w:rsid w:val="00B62B78"/>
    <w:rsid w:val="00B62E0E"/>
    <w:rsid w:val="00B62E38"/>
    <w:rsid w:val="00B62E4B"/>
    <w:rsid w:val="00B6305F"/>
    <w:rsid w:val="00B63132"/>
    <w:rsid w:val="00B63C6E"/>
    <w:rsid w:val="00B63CDC"/>
    <w:rsid w:val="00B63D3F"/>
    <w:rsid w:val="00B6450B"/>
    <w:rsid w:val="00B64550"/>
    <w:rsid w:val="00B64D3D"/>
    <w:rsid w:val="00B64E14"/>
    <w:rsid w:val="00B650E8"/>
    <w:rsid w:val="00B65173"/>
    <w:rsid w:val="00B65443"/>
    <w:rsid w:val="00B65585"/>
    <w:rsid w:val="00B6565D"/>
    <w:rsid w:val="00B6595A"/>
    <w:rsid w:val="00B65A49"/>
    <w:rsid w:val="00B65A5A"/>
    <w:rsid w:val="00B65B7E"/>
    <w:rsid w:val="00B65CC7"/>
    <w:rsid w:val="00B6656F"/>
    <w:rsid w:val="00B66593"/>
    <w:rsid w:val="00B667B4"/>
    <w:rsid w:val="00B66915"/>
    <w:rsid w:val="00B66AB1"/>
    <w:rsid w:val="00B66C92"/>
    <w:rsid w:val="00B66CBB"/>
    <w:rsid w:val="00B67114"/>
    <w:rsid w:val="00B67156"/>
    <w:rsid w:val="00B677B0"/>
    <w:rsid w:val="00B678E6"/>
    <w:rsid w:val="00B67A76"/>
    <w:rsid w:val="00B67B64"/>
    <w:rsid w:val="00B67BFA"/>
    <w:rsid w:val="00B704BF"/>
    <w:rsid w:val="00B70937"/>
    <w:rsid w:val="00B709D9"/>
    <w:rsid w:val="00B70AD3"/>
    <w:rsid w:val="00B70B94"/>
    <w:rsid w:val="00B70D93"/>
    <w:rsid w:val="00B711BC"/>
    <w:rsid w:val="00B713EE"/>
    <w:rsid w:val="00B7168F"/>
    <w:rsid w:val="00B717E5"/>
    <w:rsid w:val="00B71851"/>
    <w:rsid w:val="00B71C0D"/>
    <w:rsid w:val="00B71FDE"/>
    <w:rsid w:val="00B7201C"/>
    <w:rsid w:val="00B7239A"/>
    <w:rsid w:val="00B7246E"/>
    <w:rsid w:val="00B726E4"/>
    <w:rsid w:val="00B7296D"/>
    <w:rsid w:val="00B729C2"/>
    <w:rsid w:val="00B72AC6"/>
    <w:rsid w:val="00B72E3E"/>
    <w:rsid w:val="00B73093"/>
    <w:rsid w:val="00B732D8"/>
    <w:rsid w:val="00B733E5"/>
    <w:rsid w:val="00B735A3"/>
    <w:rsid w:val="00B735DD"/>
    <w:rsid w:val="00B73C49"/>
    <w:rsid w:val="00B73CEE"/>
    <w:rsid w:val="00B73E18"/>
    <w:rsid w:val="00B742A5"/>
    <w:rsid w:val="00B746BA"/>
    <w:rsid w:val="00B74845"/>
    <w:rsid w:val="00B74961"/>
    <w:rsid w:val="00B74E30"/>
    <w:rsid w:val="00B74E5F"/>
    <w:rsid w:val="00B750DB"/>
    <w:rsid w:val="00B7519D"/>
    <w:rsid w:val="00B7527C"/>
    <w:rsid w:val="00B7544C"/>
    <w:rsid w:val="00B75761"/>
    <w:rsid w:val="00B758EF"/>
    <w:rsid w:val="00B75C74"/>
    <w:rsid w:val="00B75D92"/>
    <w:rsid w:val="00B75E28"/>
    <w:rsid w:val="00B75FD6"/>
    <w:rsid w:val="00B7640E"/>
    <w:rsid w:val="00B76492"/>
    <w:rsid w:val="00B7669F"/>
    <w:rsid w:val="00B76AE8"/>
    <w:rsid w:val="00B76B6B"/>
    <w:rsid w:val="00B76DBB"/>
    <w:rsid w:val="00B76E33"/>
    <w:rsid w:val="00B76E9D"/>
    <w:rsid w:val="00B76F04"/>
    <w:rsid w:val="00B770DC"/>
    <w:rsid w:val="00B7719D"/>
    <w:rsid w:val="00B7771B"/>
    <w:rsid w:val="00B77A23"/>
    <w:rsid w:val="00B77A95"/>
    <w:rsid w:val="00B77B4D"/>
    <w:rsid w:val="00B77B79"/>
    <w:rsid w:val="00B77D83"/>
    <w:rsid w:val="00B77DD6"/>
    <w:rsid w:val="00B77ECC"/>
    <w:rsid w:val="00B800BD"/>
    <w:rsid w:val="00B80251"/>
    <w:rsid w:val="00B802CA"/>
    <w:rsid w:val="00B8080A"/>
    <w:rsid w:val="00B80863"/>
    <w:rsid w:val="00B80D21"/>
    <w:rsid w:val="00B80D3E"/>
    <w:rsid w:val="00B80F6E"/>
    <w:rsid w:val="00B81067"/>
    <w:rsid w:val="00B81128"/>
    <w:rsid w:val="00B81678"/>
    <w:rsid w:val="00B816AE"/>
    <w:rsid w:val="00B81A87"/>
    <w:rsid w:val="00B81BF9"/>
    <w:rsid w:val="00B81CA4"/>
    <w:rsid w:val="00B81EC2"/>
    <w:rsid w:val="00B8246E"/>
    <w:rsid w:val="00B8277A"/>
    <w:rsid w:val="00B828E0"/>
    <w:rsid w:val="00B829D7"/>
    <w:rsid w:val="00B82A8F"/>
    <w:rsid w:val="00B82B0A"/>
    <w:rsid w:val="00B82DB8"/>
    <w:rsid w:val="00B82E09"/>
    <w:rsid w:val="00B82F3A"/>
    <w:rsid w:val="00B83290"/>
    <w:rsid w:val="00B8340E"/>
    <w:rsid w:val="00B8383E"/>
    <w:rsid w:val="00B83A73"/>
    <w:rsid w:val="00B83B83"/>
    <w:rsid w:val="00B83BC0"/>
    <w:rsid w:val="00B83C7F"/>
    <w:rsid w:val="00B83F98"/>
    <w:rsid w:val="00B83FBC"/>
    <w:rsid w:val="00B84015"/>
    <w:rsid w:val="00B846C8"/>
    <w:rsid w:val="00B847B8"/>
    <w:rsid w:val="00B8487A"/>
    <w:rsid w:val="00B84921"/>
    <w:rsid w:val="00B84984"/>
    <w:rsid w:val="00B84A18"/>
    <w:rsid w:val="00B84EDD"/>
    <w:rsid w:val="00B85220"/>
    <w:rsid w:val="00B8585B"/>
    <w:rsid w:val="00B85A26"/>
    <w:rsid w:val="00B86381"/>
    <w:rsid w:val="00B86397"/>
    <w:rsid w:val="00B864A1"/>
    <w:rsid w:val="00B866EE"/>
    <w:rsid w:val="00B869F2"/>
    <w:rsid w:val="00B86A26"/>
    <w:rsid w:val="00B86AFB"/>
    <w:rsid w:val="00B86BEA"/>
    <w:rsid w:val="00B86BEB"/>
    <w:rsid w:val="00B86E50"/>
    <w:rsid w:val="00B86F8C"/>
    <w:rsid w:val="00B87089"/>
    <w:rsid w:val="00B875C4"/>
    <w:rsid w:val="00B876D6"/>
    <w:rsid w:val="00B877DC"/>
    <w:rsid w:val="00B878A9"/>
    <w:rsid w:val="00B87949"/>
    <w:rsid w:val="00B87E84"/>
    <w:rsid w:val="00B90005"/>
    <w:rsid w:val="00B90056"/>
    <w:rsid w:val="00B9024D"/>
    <w:rsid w:val="00B9025A"/>
    <w:rsid w:val="00B9056A"/>
    <w:rsid w:val="00B907D7"/>
    <w:rsid w:val="00B90BB6"/>
    <w:rsid w:val="00B90C37"/>
    <w:rsid w:val="00B91021"/>
    <w:rsid w:val="00B912E9"/>
    <w:rsid w:val="00B91365"/>
    <w:rsid w:val="00B913C3"/>
    <w:rsid w:val="00B914DA"/>
    <w:rsid w:val="00B91946"/>
    <w:rsid w:val="00B919AF"/>
    <w:rsid w:val="00B91A15"/>
    <w:rsid w:val="00B91A53"/>
    <w:rsid w:val="00B91B0D"/>
    <w:rsid w:val="00B91B64"/>
    <w:rsid w:val="00B91D51"/>
    <w:rsid w:val="00B91E59"/>
    <w:rsid w:val="00B92712"/>
    <w:rsid w:val="00B927E9"/>
    <w:rsid w:val="00B92EAB"/>
    <w:rsid w:val="00B93483"/>
    <w:rsid w:val="00B93604"/>
    <w:rsid w:val="00B93754"/>
    <w:rsid w:val="00B9392D"/>
    <w:rsid w:val="00B93966"/>
    <w:rsid w:val="00B93AFC"/>
    <w:rsid w:val="00B93C27"/>
    <w:rsid w:val="00B93CEC"/>
    <w:rsid w:val="00B93E3D"/>
    <w:rsid w:val="00B940BD"/>
    <w:rsid w:val="00B94175"/>
    <w:rsid w:val="00B94192"/>
    <w:rsid w:val="00B941B9"/>
    <w:rsid w:val="00B9423C"/>
    <w:rsid w:val="00B944A8"/>
    <w:rsid w:val="00B946B8"/>
    <w:rsid w:val="00B948E8"/>
    <w:rsid w:val="00B94AB9"/>
    <w:rsid w:val="00B94CA6"/>
    <w:rsid w:val="00B94CF0"/>
    <w:rsid w:val="00B94FEE"/>
    <w:rsid w:val="00B951B0"/>
    <w:rsid w:val="00B953DC"/>
    <w:rsid w:val="00B9543F"/>
    <w:rsid w:val="00B95738"/>
    <w:rsid w:val="00B95748"/>
    <w:rsid w:val="00B95834"/>
    <w:rsid w:val="00B95880"/>
    <w:rsid w:val="00B95AB2"/>
    <w:rsid w:val="00B95CA1"/>
    <w:rsid w:val="00B96160"/>
    <w:rsid w:val="00B964C3"/>
    <w:rsid w:val="00B964FB"/>
    <w:rsid w:val="00B96639"/>
    <w:rsid w:val="00B96DBD"/>
    <w:rsid w:val="00B9735E"/>
    <w:rsid w:val="00B9775A"/>
    <w:rsid w:val="00B9777F"/>
    <w:rsid w:val="00B97815"/>
    <w:rsid w:val="00B97A1E"/>
    <w:rsid w:val="00B97A37"/>
    <w:rsid w:val="00B97A7D"/>
    <w:rsid w:val="00B97C7C"/>
    <w:rsid w:val="00B97E12"/>
    <w:rsid w:val="00B97F73"/>
    <w:rsid w:val="00BA0207"/>
    <w:rsid w:val="00BA030D"/>
    <w:rsid w:val="00BA050E"/>
    <w:rsid w:val="00BA0719"/>
    <w:rsid w:val="00BA0721"/>
    <w:rsid w:val="00BA0872"/>
    <w:rsid w:val="00BA08AD"/>
    <w:rsid w:val="00BA08F7"/>
    <w:rsid w:val="00BA0982"/>
    <w:rsid w:val="00BA0AD5"/>
    <w:rsid w:val="00BA0C6F"/>
    <w:rsid w:val="00BA0CCE"/>
    <w:rsid w:val="00BA10F9"/>
    <w:rsid w:val="00BA1434"/>
    <w:rsid w:val="00BA17F5"/>
    <w:rsid w:val="00BA191A"/>
    <w:rsid w:val="00BA1B96"/>
    <w:rsid w:val="00BA1D8C"/>
    <w:rsid w:val="00BA205B"/>
    <w:rsid w:val="00BA25F8"/>
    <w:rsid w:val="00BA2728"/>
    <w:rsid w:val="00BA2D37"/>
    <w:rsid w:val="00BA2EE8"/>
    <w:rsid w:val="00BA307A"/>
    <w:rsid w:val="00BA31D2"/>
    <w:rsid w:val="00BA32FA"/>
    <w:rsid w:val="00BA359C"/>
    <w:rsid w:val="00BA388C"/>
    <w:rsid w:val="00BA38D1"/>
    <w:rsid w:val="00BA3C1F"/>
    <w:rsid w:val="00BA3E4C"/>
    <w:rsid w:val="00BA3E5B"/>
    <w:rsid w:val="00BA3F79"/>
    <w:rsid w:val="00BA4052"/>
    <w:rsid w:val="00BA4120"/>
    <w:rsid w:val="00BA4216"/>
    <w:rsid w:val="00BA4DD8"/>
    <w:rsid w:val="00BA4DE2"/>
    <w:rsid w:val="00BA4EAB"/>
    <w:rsid w:val="00BA50C9"/>
    <w:rsid w:val="00BA50D0"/>
    <w:rsid w:val="00BA511F"/>
    <w:rsid w:val="00BA5247"/>
    <w:rsid w:val="00BA524C"/>
    <w:rsid w:val="00BA562D"/>
    <w:rsid w:val="00BA5C3B"/>
    <w:rsid w:val="00BA5DCB"/>
    <w:rsid w:val="00BA5FD3"/>
    <w:rsid w:val="00BA65E6"/>
    <w:rsid w:val="00BA69E4"/>
    <w:rsid w:val="00BA6A55"/>
    <w:rsid w:val="00BA6B02"/>
    <w:rsid w:val="00BA6C88"/>
    <w:rsid w:val="00BA7335"/>
    <w:rsid w:val="00BA797D"/>
    <w:rsid w:val="00BA7A1F"/>
    <w:rsid w:val="00BA7A39"/>
    <w:rsid w:val="00BA7C5E"/>
    <w:rsid w:val="00BA7D6C"/>
    <w:rsid w:val="00BA7DD8"/>
    <w:rsid w:val="00BB008E"/>
    <w:rsid w:val="00BB0096"/>
    <w:rsid w:val="00BB044A"/>
    <w:rsid w:val="00BB047E"/>
    <w:rsid w:val="00BB055E"/>
    <w:rsid w:val="00BB082F"/>
    <w:rsid w:val="00BB0BF2"/>
    <w:rsid w:val="00BB0C59"/>
    <w:rsid w:val="00BB0F4C"/>
    <w:rsid w:val="00BB14A2"/>
    <w:rsid w:val="00BB1545"/>
    <w:rsid w:val="00BB163B"/>
    <w:rsid w:val="00BB18B6"/>
    <w:rsid w:val="00BB190B"/>
    <w:rsid w:val="00BB2014"/>
    <w:rsid w:val="00BB21DC"/>
    <w:rsid w:val="00BB237B"/>
    <w:rsid w:val="00BB241B"/>
    <w:rsid w:val="00BB2671"/>
    <w:rsid w:val="00BB2A60"/>
    <w:rsid w:val="00BB2B10"/>
    <w:rsid w:val="00BB2BF2"/>
    <w:rsid w:val="00BB2C56"/>
    <w:rsid w:val="00BB2CF9"/>
    <w:rsid w:val="00BB2E3A"/>
    <w:rsid w:val="00BB2F64"/>
    <w:rsid w:val="00BB3011"/>
    <w:rsid w:val="00BB31F2"/>
    <w:rsid w:val="00BB324B"/>
    <w:rsid w:val="00BB3791"/>
    <w:rsid w:val="00BB38C5"/>
    <w:rsid w:val="00BB3BEE"/>
    <w:rsid w:val="00BB3F0C"/>
    <w:rsid w:val="00BB3FB7"/>
    <w:rsid w:val="00BB4C51"/>
    <w:rsid w:val="00BB4C94"/>
    <w:rsid w:val="00BB4EAD"/>
    <w:rsid w:val="00BB4EF1"/>
    <w:rsid w:val="00BB519A"/>
    <w:rsid w:val="00BB51DE"/>
    <w:rsid w:val="00BB531A"/>
    <w:rsid w:val="00BB5628"/>
    <w:rsid w:val="00BB57FF"/>
    <w:rsid w:val="00BB5909"/>
    <w:rsid w:val="00BB5997"/>
    <w:rsid w:val="00BB59F4"/>
    <w:rsid w:val="00BB5F1E"/>
    <w:rsid w:val="00BB62EE"/>
    <w:rsid w:val="00BB635D"/>
    <w:rsid w:val="00BB6452"/>
    <w:rsid w:val="00BB6685"/>
    <w:rsid w:val="00BB6CD5"/>
    <w:rsid w:val="00BB6F11"/>
    <w:rsid w:val="00BB708B"/>
    <w:rsid w:val="00BB7152"/>
    <w:rsid w:val="00BB7779"/>
    <w:rsid w:val="00BB7A49"/>
    <w:rsid w:val="00BB7AB1"/>
    <w:rsid w:val="00BB7D38"/>
    <w:rsid w:val="00BB7F38"/>
    <w:rsid w:val="00BC03E1"/>
    <w:rsid w:val="00BC040A"/>
    <w:rsid w:val="00BC075F"/>
    <w:rsid w:val="00BC085F"/>
    <w:rsid w:val="00BC08FE"/>
    <w:rsid w:val="00BC0A51"/>
    <w:rsid w:val="00BC0AE4"/>
    <w:rsid w:val="00BC0BAE"/>
    <w:rsid w:val="00BC0EAC"/>
    <w:rsid w:val="00BC100E"/>
    <w:rsid w:val="00BC164D"/>
    <w:rsid w:val="00BC16C9"/>
    <w:rsid w:val="00BC17AC"/>
    <w:rsid w:val="00BC1AEC"/>
    <w:rsid w:val="00BC1ECA"/>
    <w:rsid w:val="00BC1F1B"/>
    <w:rsid w:val="00BC2457"/>
    <w:rsid w:val="00BC2866"/>
    <w:rsid w:val="00BC28E9"/>
    <w:rsid w:val="00BC2A19"/>
    <w:rsid w:val="00BC2A6D"/>
    <w:rsid w:val="00BC2B13"/>
    <w:rsid w:val="00BC2FF4"/>
    <w:rsid w:val="00BC3223"/>
    <w:rsid w:val="00BC340F"/>
    <w:rsid w:val="00BC343C"/>
    <w:rsid w:val="00BC3559"/>
    <w:rsid w:val="00BC358A"/>
    <w:rsid w:val="00BC3600"/>
    <w:rsid w:val="00BC3728"/>
    <w:rsid w:val="00BC3ECA"/>
    <w:rsid w:val="00BC404F"/>
    <w:rsid w:val="00BC4338"/>
    <w:rsid w:val="00BC43AB"/>
    <w:rsid w:val="00BC43E4"/>
    <w:rsid w:val="00BC449A"/>
    <w:rsid w:val="00BC44B8"/>
    <w:rsid w:val="00BC47FF"/>
    <w:rsid w:val="00BC4874"/>
    <w:rsid w:val="00BC4984"/>
    <w:rsid w:val="00BC4CC4"/>
    <w:rsid w:val="00BC4F40"/>
    <w:rsid w:val="00BC520D"/>
    <w:rsid w:val="00BC5249"/>
    <w:rsid w:val="00BC57E9"/>
    <w:rsid w:val="00BC5B96"/>
    <w:rsid w:val="00BC5C7C"/>
    <w:rsid w:val="00BC5DE8"/>
    <w:rsid w:val="00BC5ED8"/>
    <w:rsid w:val="00BC5F11"/>
    <w:rsid w:val="00BC5FC1"/>
    <w:rsid w:val="00BC614C"/>
    <w:rsid w:val="00BC6359"/>
    <w:rsid w:val="00BC65E9"/>
    <w:rsid w:val="00BC660A"/>
    <w:rsid w:val="00BC677B"/>
    <w:rsid w:val="00BC6A46"/>
    <w:rsid w:val="00BC710A"/>
    <w:rsid w:val="00BC71C7"/>
    <w:rsid w:val="00BC7218"/>
    <w:rsid w:val="00BC732A"/>
    <w:rsid w:val="00BC750E"/>
    <w:rsid w:val="00BC762F"/>
    <w:rsid w:val="00BC76C3"/>
    <w:rsid w:val="00BC772F"/>
    <w:rsid w:val="00BC7766"/>
    <w:rsid w:val="00BC78F2"/>
    <w:rsid w:val="00BC7BFE"/>
    <w:rsid w:val="00BC7DCD"/>
    <w:rsid w:val="00BD01E9"/>
    <w:rsid w:val="00BD01EC"/>
    <w:rsid w:val="00BD021A"/>
    <w:rsid w:val="00BD085A"/>
    <w:rsid w:val="00BD08E3"/>
    <w:rsid w:val="00BD0AC5"/>
    <w:rsid w:val="00BD0B75"/>
    <w:rsid w:val="00BD0F8D"/>
    <w:rsid w:val="00BD1384"/>
    <w:rsid w:val="00BD1493"/>
    <w:rsid w:val="00BD1B17"/>
    <w:rsid w:val="00BD1BF5"/>
    <w:rsid w:val="00BD1E4D"/>
    <w:rsid w:val="00BD1EB2"/>
    <w:rsid w:val="00BD2820"/>
    <w:rsid w:val="00BD2B02"/>
    <w:rsid w:val="00BD34C7"/>
    <w:rsid w:val="00BD3A4D"/>
    <w:rsid w:val="00BD3D7A"/>
    <w:rsid w:val="00BD3F98"/>
    <w:rsid w:val="00BD4224"/>
    <w:rsid w:val="00BD42B5"/>
    <w:rsid w:val="00BD44B5"/>
    <w:rsid w:val="00BD4684"/>
    <w:rsid w:val="00BD4844"/>
    <w:rsid w:val="00BD4CB9"/>
    <w:rsid w:val="00BD4EBE"/>
    <w:rsid w:val="00BD4FD9"/>
    <w:rsid w:val="00BD5061"/>
    <w:rsid w:val="00BD5375"/>
    <w:rsid w:val="00BD543C"/>
    <w:rsid w:val="00BD5542"/>
    <w:rsid w:val="00BD55D0"/>
    <w:rsid w:val="00BD56B3"/>
    <w:rsid w:val="00BD5AC7"/>
    <w:rsid w:val="00BD5BD5"/>
    <w:rsid w:val="00BD6037"/>
    <w:rsid w:val="00BD642D"/>
    <w:rsid w:val="00BD6840"/>
    <w:rsid w:val="00BD6EF8"/>
    <w:rsid w:val="00BD706A"/>
    <w:rsid w:val="00BD70C6"/>
    <w:rsid w:val="00BD727F"/>
    <w:rsid w:val="00BD72D3"/>
    <w:rsid w:val="00BD74C1"/>
    <w:rsid w:val="00BD74E4"/>
    <w:rsid w:val="00BD7556"/>
    <w:rsid w:val="00BD7620"/>
    <w:rsid w:val="00BD767A"/>
    <w:rsid w:val="00BD77C2"/>
    <w:rsid w:val="00BD7A4B"/>
    <w:rsid w:val="00BD7D56"/>
    <w:rsid w:val="00BD7DA2"/>
    <w:rsid w:val="00BE02A6"/>
    <w:rsid w:val="00BE02B4"/>
    <w:rsid w:val="00BE0364"/>
    <w:rsid w:val="00BE036F"/>
    <w:rsid w:val="00BE069B"/>
    <w:rsid w:val="00BE073A"/>
    <w:rsid w:val="00BE07B2"/>
    <w:rsid w:val="00BE0A97"/>
    <w:rsid w:val="00BE1222"/>
    <w:rsid w:val="00BE1288"/>
    <w:rsid w:val="00BE12CC"/>
    <w:rsid w:val="00BE1345"/>
    <w:rsid w:val="00BE18DA"/>
    <w:rsid w:val="00BE1BD2"/>
    <w:rsid w:val="00BE1BD9"/>
    <w:rsid w:val="00BE1F44"/>
    <w:rsid w:val="00BE20A6"/>
    <w:rsid w:val="00BE210C"/>
    <w:rsid w:val="00BE226D"/>
    <w:rsid w:val="00BE23E3"/>
    <w:rsid w:val="00BE24AA"/>
    <w:rsid w:val="00BE24DE"/>
    <w:rsid w:val="00BE283A"/>
    <w:rsid w:val="00BE2AD5"/>
    <w:rsid w:val="00BE2C84"/>
    <w:rsid w:val="00BE2E54"/>
    <w:rsid w:val="00BE2F62"/>
    <w:rsid w:val="00BE2FE4"/>
    <w:rsid w:val="00BE30B2"/>
    <w:rsid w:val="00BE30EF"/>
    <w:rsid w:val="00BE31D3"/>
    <w:rsid w:val="00BE336C"/>
    <w:rsid w:val="00BE34F3"/>
    <w:rsid w:val="00BE3634"/>
    <w:rsid w:val="00BE3741"/>
    <w:rsid w:val="00BE3945"/>
    <w:rsid w:val="00BE3975"/>
    <w:rsid w:val="00BE3A83"/>
    <w:rsid w:val="00BE3B48"/>
    <w:rsid w:val="00BE4044"/>
    <w:rsid w:val="00BE40B6"/>
    <w:rsid w:val="00BE423F"/>
    <w:rsid w:val="00BE430B"/>
    <w:rsid w:val="00BE45D2"/>
    <w:rsid w:val="00BE47E5"/>
    <w:rsid w:val="00BE4B4F"/>
    <w:rsid w:val="00BE4D14"/>
    <w:rsid w:val="00BE4EC4"/>
    <w:rsid w:val="00BE4FFC"/>
    <w:rsid w:val="00BE50BF"/>
    <w:rsid w:val="00BE5305"/>
    <w:rsid w:val="00BE552A"/>
    <w:rsid w:val="00BE5722"/>
    <w:rsid w:val="00BE5852"/>
    <w:rsid w:val="00BE5930"/>
    <w:rsid w:val="00BE5D59"/>
    <w:rsid w:val="00BE6000"/>
    <w:rsid w:val="00BE6014"/>
    <w:rsid w:val="00BE6074"/>
    <w:rsid w:val="00BE617B"/>
    <w:rsid w:val="00BE6299"/>
    <w:rsid w:val="00BE63CE"/>
    <w:rsid w:val="00BE65CC"/>
    <w:rsid w:val="00BE6624"/>
    <w:rsid w:val="00BE664A"/>
    <w:rsid w:val="00BE6952"/>
    <w:rsid w:val="00BE6985"/>
    <w:rsid w:val="00BE6B76"/>
    <w:rsid w:val="00BE6B95"/>
    <w:rsid w:val="00BE6C4B"/>
    <w:rsid w:val="00BE6EB3"/>
    <w:rsid w:val="00BE6FAB"/>
    <w:rsid w:val="00BE77FF"/>
    <w:rsid w:val="00BE7983"/>
    <w:rsid w:val="00BE7BE5"/>
    <w:rsid w:val="00BE7DA7"/>
    <w:rsid w:val="00BF03A2"/>
    <w:rsid w:val="00BF046F"/>
    <w:rsid w:val="00BF04BD"/>
    <w:rsid w:val="00BF070E"/>
    <w:rsid w:val="00BF0782"/>
    <w:rsid w:val="00BF07BE"/>
    <w:rsid w:val="00BF0906"/>
    <w:rsid w:val="00BF0923"/>
    <w:rsid w:val="00BF09E7"/>
    <w:rsid w:val="00BF0A16"/>
    <w:rsid w:val="00BF0B12"/>
    <w:rsid w:val="00BF0BF0"/>
    <w:rsid w:val="00BF0DCD"/>
    <w:rsid w:val="00BF0F66"/>
    <w:rsid w:val="00BF12CC"/>
    <w:rsid w:val="00BF136D"/>
    <w:rsid w:val="00BF13D9"/>
    <w:rsid w:val="00BF18F6"/>
    <w:rsid w:val="00BF19B3"/>
    <w:rsid w:val="00BF1D0E"/>
    <w:rsid w:val="00BF1DAA"/>
    <w:rsid w:val="00BF20FE"/>
    <w:rsid w:val="00BF2416"/>
    <w:rsid w:val="00BF29FE"/>
    <w:rsid w:val="00BF2BBD"/>
    <w:rsid w:val="00BF2BFD"/>
    <w:rsid w:val="00BF2C5C"/>
    <w:rsid w:val="00BF2C6C"/>
    <w:rsid w:val="00BF30B9"/>
    <w:rsid w:val="00BF3113"/>
    <w:rsid w:val="00BF31BE"/>
    <w:rsid w:val="00BF3B00"/>
    <w:rsid w:val="00BF3D2D"/>
    <w:rsid w:val="00BF3DAD"/>
    <w:rsid w:val="00BF3F96"/>
    <w:rsid w:val="00BF42CD"/>
    <w:rsid w:val="00BF4509"/>
    <w:rsid w:val="00BF4596"/>
    <w:rsid w:val="00BF4B6B"/>
    <w:rsid w:val="00BF4EB9"/>
    <w:rsid w:val="00BF4FF0"/>
    <w:rsid w:val="00BF5148"/>
    <w:rsid w:val="00BF5383"/>
    <w:rsid w:val="00BF56FC"/>
    <w:rsid w:val="00BF58A6"/>
    <w:rsid w:val="00BF5D43"/>
    <w:rsid w:val="00BF5F2D"/>
    <w:rsid w:val="00BF62F1"/>
    <w:rsid w:val="00BF645A"/>
    <w:rsid w:val="00BF654A"/>
    <w:rsid w:val="00BF6638"/>
    <w:rsid w:val="00BF66AE"/>
    <w:rsid w:val="00BF6791"/>
    <w:rsid w:val="00BF683F"/>
    <w:rsid w:val="00BF6B87"/>
    <w:rsid w:val="00BF6C78"/>
    <w:rsid w:val="00BF6F2C"/>
    <w:rsid w:val="00BF71A5"/>
    <w:rsid w:val="00BF7275"/>
    <w:rsid w:val="00BF733E"/>
    <w:rsid w:val="00BF744F"/>
    <w:rsid w:val="00BF757D"/>
    <w:rsid w:val="00C00052"/>
    <w:rsid w:val="00C00538"/>
    <w:rsid w:val="00C0058C"/>
    <w:rsid w:val="00C0066E"/>
    <w:rsid w:val="00C00848"/>
    <w:rsid w:val="00C00887"/>
    <w:rsid w:val="00C008B8"/>
    <w:rsid w:val="00C00E05"/>
    <w:rsid w:val="00C01071"/>
    <w:rsid w:val="00C01146"/>
    <w:rsid w:val="00C0128A"/>
    <w:rsid w:val="00C01422"/>
    <w:rsid w:val="00C0150F"/>
    <w:rsid w:val="00C01870"/>
    <w:rsid w:val="00C01871"/>
    <w:rsid w:val="00C019A4"/>
    <w:rsid w:val="00C01ACC"/>
    <w:rsid w:val="00C01AF5"/>
    <w:rsid w:val="00C01F0F"/>
    <w:rsid w:val="00C0210C"/>
    <w:rsid w:val="00C02252"/>
    <w:rsid w:val="00C024D8"/>
    <w:rsid w:val="00C025CF"/>
    <w:rsid w:val="00C0261D"/>
    <w:rsid w:val="00C02876"/>
    <w:rsid w:val="00C02907"/>
    <w:rsid w:val="00C02C8D"/>
    <w:rsid w:val="00C02C9A"/>
    <w:rsid w:val="00C02CB3"/>
    <w:rsid w:val="00C02CD1"/>
    <w:rsid w:val="00C03345"/>
    <w:rsid w:val="00C033FE"/>
    <w:rsid w:val="00C035E9"/>
    <w:rsid w:val="00C036C6"/>
    <w:rsid w:val="00C0372B"/>
    <w:rsid w:val="00C03799"/>
    <w:rsid w:val="00C0380D"/>
    <w:rsid w:val="00C03A2A"/>
    <w:rsid w:val="00C03A97"/>
    <w:rsid w:val="00C03FC8"/>
    <w:rsid w:val="00C04251"/>
    <w:rsid w:val="00C0476D"/>
    <w:rsid w:val="00C04A92"/>
    <w:rsid w:val="00C04AE2"/>
    <w:rsid w:val="00C04B15"/>
    <w:rsid w:val="00C04B9D"/>
    <w:rsid w:val="00C04C78"/>
    <w:rsid w:val="00C04CD2"/>
    <w:rsid w:val="00C04CE8"/>
    <w:rsid w:val="00C04D69"/>
    <w:rsid w:val="00C04E12"/>
    <w:rsid w:val="00C04E7D"/>
    <w:rsid w:val="00C052AC"/>
    <w:rsid w:val="00C052F2"/>
    <w:rsid w:val="00C058FF"/>
    <w:rsid w:val="00C05918"/>
    <w:rsid w:val="00C05AC9"/>
    <w:rsid w:val="00C05B28"/>
    <w:rsid w:val="00C05E42"/>
    <w:rsid w:val="00C05E4F"/>
    <w:rsid w:val="00C05EB8"/>
    <w:rsid w:val="00C0604C"/>
    <w:rsid w:val="00C069F9"/>
    <w:rsid w:val="00C06A64"/>
    <w:rsid w:val="00C06A83"/>
    <w:rsid w:val="00C06AA4"/>
    <w:rsid w:val="00C06AA6"/>
    <w:rsid w:val="00C06B34"/>
    <w:rsid w:val="00C06CFA"/>
    <w:rsid w:val="00C073A8"/>
    <w:rsid w:val="00C074AF"/>
    <w:rsid w:val="00C07617"/>
    <w:rsid w:val="00C076BA"/>
    <w:rsid w:val="00C07CE8"/>
    <w:rsid w:val="00C07DC6"/>
    <w:rsid w:val="00C07F93"/>
    <w:rsid w:val="00C108ED"/>
    <w:rsid w:val="00C10B3C"/>
    <w:rsid w:val="00C10C5E"/>
    <w:rsid w:val="00C10CEB"/>
    <w:rsid w:val="00C10DE0"/>
    <w:rsid w:val="00C10E58"/>
    <w:rsid w:val="00C11045"/>
    <w:rsid w:val="00C1162E"/>
    <w:rsid w:val="00C1163E"/>
    <w:rsid w:val="00C11872"/>
    <w:rsid w:val="00C11AA9"/>
    <w:rsid w:val="00C11C8A"/>
    <w:rsid w:val="00C12008"/>
    <w:rsid w:val="00C120F6"/>
    <w:rsid w:val="00C123F8"/>
    <w:rsid w:val="00C1247A"/>
    <w:rsid w:val="00C125B5"/>
    <w:rsid w:val="00C1296B"/>
    <w:rsid w:val="00C129FA"/>
    <w:rsid w:val="00C12AF1"/>
    <w:rsid w:val="00C12C88"/>
    <w:rsid w:val="00C12E25"/>
    <w:rsid w:val="00C12EF4"/>
    <w:rsid w:val="00C12FDF"/>
    <w:rsid w:val="00C1301B"/>
    <w:rsid w:val="00C1351A"/>
    <w:rsid w:val="00C13663"/>
    <w:rsid w:val="00C13A88"/>
    <w:rsid w:val="00C13B53"/>
    <w:rsid w:val="00C13DC9"/>
    <w:rsid w:val="00C13FB6"/>
    <w:rsid w:val="00C140A3"/>
    <w:rsid w:val="00C14113"/>
    <w:rsid w:val="00C1414D"/>
    <w:rsid w:val="00C14403"/>
    <w:rsid w:val="00C14683"/>
    <w:rsid w:val="00C1477E"/>
    <w:rsid w:val="00C147D6"/>
    <w:rsid w:val="00C1481F"/>
    <w:rsid w:val="00C149EA"/>
    <w:rsid w:val="00C14A55"/>
    <w:rsid w:val="00C14C7D"/>
    <w:rsid w:val="00C14CDD"/>
    <w:rsid w:val="00C14E58"/>
    <w:rsid w:val="00C14F66"/>
    <w:rsid w:val="00C156AF"/>
    <w:rsid w:val="00C15B96"/>
    <w:rsid w:val="00C15CCF"/>
    <w:rsid w:val="00C15DBF"/>
    <w:rsid w:val="00C1603A"/>
    <w:rsid w:val="00C161E0"/>
    <w:rsid w:val="00C16499"/>
    <w:rsid w:val="00C1668C"/>
    <w:rsid w:val="00C16A62"/>
    <w:rsid w:val="00C16D58"/>
    <w:rsid w:val="00C16F0A"/>
    <w:rsid w:val="00C17024"/>
    <w:rsid w:val="00C171C3"/>
    <w:rsid w:val="00C178E3"/>
    <w:rsid w:val="00C179C7"/>
    <w:rsid w:val="00C179E7"/>
    <w:rsid w:val="00C17A78"/>
    <w:rsid w:val="00C17A8B"/>
    <w:rsid w:val="00C17DEE"/>
    <w:rsid w:val="00C200B3"/>
    <w:rsid w:val="00C200E3"/>
    <w:rsid w:val="00C2012B"/>
    <w:rsid w:val="00C20239"/>
    <w:rsid w:val="00C20336"/>
    <w:rsid w:val="00C2045D"/>
    <w:rsid w:val="00C204EB"/>
    <w:rsid w:val="00C20631"/>
    <w:rsid w:val="00C20652"/>
    <w:rsid w:val="00C20E04"/>
    <w:rsid w:val="00C21056"/>
    <w:rsid w:val="00C212BF"/>
    <w:rsid w:val="00C2131B"/>
    <w:rsid w:val="00C2148F"/>
    <w:rsid w:val="00C214F3"/>
    <w:rsid w:val="00C21546"/>
    <w:rsid w:val="00C216E0"/>
    <w:rsid w:val="00C2174B"/>
    <w:rsid w:val="00C218BE"/>
    <w:rsid w:val="00C2197B"/>
    <w:rsid w:val="00C21BB8"/>
    <w:rsid w:val="00C21BE3"/>
    <w:rsid w:val="00C21C80"/>
    <w:rsid w:val="00C21CD2"/>
    <w:rsid w:val="00C21E4A"/>
    <w:rsid w:val="00C21FB8"/>
    <w:rsid w:val="00C221BB"/>
    <w:rsid w:val="00C223B0"/>
    <w:rsid w:val="00C224F6"/>
    <w:rsid w:val="00C22773"/>
    <w:rsid w:val="00C22867"/>
    <w:rsid w:val="00C22962"/>
    <w:rsid w:val="00C22BA7"/>
    <w:rsid w:val="00C22CDD"/>
    <w:rsid w:val="00C22DF2"/>
    <w:rsid w:val="00C2318A"/>
    <w:rsid w:val="00C2328B"/>
    <w:rsid w:val="00C232B9"/>
    <w:rsid w:val="00C233C3"/>
    <w:rsid w:val="00C23F99"/>
    <w:rsid w:val="00C2421B"/>
    <w:rsid w:val="00C2484D"/>
    <w:rsid w:val="00C24EC7"/>
    <w:rsid w:val="00C25084"/>
    <w:rsid w:val="00C253C5"/>
    <w:rsid w:val="00C2553A"/>
    <w:rsid w:val="00C256E7"/>
    <w:rsid w:val="00C25795"/>
    <w:rsid w:val="00C25812"/>
    <w:rsid w:val="00C2592E"/>
    <w:rsid w:val="00C25B70"/>
    <w:rsid w:val="00C25CF1"/>
    <w:rsid w:val="00C25E27"/>
    <w:rsid w:val="00C25E7E"/>
    <w:rsid w:val="00C25F45"/>
    <w:rsid w:val="00C261A0"/>
    <w:rsid w:val="00C261E1"/>
    <w:rsid w:val="00C262EE"/>
    <w:rsid w:val="00C2666E"/>
    <w:rsid w:val="00C26D11"/>
    <w:rsid w:val="00C26D93"/>
    <w:rsid w:val="00C2709D"/>
    <w:rsid w:val="00C2762A"/>
    <w:rsid w:val="00C27939"/>
    <w:rsid w:val="00C27D7F"/>
    <w:rsid w:val="00C27E67"/>
    <w:rsid w:val="00C3012C"/>
    <w:rsid w:val="00C3029C"/>
    <w:rsid w:val="00C302DD"/>
    <w:rsid w:val="00C304A5"/>
    <w:rsid w:val="00C30677"/>
    <w:rsid w:val="00C30719"/>
    <w:rsid w:val="00C30C10"/>
    <w:rsid w:val="00C30DC3"/>
    <w:rsid w:val="00C3158B"/>
    <w:rsid w:val="00C3181F"/>
    <w:rsid w:val="00C31981"/>
    <w:rsid w:val="00C31A43"/>
    <w:rsid w:val="00C322BF"/>
    <w:rsid w:val="00C3243D"/>
    <w:rsid w:val="00C324F6"/>
    <w:rsid w:val="00C326A3"/>
    <w:rsid w:val="00C32759"/>
    <w:rsid w:val="00C32766"/>
    <w:rsid w:val="00C32857"/>
    <w:rsid w:val="00C32969"/>
    <w:rsid w:val="00C32A27"/>
    <w:rsid w:val="00C32A41"/>
    <w:rsid w:val="00C32DED"/>
    <w:rsid w:val="00C32E3E"/>
    <w:rsid w:val="00C32EAF"/>
    <w:rsid w:val="00C33179"/>
    <w:rsid w:val="00C3320C"/>
    <w:rsid w:val="00C3360C"/>
    <w:rsid w:val="00C33C9A"/>
    <w:rsid w:val="00C33CEA"/>
    <w:rsid w:val="00C33D70"/>
    <w:rsid w:val="00C33FD7"/>
    <w:rsid w:val="00C342D0"/>
    <w:rsid w:val="00C344D2"/>
    <w:rsid w:val="00C34778"/>
    <w:rsid w:val="00C347AA"/>
    <w:rsid w:val="00C3489E"/>
    <w:rsid w:val="00C34963"/>
    <w:rsid w:val="00C349B1"/>
    <w:rsid w:val="00C34DAB"/>
    <w:rsid w:val="00C34E7A"/>
    <w:rsid w:val="00C3515F"/>
    <w:rsid w:val="00C35412"/>
    <w:rsid w:val="00C354B5"/>
    <w:rsid w:val="00C354C8"/>
    <w:rsid w:val="00C35B02"/>
    <w:rsid w:val="00C35C5F"/>
    <w:rsid w:val="00C35C6E"/>
    <w:rsid w:val="00C35E3A"/>
    <w:rsid w:val="00C3625C"/>
    <w:rsid w:val="00C36889"/>
    <w:rsid w:val="00C369B2"/>
    <w:rsid w:val="00C369B7"/>
    <w:rsid w:val="00C369C8"/>
    <w:rsid w:val="00C369D0"/>
    <w:rsid w:val="00C370F6"/>
    <w:rsid w:val="00C371B6"/>
    <w:rsid w:val="00C373B5"/>
    <w:rsid w:val="00C37927"/>
    <w:rsid w:val="00C3792E"/>
    <w:rsid w:val="00C37BEF"/>
    <w:rsid w:val="00C405FD"/>
    <w:rsid w:val="00C4076E"/>
    <w:rsid w:val="00C407B1"/>
    <w:rsid w:val="00C40D33"/>
    <w:rsid w:val="00C40F3A"/>
    <w:rsid w:val="00C41124"/>
    <w:rsid w:val="00C41148"/>
    <w:rsid w:val="00C411A8"/>
    <w:rsid w:val="00C416FA"/>
    <w:rsid w:val="00C41844"/>
    <w:rsid w:val="00C4185B"/>
    <w:rsid w:val="00C41B1E"/>
    <w:rsid w:val="00C41B57"/>
    <w:rsid w:val="00C41D65"/>
    <w:rsid w:val="00C41E4C"/>
    <w:rsid w:val="00C41F7E"/>
    <w:rsid w:val="00C41FA7"/>
    <w:rsid w:val="00C41FE1"/>
    <w:rsid w:val="00C4206C"/>
    <w:rsid w:val="00C42193"/>
    <w:rsid w:val="00C42572"/>
    <w:rsid w:val="00C4288A"/>
    <w:rsid w:val="00C429F3"/>
    <w:rsid w:val="00C42CA6"/>
    <w:rsid w:val="00C42D7B"/>
    <w:rsid w:val="00C42F56"/>
    <w:rsid w:val="00C430CE"/>
    <w:rsid w:val="00C434AE"/>
    <w:rsid w:val="00C43548"/>
    <w:rsid w:val="00C43757"/>
    <w:rsid w:val="00C437DF"/>
    <w:rsid w:val="00C43939"/>
    <w:rsid w:val="00C43F68"/>
    <w:rsid w:val="00C44066"/>
    <w:rsid w:val="00C44086"/>
    <w:rsid w:val="00C440A3"/>
    <w:rsid w:val="00C4413F"/>
    <w:rsid w:val="00C44706"/>
    <w:rsid w:val="00C44DF8"/>
    <w:rsid w:val="00C44E23"/>
    <w:rsid w:val="00C44F70"/>
    <w:rsid w:val="00C45038"/>
    <w:rsid w:val="00C451CD"/>
    <w:rsid w:val="00C4540C"/>
    <w:rsid w:val="00C454E6"/>
    <w:rsid w:val="00C45891"/>
    <w:rsid w:val="00C458FD"/>
    <w:rsid w:val="00C45B47"/>
    <w:rsid w:val="00C45EB1"/>
    <w:rsid w:val="00C461EB"/>
    <w:rsid w:val="00C46286"/>
    <w:rsid w:val="00C4680A"/>
    <w:rsid w:val="00C468A2"/>
    <w:rsid w:val="00C46B05"/>
    <w:rsid w:val="00C46EE2"/>
    <w:rsid w:val="00C47080"/>
    <w:rsid w:val="00C47419"/>
    <w:rsid w:val="00C47528"/>
    <w:rsid w:val="00C47A1A"/>
    <w:rsid w:val="00C500D9"/>
    <w:rsid w:val="00C50670"/>
    <w:rsid w:val="00C507CC"/>
    <w:rsid w:val="00C50EA6"/>
    <w:rsid w:val="00C50FCD"/>
    <w:rsid w:val="00C51272"/>
    <w:rsid w:val="00C513BD"/>
    <w:rsid w:val="00C5153E"/>
    <w:rsid w:val="00C51582"/>
    <w:rsid w:val="00C5197B"/>
    <w:rsid w:val="00C51A7F"/>
    <w:rsid w:val="00C51E77"/>
    <w:rsid w:val="00C52217"/>
    <w:rsid w:val="00C52513"/>
    <w:rsid w:val="00C526E0"/>
    <w:rsid w:val="00C5287A"/>
    <w:rsid w:val="00C52D07"/>
    <w:rsid w:val="00C53153"/>
    <w:rsid w:val="00C53225"/>
    <w:rsid w:val="00C53A4F"/>
    <w:rsid w:val="00C53C3F"/>
    <w:rsid w:val="00C53C49"/>
    <w:rsid w:val="00C53CD2"/>
    <w:rsid w:val="00C53CE5"/>
    <w:rsid w:val="00C53E9C"/>
    <w:rsid w:val="00C53F04"/>
    <w:rsid w:val="00C53F15"/>
    <w:rsid w:val="00C54146"/>
    <w:rsid w:val="00C54178"/>
    <w:rsid w:val="00C545A1"/>
    <w:rsid w:val="00C54806"/>
    <w:rsid w:val="00C54807"/>
    <w:rsid w:val="00C54954"/>
    <w:rsid w:val="00C54A68"/>
    <w:rsid w:val="00C54AD5"/>
    <w:rsid w:val="00C54B2D"/>
    <w:rsid w:val="00C54B9E"/>
    <w:rsid w:val="00C54D58"/>
    <w:rsid w:val="00C54DC9"/>
    <w:rsid w:val="00C54E5F"/>
    <w:rsid w:val="00C5507C"/>
    <w:rsid w:val="00C55185"/>
    <w:rsid w:val="00C55362"/>
    <w:rsid w:val="00C55406"/>
    <w:rsid w:val="00C554AF"/>
    <w:rsid w:val="00C55526"/>
    <w:rsid w:val="00C55838"/>
    <w:rsid w:val="00C559BD"/>
    <w:rsid w:val="00C55A96"/>
    <w:rsid w:val="00C55B01"/>
    <w:rsid w:val="00C56083"/>
    <w:rsid w:val="00C563C0"/>
    <w:rsid w:val="00C56683"/>
    <w:rsid w:val="00C56D36"/>
    <w:rsid w:val="00C56D8D"/>
    <w:rsid w:val="00C56FB3"/>
    <w:rsid w:val="00C573FA"/>
    <w:rsid w:val="00C57552"/>
    <w:rsid w:val="00C57A87"/>
    <w:rsid w:val="00C60694"/>
    <w:rsid w:val="00C607FF"/>
    <w:rsid w:val="00C60A15"/>
    <w:rsid w:val="00C60B2B"/>
    <w:rsid w:val="00C60DB6"/>
    <w:rsid w:val="00C60E61"/>
    <w:rsid w:val="00C60ED6"/>
    <w:rsid w:val="00C6132B"/>
    <w:rsid w:val="00C61353"/>
    <w:rsid w:val="00C61844"/>
    <w:rsid w:val="00C61BC5"/>
    <w:rsid w:val="00C61C06"/>
    <w:rsid w:val="00C61CAB"/>
    <w:rsid w:val="00C61E31"/>
    <w:rsid w:val="00C61E67"/>
    <w:rsid w:val="00C6217D"/>
    <w:rsid w:val="00C629D6"/>
    <w:rsid w:val="00C62AB0"/>
    <w:rsid w:val="00C633BE"/>
    <w:rsid w:val="00C635B4"/>
    <w:rsid w:val="00C63925"/>
    <w:rsid w:val="00C63B90"/>
    <w:rsid w:val="00C63E40"/>
    <w:rsid w:val="00C641B0"/>
    <w:rsid w:val="00C6498C"/>
    <w:rsid w:val="00C64A35"/>
    <w:rsid w:val="00C6518B"/>
    <w:rsid w:val="00C65275"/>
    <w:rsid w:val="00C653F1"/>
    <w:rsid w:val="00C65672"/>
    <w:rsid w:val="00C657C6"/>
    <w:rsid w:val="00C657E7"/>
    <w:rsid w:val="00C659CD"/>
    <w:rsid w:val="00C65BF4"/>
    <w:rsid w:val="00C65C1E"/>
    <w:rsid w:val="00C65C5D"/>
    <w:rsid w:val="00C65D36"/>
    <w:rsid w:val="00C65E28"/>
    <w:rsid w:val="00C65E5C"/>
    <w:rsid w:val="00C65F0B"/>
    <w:rsid w:val="00C66039"/>
    <w:rsid w:val="00C66236"/>
    <w:rsid w:val="00C66377"/>
    <w:rsid w:val="00C664B9"/>
    <w:rsid w:val="00C6668A"/>
    <w:rsid w:val="00C666B3"/>
    <w:rsid w:val="00C66890"/>
    <w:rsid w:val="00C66944"/>
    <w:rsid w:val="00C66CDC"/>
    <w:rsid w:val="00C66EC7"/>
    <w:rsid w:val="00C6739C"/>
    <w:rsid w:val="00C674C4"/>
    <w:rsid w:val="00C67666"/>
    <w:rsid w:val="00C6771D"/>
    <w:rsid w:val="00C67AA7"/>
    <w:rsid w:val="00C67AC8"/>
    <w:rsid w:val="00C67B45"/>
    <w:rsid w:val="00C67DB5"/>
    <w:rsid w:val="00C67E10"/>
    <w:rsid w:val="00C67EEC"/>
    <w:rsid w:val="00C700D6"/>
    <w:rsid w:val="00C70336"/>
    <w:rsid w:val="00C70426"/>
    <w:rsid w:val="00C70904"/>
    <w:rsid w:val="00C709E7"/>
    <w:rsid w:val="00C70C4B"/>
    <w:rsid w:val="00C70C76"/>
    <w:rsid w:val="00C70CDF"/>
    <w:rsid w:val="00C70DFC"/>
    <w:rsid w:val="00C70E6D"/>
    <w:rsid w:val="00C70EAF"/>
    <w:rsid w:val="00C70F87"/>
    <w:rsid w:val="00C71057"/>
    <w:rsid w:val="00C71109"/>
    <w:rsid w:val="00C7111F"/>
    <w:rsid w:val="00C716A8"/>
    <w:rsid w:val="00C71719"/>
    <w:rsid w:val="00C71AC6"/>
    <w:rsid w:val="00C72242"/>
    <w:rsid w:val="00C723CB"/>
    <w:rsid w:val="00C725AD"/>
    <w:rsid w:val="00C72625"/>
    <w:rsid w:val="00C72783"/>
    <w:rsid w:val="00C7287D"/>
    <w:rsid w:val="00C72888"/>
    <w:rsid w:val="00C729CB"/>
    <w:rsid w:val="00C72C22"/>
    <w:rsid w:val="00C72E7E"/>
    <w:rsid w:val="00C7315F"/>
    <w:rsid w:val="00C734CD"/>
    <w:rsid w:val="00C73541"/>
    <w:rsid w:val="00C73624"/>
    <w:rsid w:val="00C73675"/>
    <w:rsid w:val="00C73A01"/>
    <w:rsid w:val="00C73AA0"/>
    <w:rsid w:val="00C73BFC"/>
    <w:rsid w:val="00C73C70"/>
    <w:rsid w:val="00C73CB1"/>
    <w:rsid w:val="00C7421F"/>
    <w:rsid w:val="00C7434C"/>
    <w:rsid w:val="00C744E2"/>
    <w:rsid w:val="00C74768"/>
    <w:rsid w:val="00C749E7"/>
    <w:rsid w:val="00C74AC7"/>
    <w:rsid w:val="00C74CFC"/>
    <w:rsid w:val="00C74DCA"/>
    <w:rsid w:val="00C7509A"/>
    <w:rsid w:val="00C751B5"/>
    <w:rsid w:val="00C7526A"/>
    <w:rsid w:val="00C7537A"/>
    <w:rsid w:val="00C7567E"/>
    <w:rsid w:val="00C75696"/>
    <w:rsid w:val="00C75730"/>
    <w:rsid w:val="00C75B5B"/>
    <w:rsid w:val="00C75B9C"/>
    <w:rsid w:val="00C766D1"/>
    <w:rsid w:val="00C768E1"/>
    <w:rsid w:val="00C76C3B"/>
    <w:rsid w:val="00C76C52"/>
    <w:rsid w:val="00C76D4F"/>
    <w:rsid w:val="00C77013"/>
    <w:rsid w:val="00C77064"/>
    <w:rsid w:val="00C77081"/>
    <w:rsid w:val="00C770DB"/>
    <w:rsid w:val="00C773C3"/>
    <w:rsid w:val="00C77BB9"/>
    <w:rsid w:val="00C80146"/>
    <w:rsid w:val="00C80245"/>
    <w:rsid w:val="00C8031C"/>
    <w:rsid w:val="00C804BD"/>
    <w:rsid w:val="00C80690"/>
    <w:rsid w:val="00C80B4F"/>
    <w:rsid w:val="00C80CDA"/>
    <w:rsid w:val="00C80F18"/>
    <w:rsid w:val="00C81101"/>
    <w:rsid w:val="00C811E1"/>
    <w:rsid w:val="00C81642"/>
    <w:rsid w:val="00C81CE8"/>
    <w:rsid w:val="00C81E00"/>
    <w:rsid w:val="00C81FB4"/>
    <w:rsid w:val="00C8220C"/>
    <w:rsid w:val="00C82216"/>
    <w:rsid w:val="00C82547"/>
    <w:rsid w:val="00C82982"/>
    <w:rsid w:val="00C82AB3"/>
    <w:rsid w:val="00C82CEE"/>
    <w:rsid w:val="00C82E5F"/>
    <w:rsid w:val="00C83286"/>
    <w:rsid w:val="00C8340D"/>
    <w:rsid w:val="00C8363A"/>
    <w:rsid w:val="00C836B7"/>
    <w:rsid w:val="00C83B2D"/>
    <w:rsid w:val="00C83BF8"/>
    <w:rsid w:val="00C83E4B"/>
    <w:rsid w:val="00C83E92"/>
    <w:rsid w:val="00C8413F"/>
    <w:rsid w:val="00C8415D"/>
    <w:rsid w:val="00C8420F"/>
    <w:rsid w:val="00C84258"/>
    <w:rsid w:val="00C84C09"/>
    <w:rsid w:val="00C84C79"/>
    <w:rsid w:val="00C84CD2"/>
    <w:rsid w:val="00C84DBC"/>
    <w:rsid w:val="00C85318"/>
    <w:rsid w:val="00C85405"/>
    <w:rsid w:val="00C85631"/>
    <w:rsid w:val="00C85773"/>
    <w:rsid w:val="00C85C2E"/>
    <w:rsid w:val="00C860C7"/>
    <w:rsid w:val="00C8610E"/>
    <w:rsid w:val="00C86149"/>
    <w:rsid w:val="00C86165"/>
    <w:rsid w:val="00C86258"/>
    <w:rsid w:val="00C864A1"/>
    <w:rsid w:val="00C866C5"/>
    <w:rsid w:val="00C86892"/>
    <w:rsid w:val="00C86A9B"/>
    <w:rsid w:val="00C86C0B"/>
    <w:rsid w:val="00C86D0E"/>
    <w:rsid w:val="00C86D84"/>
    <w:rsid w:val="00C86E0F"/>
    <w:rsid w:val="00C86FB1"/>
    <w:rsid w:val="00C87012"/>
    <w:rsid w:val="00C87101"/>
    <w:rsid w:val="00C87366"/>
    <w:rsid w:val="00C8739B"/>
    <w:rsid w:val="00C874CC"/>
    <w:rsid w:val="00C876B2"/>
    <w:rsid w:val="00C87800"/>
    <w:rsid w:val="00C87BC8"/>
    <w:rsid w:val="00C87E49"/>
    <w:rsid w:val="00C9031B"/>
    <w:rsid w:val="00C9031E"/>
    <w:rsid w:val="00C9043B"/>
    <w:rsid w:val="00C907E6"/>
    <w:rsid w:val="00C90832"/>
    <w:rsid w:val="00C909C1"/>
    <w:rsid w:val="00C909E1"/>
    <w:rsid w:val="00C90BC0"/>
    <w:rsid w:val="00C911DE"/>
    <w:rsid w:val="00C91721"/>
    <w:rsid w:val="00C91CF3"/>
    <w:rsid w:val="00C91D70"/>
    <w:rsid w:val="00C91DAF"/>
    <w:rsid w:val="00C91E17"/>
    <w:rsid w:val="00C91E67"/>
    <w:rsid w:val="00C92194"/>
    <w:rsid w:val="00C92271"/>
    <w:rsid w:val="00C92285"/>
    <w:rsid w:val="00C9264E"/>
    <w:rsid w:val="00C9271C"/>
    <w:rsid w:val="00C928EC"/>
    <w:rsid w:val="00C9297B"/>
    <w:rsid w:val="00C92D06"/>
    <w:rsid w:val="00C92D44"/>
    <w:rsid w:val="00C92E6E"/>
    <w:rsid w:val="00C92EE2"/>
    <w:rsid w:val="00C9315D"/>
    <w:rsid w:val="00C9318B"/>
    <w:rsid w:val="00C9336C"/>
    <w:rsid w:val="00C9366D"/>
    <w:rsid w:val="00C93708"/>
    <w:rsid w:val="00C937C7"/>
    <w:rsid w:val="00C93E4E"/>
    <w:rsid w:val="00C94007"/>
    <w:rsid w:val="00C94071"/>
    <w:rsid w:val="00C940D4"/>
    <w:rsid w:val="00C94236"/>
    <w:rsid w:val="00C943AA"/>
    <w:rsid w:val="00C943FF"/>
    <w:rsid w:val="00C94723"/>
    <w:rsid w:val="00C94761"/>
    <w:rsid w:val="00C94B10"/>
    <w:rsid w:val="00C94EBE"/>
    <w:rsid w:val="00C952B5"/>
    <w:rsid w:val="00C95375"/>
    <w:rsid w:val="00C95564"/>
    <w:rsid w:val="00C9567E"/>
    <w:rsid w:val="00C95794"/>
    <w:rsid w:val="00C957A3"/>
    <w:rsid w:val="00C958EB"/>
    <w:rsid w:val="00C9598D"/>
    <w:rsid w:val="00C959B3"/>
    <w:rsid w:val="00C95B7B"/>
    <w:rsid w:val="00C95CA5"/>
    <w:rsid w:val="00C95D16"/>
    <w:rsid w:val="00C96290"/>
    <w:rsid w:val="00C962F0"/>
    <w:rsid w:val="00C96507"/>
    <w:rsid w:val="00C9661E"/>
    <w:rsid w:val="00C96848"/>
    <w:rsid w:val="00C96947"/>
    <w:rsid w:val="00C96960"/>
    <w:rsid w:val="00C96A4F"/>
    <w:rsid w:val="00C96C8F"/>
    <w:rsid w:val="00C97085"/>
    <w:rsid w:val="00C9729F"/>
    <w:rsid w:val="00C9731B"/>
    <w:rsid w:val="00C97488"/>
    <w:rsid w:val="00C9766B"/>
    <w:rsid w:val="00C978B0"/>
    <w:rsid w:val="00CA0198"/>
    <w:rsid w:val="00CA0328"/>
    <w:rsid w:val="00CA052C"/>
    <w:rsid w:val="00CA075C"/>
    <w:rsid w:val="00CA0C82"/>
    <w:rsid w:val="00CA0FD6"/>
    <w:rsid w:val="00CA0FE0"/>
    <w:rsid w:val="00CA1243"/>
    <w:rsid w:val="00CA137F"/>
    <w:rsid w:val="00CA13AE"/>
    <w:rsid w:val="00CA13E1"/>
    <w:rsid w:val="00CA15F9"/>
    <w:rsid w:val="00CA16CA"/>
    <w:rsid w:val="00CA1701"/>
    <w:rsid w:val="00CA18BA"/>
    <w:rsid w:val="00CA19F4"/>
    <w:rsid w:val="00CA1B20"/>
    <w:rsid w:val="00CA1E3A"/>
    <w:rsid w:val="00CA1FDA"/>
    <w:rsid w:val="00CA1FE3"/>
    <w:rsid w:val="00CA21C3"/>
    <w:rsid w:val="00CA2247"/>
    <w:rsid w:val="00CA2252"/>
    <w:rsid w:val="00CA2788"/>
    <w:rsid w:val="00CA2B0F"/>
    <w:rsid w:val="00CA2B38"/>
    <w:rsid w:val="00CA2C14"/>
    <w:rsid w:val="00CA2C33"/>
    <w:rsid w:val="00CA30C9"/>
    <w:rsid w:val="00CA33C3"/>
    <w:rsid w:val="00CA33E3"/>
    <w:rsid w:val="00CA3454"/>
    <w:rsid w:val="00CA36F2"/>
    <w:rsid w:val="00CA3AE3"/>
    <w:rsid w:val="00CA3BBB"/>
    <w:rsid w:val="00CA3DAB"/>
    <w:rsid w:val="00CA3DBE"/>
    <w:rsid w:val="00CA3F59"/>
    <w:rsid w:val="00CA3F97"/>
    <w:rsid w:val="00CA4661"/>
    <w:rsid w:val="00CA4712"/>
    <w:rsid w:val="00CA4776"/>
    <w:rsid w:val="00CA4A41"/>
    <w:rsid w:val="00CA4B2D"/>
    <w:rsid w:val="00CA4EA2"/>
    <w:rsid w:val="00CA50D4"/>
    <w:rsid w:val="00CA52BC"/>
    <w:rsid w:val="00CA5997"/>
    <w:rsid w:val="00CA59D8"/>
    <w:rsid w:val="00CA6093"/>
    <w:rsid w:val="00CA60DF"/>
    <w:rsid w:val="00CA6259"/>
    <w:rsid w:val="00CA67CE"/>
    <w:rsid w:val="00CA6DCD"/>
    <w:rsid w:val="00CA7057"/>
    <w:rsid w:val="00CB014D"/>
    <w:rsid w:val="00CB043C"/>
    <w:rsid w:val="00CB0462"/>
    <w:rsid w:val="00CB0467"/>
    <w:rsid w:val="00CB0575"/>
    <w:rsid w:val="00CB063A"/>
    <w:rsid w:val="00CB0783"/>
    <w:rsid w:val="00CB07E5"/>
    <w:rsid w:val="00CB0A2B"/>
    <w:rsid w:val="00CB0EAD"/>
    <w:rsid w:val="00CB0FD3"/>
    <w:rsid w:val="00CB1057"/>
    <w:rsid w:val="00CB11C7"/>
    <w:rsid w:val="00CB1257"/>
    <w:rsid w:val="00CB136B"/>
    <w:rsid w:val="00CB1491"/>
    <w:rsid w:val="00CB17D3"/>
    <w:rsid w:val="00CB18BB"/>
    <w:rsid w:val="00CB1A59"/>
    <w:rsid w:val="00CB1A94"/>
    <w:rsid w:val="00CB1DF2"/>
    <w:rsid w:val="00CB1E78"/>
    <w:rsid w:val="00CB1EBF"/>
    <w:rsid w:val="00CB1ED5"/>
    <w:rsid w:val="00CB20FF"/>
    <w:rsid w:val="00CB21C2"/>
    <w:rsid w:val="00CB24DF"/>
    <w:rsid w:val="00CB257D"/>
    <w:rsid w:val="00CB273B"/>
    <w:rsid w:val="00CB276F"/>
    <w:rsid w:val="00CB2BF4"/>
    <w:rsid w:val="00CB2DAD"/>
    <w:rsid w:val="00CB3055"/>
    <w:rsid w:val="00CB3285"/>
    <w:rsid w:val="00CB32FD"/>
    <w:rsid w:val="00CB38E8"/>
    <w:rsid w:val="00CB398F"/>
    <w:rsid w:val="00CB3999"/>
    <w:rsid w:val="00CB3A94"/>
    <w:rsid w:val="00CB3BAC"/>
    <w:rsid w:val="00CB3D2E"/>
    <w:rsid w:val="00CB3F3F"/>
    <w:rsid w:val="00CB3F55"/>
    <w:rsid w:val="00CB41D8"/>
    <w:rsid w:val="00CB4242"/>
    <w:rsid w:val="00CB42CA"/>
    <w:rsid w:val="00CB437D"/>
    <w:rsid w:val="00CB48CB"/>
    <w:rsid w:val="00CB4D90"/>
    <w:rsid w:val="00CB50DA"/>
    <w:rsid w:val="00CB510F"/>
    <w:rsid w:val="00CB556E"/>
    <w:rsid w:val="00CB58AD"/>
    <w:rsid w:val="00CB5932"/>
    <w:rsid w:val="00CB5F36"/>
    <w:rsid w:val="00CB62BE"/>
    <w:rsid w:val="00CB6313"/>
    <w:rsid w:val="00CB6401"/>
    <w:rsid w:val="00CB67B8"/>
    <w:rsid w:val="00CB6821"/>
    <w:rsid w:val="00CB710C"/>
    <w:rsid w:val="00CB73DE"/>
    <w:rsid w:val="00CB788E"/>
    <w:rsid w:val="00CB78AB"/>
    <w:rsid w:val="00CB7984"/>
    <w:rsid w:val="00CB7B3E"/>
    <w:rsid w:val="00CB7DA6"/>
    <w:rsid w:val="00CB7DBD"/>
    <w:rsid w:val="00CB7E04"/>
    <w:rsid w:val="00CC00A2"/>
    <w:rsid w:val="00CC00A7"/>
    <w:rsid w:val="00CC00BC"/>
    <w:rsid w:val="00CC02AE"/>
    <w:rsid w:val="00CC06D5"/>
    <w:rsid w:val="00CC0959"/>
    <w:rsid w:val="00CC1199"/>
    <w:rsid w:val="00CC11A8"/>
    <w:rsid w:val="00CC11FB"/>
    <w:rsid w:val="00CC12E9"/>
    <w:rsid w:val="00CC1951"/>
    <w:rsid w:val="00CC1C38"/>
    <w:rsid w:val="00CC1C3A"/>
    <w:rsid w:val="00CC2163"/>
    <w:rsid w:val="00CC21FD"/>
    <w:rsid w:val="00CC2501"/>
    <w:rsid w:val="00CC26C9"/>
    <w:rsid w:val="00CC28D6"/>
    <w:rsid w:val="00CC2C22"/>
    <w:rsid w:val="00CC30E6"/>
    <w:rsid w:val="00CC3875"/>
    <w:rsid w:val="00CC3941"/>
    <w:rsid w:val="00CC3D6B"/>
    <w:rsid w:val="00CC3E23"/>
    <w:rsid w:val="00CC3FD9"/>
    <w:rsid w:val="00CC430C"/>
    <w:rsid w:val="00CC444A"/>
    <w:rsid w:val="00CC45A4"/>
    <w:rsid w:val="00CC46E4"/>
    <w:rsid w:val="00CC4ACB"/>
    <w:rsid w:val="00CC4D49"/>
    <w:rsid w:val="00CC4D4A"/>
    <w:rsid w:val="00CC50FA"/>
    <w:rsid w:val="00CC52DC"/>
    <w:rsid w:val="00CC5517"/>
    <w:rsid w:val="00CC5575"/>
    <w:rsid w:val="00CC563F"/>
    <w:rsid w:val="00CC56C3"/>
    <w:rsid w:val="00CC57AC"/>
    <w:rsid w:val="00CC5B0E"/>
    <w:rsid w:val="00CC5C77"/>
    <w:rsid w:val="00CC5DA9"/>
    <w:rsid w:val="00CC5E6E"/>
    <w:rsid w:val="00CC5FCB"/>
    <w:rsid w:val="00CC60F6"/>
    <w:rsid w:val="00CC612D"/>
    <w:rsid w:val="00CC6204"/>
    <w:rsid w:val="00CC6286"/>
    <w:rsid w:val="00CC648A"/>
    <w:rsid w:val="00CC6680"/>
    <w:rsid w:val="00CC6770"/>
    <w:rsid w:val="00CC67C1"/>
    <w:rsid w:val="00CC6E13"/>
    <w:rsid w:val="00CC6E48"/>
    <w:rsid w:val="00CC709C"/>
    <w:rsid w:val="00CC70A6"/>
    <w:rsid w:val="00CC7184"/>
    <w:rsid w:val="00CC7344"/>
    <w:rsid w:val="00CC75AE"/>
    <w:rsid w:val="00CC75EF"/>
    <w:rsid w:val="00CC7710"/>
    <w:rsid w:val="00CD0128"/>
    <w:rsid w:val="00CD0242"/>
    <w:rsid w:val="00CD0247"/>
    <w:rsid w:val="00CD03F1"/>
    <w:rsid w:val="00CD04DC"/>
    <w:rsid w:val="00CD0546"/>
    <w:rsid w:val="00CD07DF"/>
    <w:rsid w:val="00CD0C00"/>
    <w:rsid w:val="00CD0D6A"/>
    <w:rsid w:val="00CD11F3"/>
    <w:rsid w:val="00CD13B5"/>
    <w:rsid w:val="00CD146D"/>
    <w:rsid w:val="00CD15CD"/>
    <w:rsid w:val="00CD16A1"/>
    <w:rsid w:val="00CD1926"/>
    <w:rsid w:val="00CD1A3C"/>
    <w:rsid w:val="00CD1AD0"/>
    <w:rsid w:val="00CD1CB8"/>
    <w:rsid w:val="00CD1E69"/>
    <w:rsid w:val="00CD1FA4"/>
    <w:rsid w:val="00CD26ED"/>
    <w:rsid w:val="00CD27DB"/>
    <w:rsid w:val="00CD2A58"/>
    <w:rsid w:val="00CD2F82"/>
    <w:rsid w:val="00CD325B"/>
    <w:rsid w:val="00CD3378"/>
    <w:rsid w:val="00CD346A"/>
    <w:rsid w:val="00CD3649"/>
    <w:rsid w:val="00CD385F"/>
    <w:rsid w:val="00CD3DE9"/>
    <w:rsid w:val="00CD3EE3"/>
    <w:rsid w:val="00CD4831"/>
    <w:rsid w:val="00CD4B95"/>
    <w:rsid w:val="00CD4F66"/>
    <w:rsid w:val="00CD4FCB"/>
    <w:rsid w:val="00CD504C"/>
    <w:rsid w:val="00CD52C7"/>
    <w:rsid w:val="00CD573E"/>
    <w:rsid w:val="00CD594B"/>
    <w:rsid w:val="00CD597F"/>
    <w:rsid w:val="00CD59FA"/>
    <w:rsid w:val="00CD5AC5"/>
    <w:rsid w:val="00CD5BAF"/>
    <w:rsid w:val="00CD5CE5"/>
    <w:rsid w:val="00CD5F8F"/>
    <w:rsid w:val="00CD6475"/>
    <w:rsid w:val="00CD6521"/>
    <w:rsid w:val="00CD6533"/>
    <w:rsid w:val="00CD65A0"/>
    <w:rsid w:val="00CD65FD"/>
    <w:rsid w:val="00CD693C"/>
    <w:rsid w:val="00CD6A55"/>
    <w:rsid w:val="00CD6A66"/>
    <w:rsid w:val="00CD6B43"/>
    <w:rsid w:val="00CD72DE"/>
    <w:rsid w:val="00CD73AB"/>
    <w:rsid w:val="00CD748C"/>
    <w:rsid w:val="00CD7712"/>
    <w:rsid w:val="00CD7C35"/>
    <w:rsid w:val="00CD7D10"/>
    <w:rsid w:val="00CD7E3D"/>
    <w:rsid w:val="00CE02D6"/>
    <w:rsid w:val="00CE0336"/>
    <w:rsid w:val="00CE033E"/>
    <w:rsid w:val="00CE03E8"/>
    <w:rsid w:val="00CE045F"/>
    <w:rsid w:val="00CE0608"/>
    <w:rsid w:val="00CE062D"/>
    <w:rsid w:val="00CE09E9"/>
    <w:rsid w:val="00CE0CF4"/>
    <w:rsid w:val="00CE0DF7"/>
    <w:rsid w:val="00CE0FCC"/>
    <w:rsid w:val="00CE1683"/>
    <w:rsid w:val="00CE1807"/>
    <w:rsid w:val="00CE181C"/>
    <w:rsid w:val="00CE1A57"/>
    <w:rsid w:val="00CE1AD8"/>
    <w:rsid w:val="00CE1BE2"/>
    <w:rsid w:val="00CE1D99"/>
    <w:rsid w:val="00CE1E33"/>
    <w:rsid w:val="00CE2175"/>
    <w:rsid w:val="00CE219D"/>
    <w:rsid w:val="00CE22AB"/>
    <w:rsid w:val="00CE247B"/>
    <w:rsid w:val="00CE24DF"/>
    <w:rsid w:val="00CE2650"/>
    <w:rsid w:val="00CE283F"/>
    <w:rsid w:val="00CE2FB2"/>
    <w:rsid w:val="00CE3016"/>
    <w:rsid w:val="00CE321B"/>
    <w:rsid w:val="00CE32E8"/>
    <w:rsid w:val="00CE3689"/>
    <w:rsid w:val="00CE37F9"/>
    <w:rsid w:val="00CE3AC6"/>
    <w:rsid w:val="00CE4008"/>
    <w:rsid w:val="00CE4044"/>
    <w:rsid w:val="00CE40E4"/>
    <w:rsid w:val="00CE41F9"/>
    <w:rsid w:val="00CE4357"/>
    <w:rsid w:val="00CE44D3"/>
    <w:rsid w:val="00CE44DF"/>
    <w:rsid w:val="00CE451E"/>
    <w:rsid w:val="00CE4D95"/>
    <w:rsid w:val="00CE4FC8"/>
    <w:rsid w:val="00CE500E"/>
    <w:rsid w:val="00CE5357"/>
    <w:rsid w:val="00CE5799"/>
    <w:rsid w:val="00CE5D1E"/>
    <w:rsid w:val="00CE5DCA"/>
    <w:rsid w:val="00CE5EE7"/>
    <w:rsid w:val="00CE5F05"/>
    <w:rsid w:val="00CE60F8"/>
    <w:rsid w:val="00CE6239"/>
    <w:rsid w:val="00CE64C8"/>
    <w:rsid w:val="00CE6690"/>
    <w:rsid w:val="00CE6756"/>
    <w:rsid w:val="00CE680D"/>
    <w:rsid w:val="00CE6814"/>
    <w:rsid w:val="00CE6A50"/>
    <w:rsid w:val="00CE6BC6"/>
    <w:rsid w:val="00CE6D8F"/>
    <w:rsid w:val="00CE6D97"/>
    <w:rsid w:val="00CE6E44"/>
    <w:rsid w:val="00CE709E"/>
    <w:rsid w:val="00CE7626"/>
    <w:rsid w:val="00CE7B2C"/>
    <w:rsid w:val="00CE7B46"/>
    <w:rsid w:val="00CE7C36"/>
    <w:rsid w:val="00CE7F34"/>
    <w:rsid w:val="00CF00F0"/>
    <w:rsid w:val="00CF015A"/>
    <w:rsid w:val="00CF0326"/>
    <w:rsid w:val="00CF03F2"/>
    <w:rsid w:val="00CF0430"/>
    <w:rsid w:val="00CF0526"/>
    <w:rsid w:val="00CF06AE"/>
    <w:rsid w:val="00CF0770"/>
    <w:rsid w:val="00CF08C6"/>
    <w:rsid w:val="00CF0ABE"/>
    <w:rsid w:val="00CF0B7D"/>
    <w:rsid w:val="00CF0C2D"/>
    <w:rsid w:val="00CF0D8C"/>
    <w:rsid w:val="00CF0EAB"/>
    <w:rsid w:val="00CF1175"/>
    <w:rsid w:val="00CF123D"/>
    <w:rsid w:val="00CF131C"/>
    <w:rsid w:val="00CF132E"/>
    <w:rsid w:val="00CF15D4"/>
    <w:rsid w:val="00CF181B"/>
    <w:rsid w:val="00CF1883"/>
    <w:rsid w:val="00CF190F"/>
    <w:rsid w:val="00CF1AB5"/>
    <w:rsid w:val="00CF1B9F"/>
    <w:rsid w:val="00CF1C30"/>
    <w:rsid w:val="00CF1CCB"/>
    <w:rsid w:val="00CF2072"/>
    <w:rsid w:val="00CF20BC"/>
    <w:rsid w:val="00CF21BD"/>
    <w:rsid w:val="00CF2251"/>
    <w:rsid w:val="00CF2581"/>
    <w:rsid w:val="00CF25B2"/>
    <w:rsid w:val="00CF25F2"/>
    <w:rsid w:val="00CF268B"/>
    <w:rsid w:val="00CF27F6"/>
    <w:rsid w:val="00CF2B8C"/>
    <w:rsid w:val="00CF2CC5"/>
    <w:rsid w:val="00CF2D87"/>
    <w:rsid w:val="00CF2E61"/>
    <w:rsid w:val="00CF311C"/>
    <w:rsid w:val="00CF312D"/>
    <w:rsid w:val="00CF32A8"/>
    <w:rsid w:val="00CF3311"/>
    <w:rsid w:val="00CF34EA"/>
    <w:rsid w:val="00CF3A38"/>
    <w:rsid w:val="00CF3B91"/>
    <w:rsid w:val="00CF3EC0"/>
    <w:rsid w:val="00CF405C"/>
    <w:rsid w:val="00CF44D4"/>
    <w:rsid w:val="00CF46FB"/>
    <w:rsid w:val="00CF47E0"/>
    <w:rsid w:val="00CF4AC2"/>
    <w:rsid w:val="00CF4B1D"/>
    <w:rsid w:val="00CF4DC0"/>
    <w:rsid w:val="00CF4F5C"/>
    <w:rsid w:val="00CF5415"/>
    <w:rsid w:val="00CF5643"/>
    <w:rsid w:val="00CF584C"/>
    <w:rsid w:val="00CF5988"/>
    <w:rsid w:val="00CF5AF8"/>
    <w:rsid w:val="00CF5CB2"/>
    <w:rsid w:val="00CF605A"/>
    <w:rsid w:val="00CF62E7"/>
    <w:rsid w:val="00CF6453"/>
    <w:rsid w:val="00CF6535"/>
    <w:rsid w:val="00CF6692"/>
    <w:rsid w:val="00CF681A"/>
    <w:rsid w:val="00CF69BC"/>
    <w:rsid w:val="00CF6F73"/>
    <w:rsid w:val="00CF7368"/>
    <w:rsid w:val="00CF7502"/>
    <w:rsid w:val="00CF7B64"/>
    <w:rsid w:val="00CF7C4D"/>
    <w:rsid w:val="00CF7C7B"/>
    <w:rsid w:val="00CF7CCC"/>
    <w:rsid w:val="00CF7E73"/>
    <w:rsid w:val="00CF7F4A"/>
    <w:rsid w:val="00CF7FD9"/>
    <w:rsid w:val="00D000EC"/>
    <w:rsid w:val="00D00101"/>
    <w:rsid w:val="00D00381"/>
    <w:rsid w:val="00D0051D"/>
    <w:rsid w:val="00D00572"/>
    <w:rsid w:val="00D00794"/>
    <w:rsid w:val="00D01048"/>
    <w:rsid w:val="00D0148D"/>
    <w:rsid w:val="00D014D7"/>
    <w:rsid w:val="00D01663"/>
    <w:rsid w:val="00D017A1"/>
    <w:rsid w:val="00D01BD6"/>
    <w:rsid w:val="00D01CD6"/>
    <w:rsid w:val="00D01E6B"/>
    <w:rsid w:val="00D02034"/>
    <w:rsid w:val="00D02380"/>
    <w:rsid w:val="00D02392"/>
    <w:rsid w:val="00D0240B"/>
    <w:rsid w:val="00D02447"/>
    <w:rsid w:val="00D02596"/>
    <w:rsid w:val="00D02794"/>
    <w:rsid w:val="00D02BE8"/>
    <w:rsid w:val="00D03019"/>
    <w:rsid w:val="00D0320B"/>
    <w:rsid w:val="00D0329D"/>
    <w:rsid w:val="00D0377B"/>
    <w:rsid w:val="00D03B76"/>
    <w:rsid w:val="00D03BD1"/>
    <w:rsid w:val="00D03D10"/>
    <w:rsid w:val="00D03D8D"/>
    <w:rsid w:val="00D0431E"/>
    <w:rsid w:val="00D046D5"/>
    <w:rsid w:val="00D047FD"/>
    <w:rsid w:val="00D04896"/>
    <w:rsid w:val="00D048B7"/>
    <w:rsid w:val="00D04950"/>
    <w:rsid w:val="00D04A7B"/>
    <w:rsid w:val="00D04ACC"/>
    <w:rsid w:val="00D04C2D"/>
    <w:rsid w:val="00D04DDE"/>
    <w:rsid w:val="00D04E6D"/>
    <w:rsid w:val="00D0511B"/>
    <w:rsid w:val="00D0548E"/>
    <w:rsid w:val="00D0572E"/>
    <w:rsid w:val="00D058D5"/>
    <w:rsid w:val="00D0596D"/>
    <w:rsid w:val="00D05A1B"/>
    <w:rsid w:val="00D05A77"/>
    <w:rsid w:val="00D05A8D"/>
    <w:rsid w:val="00D05AD6"/>
    <w:rsid w:val="00D05B3C"/>
    <w:rsid w:val="00D05B75"/>
    <w:rsid w:val="00D05B7D"/>
    <w:rsid w:val="00D05DD0"/>
    <w:rsid w:val="00D06157"/>
    <w:rsid w:val="00D0618F"/>
    <w:rsid w:val="00D061B1"/>
    <w:rsid w:val="00D066D1"/>
    <w:rsid w:val="00D06806"/>
    <w:rsid w:val="00D06997"/>
    <w:rsid w:val="00D06C90"/>
    <w:rsid w:val="00D06E88"/>
    <w:rsid w:val="00D07074"/>
    <w:rsid w:val="00D07432"/>
    <w:rsid w:val="00D0755F"/>
    <w:rsid w:val="00D07673"/>
    <w:rsid w:val="00D07806"/>
    <w:rsid w:val="00D07887"/>
    <w:rsid w:val="00D07C23"/>
    <w:rsid w:val="00D07D4C"/>
    <w:rsid w:val="00D07D52"/>
    <w:rsid w:val="00D1027F"/>
    <w:rsid w:val="00D10302"/>
    <w:rsid w:val="00D10476"/>
    <w:rsid w:val="00D10533"/>
    <w:rsid w:val="00D10751"/>
    <w:rsid w:val="00D10802"/>
    <w:rsid w:val="00D10808"/>
    <w:rsid w:val="00D108CF"/>
    <w:rsid w:val="00D10F4F"/>
    <w:rsid w:val="00D11180"/>
    <w:rsid w:val="00D11227"/>
    <w:rsid w:val="00D112E5"/>
    <w:rsid w:val="00D119BE"/>
    <w:rsid w:val="00D11A85"/>
    <w:rsid w:val="00D11FDA"/>
    <w:rsid w:val="00D12054"/>
    <w:rsid w:val="00D12141"/>
    <w:rsid w:val="00D12359"/>
    <w:rsid w:val="00D1253A"/>
    <w:rsid w:val="00D12615"/>
    <w:rsid w:val="00D1264F"/>
    <w:rsid w:val="00D128F5"/>
    <w:rsid w:val="00D129E0"/>
    <w:rsid w:val="00D12BF7"/>
    <w:rsid w:val="00D12D2C"/>
    <w:rsid w:val="00D12D60"/>
    <w:rsid w:val="00D12DAE"/>
    <w:rsid w:val="00D12FB1"/>
    <w:rsid w:val="00D1350E"/>
    <w:rsid w:val="00D1396C"/>
    <w:rsid w:val="00D13A8E"/>
    <w:rsid w:val="00D13AA1"/>
    <w:rsid w:val="00D13D02"/>
    <w:rsid w:val="00D13E76"/>
    <w:rsid w:val="00D1420E"/>
    <w:rsid w:val="00D1433A"/>
    <w:rsid w:val="00D144B2"/>
    <w:rsid w:val="00D1451B"/>
    <w:rsid w:val="00D145B9"/>
    <w:rsid w:val="00D1468A"/>
    <w:rsid w:val="00D147F8"/>
    <w:rsid w:val="00D148B7"/>
    <w:rsid w:val="00D14C32"/>
    <w:rsid w:val="00D14E46"/>
    <w:rsid w:val="00D14E67"/>
    <w:rsid w:val="00D15008"/>
    <w:rsid w:val="00D150AE"/>
    <w:rsid w:val="00D15152"/>
    <w:rsid w:val="00D151B4"/>
    <w:rsid w:val="00D15543"/>
    <w:rsid w:val="00D15CAB"/>
    <w:rsid w:val="00D15CD1"/>
    <w:rsid w:val="00D15D07"/>
    <w:rsid w:val="00D15E7D"/>
    <w:rsid w:val="00D15E90"/>
    <w:rsid w:val="00D16CD3"/>
    <w:rsid w:val="00D16F21"/>
    <w:rsid w:val="00D17986"/>
    <w:rsid w:val="00D179EE"/>
    <w:rsid w:val="00D17A80"/>
    <w:rsid w:val="00D17BA2"/>
    <w:rsid w:val="00D17EA2"/>
    <w:rsid w:val="00D206A3"/>
    <w:rsid w:val="00D208B7"/>
    <w:rsid w:val="00D209C8"/>
    <w:rsid w:val="00D20A1E"/>
    <w:rsid w:val="00D20AE1"/>
    <w:rsid w:val="00D20B69"/>
    <w:rsid w:val="00D20E43"/>
    <w:rsid w:val="00D20FBB"/>
    <w:rsid w:val="00D20FC6"/>
    <w:rsid w:val="00D2128F"/>
    <w:rsid w:val="00D212A6"/>
    <w:rsid w:val="00D215E3"/>
    <w:rsid w:val="00D218B8"/>
    <w:rsid w:val="00D21E98"/>
    <w:rsid w:val="00D22266"/>
    <w:rsid w:val="00D22475"/>
    <w:rsid w:val="00D2254A"/>
    <w:rsid w:val="00D22B30"/>
    <w:rsid w:val="00D22CA6"/>
    <w:rsid w:val="00D22DC6"/>
    <w:rsid w:val="00D22F7E"/>
    <w:rsid w:val="00D22FF8"/>
    <w:rsid w:val="00D232EA"/>
    <w:rsid w:val="00D23605"/>
    <w:rsid w:val="00D23811"/>
    <w:rsid w:val="00D238E9"/>
    <w:rsid w:val="00D23A44"/>
    <w:rsid w:val="00D23B0E"/>
    <w:rsid w:val="00D23B9D"/>
    <w:rsid w:val="00D23EED"/>
    <w:rsid w:val="00D23EF7"/>
    <w:rsid w:val="00D23FF0"/>
    <w:rsid w:val="00D2401B"/>
    <w:rsid w:val="00D240DE"/>
    <w:rsid w:val="00D2429E"/>
    <w:rsid w:val="00D243C0"/>
    <w:rsid w:val="00D249E6"/>
    <w:rsid w:val="00D24C0E"/>
    <w:rsid w:val="00D24F6E"/>
    <w:rsid w:val="00D25325"/>
    <w:rsid w:val="00D253D1"/>
    <w:rsid w:val="00D25A6A"/>
    <w:rsid w:val="00D25A7F"/>
    <w:rsid w:val="00D25A99"/>
    <w:rsid w:val="00D25B7C"/>
    <w:rsid w:val="00D25E72"/>
    <w:rsid w:val="00D25F9C"/>
    <w:rsid w:val="00D26297"/>
    <w:rsid w:val="00D26431"/>
    <w:rsid w:val="00D26582"/>
    <w:rsid w:val="00D266E5"/>
    <w:rsid w:val="00D26C65"/>
    <w:rsid w:val="00D27083"/>
    <w:rsid w:val="00D271B5"/>
    <w:rsid w:val="00D271CB"/>
    <w:rsid w:val="00D272DC"/>
    <w:rsid w:val="00D2740C"/>
    <w:rsid w:val="00D27820"/>
    <w:rsid w:val="00D27CCF"/>
    <w:rsid w:val="00D27EF2"/>
    <w:rsid w:val="00D300A4"/>
    <w:rsid w:val="00D303F9"/>
    <w:rsid w:val="00D30560"/>
    <w:rsid w:val="00D306ED"/>
    <w:rsid w:val="00D30708"/>
    <w:rsid w:val="00D30A1F"/>
    <w:rsid w:val="00D31196"/>
    <w:rsid w:val="00D3123C"/>
    <w:rsid w:val="00D3148E"/>
    <w:rsid w:val="00D32099"/>
    <w:rsid w:val="00D323C6"/>
    <w:rsid w:val="00D3242E"/>
    <w:rsid w:val="00D3271E"/>
    <w:rsid w:val="00D329EF"/>
    <w:rsid w:val="00D32B46"/>
    <w:rsid w:val="00D32F18"/>
    <w:rsid w:val="00D32FE2"/>
    <w:rsid w:val="00D3306B"/>
    <w:rsid w:val="00D331AF"/>
    <w:rsid w:val="00D332E1"/>
    <w:rsid w:val="00D33523"/>
    <w:rsid w:val="00D3381E"/>
    <w:rsid w:val="00D33A05"/>
    <w:rsid w:val="00D33B4B"/>
    <w:rsid w:val="00D33D68"/>
    <w:rsid w:val="00D33E33"/>
    <w:rsid w:val="00D33FFC"/>
    <w:rsid w:val="00D340F7"/>
    <w:rsid w:val="00D34106"/>
    <w:rsid w:val="00D3443F"/>
    <w:rsid w:val="00D34595"/>
    <w:rsid w:val="00D34653"/>
    <w:rsid w:val="00D34CDA"/>
    <w:rsid w:val="00D34EBE"/>
    <w:rsid w:val="00D35302"/>
    <w:rsid w:val="00D3531B"/>
    <w:rsid w:val="00D3555C"/>
    <w:rsid w:val="00D356BD"/>
    <w:rsid w:val="00D35B7D"/>
    <w:rsid w:val="00D35C5D"/>
    <w:rsid w:val="00D35C5F"/>
    <w:rsid w:val="00D35CFD"/>
    <w:rsid w:val="00D35D63"/>
    <w:rsid w:val="00D35F19"/>
    <w:rsid w:val="00D360D5"/>
    <w:rsid w:val="00D362A7"/>
    <w:rsid w:val="00D3636C"/>
    <w:rsid w:val="00D363F5"/>
    <w:rsid w:val="00D364E2"/>
    <w:rsid w:val="00D365DF"/>
    <w:rsid w:val="00D36B31"/>
    <w:rsid w:val="00D36C89"/>
    <w:rsid w:val="00D373D8"/>
    <w:rsid w:val="00D37512"/>
    <w:rsid w:val="00D3772C"/>
    <w:rsid w:val="00D37E47"/>
    <w:rsid w:val="00D37F7E"/>
    <w:rsid w:val="00D403F2"/>
    <w:rsid w:val="00D4047C"/>
    <w:rsid w:val="00D404FC"/>
    <w:rsid w:val="00D4064B"/>
    <w:rsid w:val="00D40807"/>
    <w:rsid w:val="00D40949"/>
    <w:rsid w:val="00D40ED0"/>
    <w:rsid w:val="00D41308"/>
    <w:rsid w:val="00D41342"/>
    <w:rsid w:val="00D4150E"/>
    <w:rsid w:val="00D41632"/>
    <w:rsid w:val="00D41657"/>
    <w:rsid w:val="00D4177B"/>
    <w:rsid w:val="00D418A5"/>
    <w:rsid w:val="00D4193C"/>
    <w:rsid w:val="00D41957"/>
    <w:rsid w:val="00D41B3B"/>
    <w:rsid w:val="00D41B7A"/>
    <w:rsid w:val="00D41D0D"/>
    <w:rsid w:val="00D41E87"/>
    <w:rsid w:val="00D4205C"/>
    <w:rsid w:val="00D4267F"/>
    <w:rsid w:val="00D427AF"/>
    <w:rsid w:val="00D4285A"/>
    <w:rsid w:val="00D42AE5"/>
    <w:rsid w:val="00D42CBC"/>
    <w:rsid w:val="00D42FEB"/>
    <w:rsid w:val="00D431A0"/>
    <w:rsid w:val="00D434D1"/>
    <w:rsid w:val="00D43586"/>
    <w:rsid w:val="00D4377B"/>
    <w:rsid w:val="00D4387C"/>
    <w:rsid w:val="00D43B56"/>
    <w:rsid w:val="00D43BF3"/>
    <w:rsid w:val="00D43FC3"/>
    <w:rsid w:val="00D440EB"/>
    <w:rsid w:val="00D4417C"/>
    <w:rsid w:val="00D44654"/>
    <w:rsid w:val="00D44915"/>
    <w:rsid w:val="00D44B15"/>
    <w:rsid w:val="00D44EC6"/>
    <w:rsid w:val="00D44ECF"/>
    <w:rsid w:val="00D4510A"/>
    <w:rsid w:val="00D45264"/>
    <w:rsid w:val="00D45275"/>
    <w:rsid w:val="00D453D7"/>
    <w:rsid w:val="00D4548D"/>
    <w:rsid w:val="00D4554B"/>
    <w:rsid w:val="00D45984"/>
    <w:rsid w:val="00D45A80"/>
    <w:rsid w:val="00D45D20"/>
    <w:rsid w:val="00D45EBA"/>
    <w:rsid w:val="00D46806"/>
    <w:rsid w:val="00D46829"/>
    <w:rsid w:val="00D469D7"/>
    <w:rsid w:val="00D46C08"/>
    <w:rsid w:val="00D46E6D"/>
    <w:rsid w:val="00D472A9"/>
    <w:rsid w:val="00D4737B"/>
    <w:rsid w:val="00D4783E"/>
    <w:rsid w:val="00D47CD8"/>
    <w:rsid w:val="00D47ECF"/>
    <w:rsid w:val="00D501E7"/>
    <w:rsid w:val="00D502EB"/>
    <w:rsid w:val="00D5030C"/>
    <w:rsid w:val="00D504C0"/>
    <w:rsid w:val="00D50529"/>
    <w:rsid w:val="00D5052A"/>
    <w:rsid w:val="00D5059C"/>
    <w:rsid w:val="00D50602"/>
    <w:rsid w:val="00D5088C"/>
    <w:rsid w:val="00D50A21"/>
    <w:rsid w:val="00D50C04"/>
    <w:rsid w:val="00D50E56"/>
    <w:rsid w:val="00D5125C"/>
    <w:rsid w:val="00D514D6"/>
    <w:rsid w:val="00D5155C"/>
    <w:rsid w:val="00D51891"/>
    <w:rsid w:val="00D51AC9"/>
    <w:rsid w:val="00D51BD9"/>
    <w:rsid w:val="00D51C01"/>
    <w:rsid w:val="00D51C8A"/>
    <w:rsid w:val="00D51DE0"/>
    <w:rsid w:val="00D520EA"/>
    <w:rsid w:val="00D52307"/>
    <w:rsid w:val="00D523C2"/>
    <w:rsid w:val="00D527C6"/>
    <w:rsid w:val="00D52B20"/>
    <w:rsid w:val="00D52B36"/>
    <w:rsid w:val="00D53641"/>
    <w:rsid w:val="00D536E0"/>
    <w:rsid w:val="00D53AE2"/>
    <w:rsid w:val="00D53F9A"/>
    <w:rsid w:val="00D5485F"/>
    <w:rsid w:val="00D54BBA"/>
    <w:rsid w:val="00D54C83"/>
    <w:rsid w:val="00D54C9C"/>
    <w:rsid w:val="00D54F20"/>
    <w:rsid w:val="00D54FD4"/>
    <w:rsid w:val="00D551E4"/>
    <w:rsid w:val="00D55247"/>
    <w:rsid w:val="00D553A1"/>
    <w:rsid w:val="00D5555B"/>
    <w:rsid w:val="00D55598"/>
    <w:rsid w:val="00D555E1"/>
    <w:rsid w:val="00D555E3"/>
    <w:rsid w:val="00D55639"/>
    <w:rsid w:val="00D559E4"/>
    <w:rsid w:val="00D55AB4"/>
    <w:rsid w:val="00D55B73"/>
    <w:rsid w:val="00D55F08"/>
    <w:rsid w:val="00D56388"/>
    <w:rsid w:val="00D566E0"/>
    <w:rsid w:val="00D566F7"/>
    <w:rsid w:val="00D567D3"/>
    <w:rsid w:val="00D568B7"/>
    <w:rsid w:val="00D56B26"/>
    <w:rsid w:val="00D5729D"/>
    <w:rsid w:val="00D57642"/>
    <w:rsid w:val="00D5781A"/>
    <w:rsid w:val="00D578AE"/>
    <w:rsid w:val="00D57A39"/>
    <w:rsid w:val="00D57AFA"/>
    <w:rsid w:val="00D57B1F"/>
    <w:rsid w:val="00D57CCF"/>
    <w:rsid w:val="00D60183"/>
    <w:rsid w:val="00D603AB"/>
    <w:rsid w:val="00D604B7"/>
    <w:rsid w:val="00D60913"/>
    <w:rsid w:val="00D60AB8"/>
    <w:rsid w:val="00D60DEB"/>
    <w:rsid w:val="00D60F56"/>
    <w:rsid w:val="00D613E7"/>
    <w:rsid w:val="00D6142B"/>
    <w:rsid w:val="00D61442"/>
    <w:rsid w:val="00D618C0"/>
    <w:rsid w:val="00D6197E"/>
    <w:rsid w:val="00D619DD"/>
    <w:rsid w:val="00D61A9F"/>
    <w:rsid w:val="00D61CC1"/>
    <w:rsid w:val="00D61EE6"/>
    <w:rsid w:val="00D6221D"/>
    <w:rsid w:val="00D62AA5"/>
    <w:rsid w:val="00D62B12"/>
    <w:rsid w:val="00D62DBD"/>
    <w:rsid w:val="00D630A0"/>
    <w:rsid w:val="00D636C9"/>
    <w:rsid w:val="00D63A9F"/>
    <w:rsid w:val="00D63C84"/>
    <w:rsid w:val="00D63C92"/>
    <w:rsid w:val="00D63F92"/>
    <w:rsid w:val="00D642D3"/>
    <w:rsid w:val="00D64326"/>
    <w:rsid w:val="00D646ED"/>
    <w:rsid w:val="00D64BF5"/>
    <w:rsid w:val="00D64C3F"/>
    <w:rsid w:val="00D64DA3"/>
    <w:rsid w:val="00D66150"/>
    <w:rsid w:val="00D666DE"/>
    <w:rsid w:val="00D667F3"/>
    <w:rsid w:val="00D669FD"/>
    <w:rsid w:val="00D66CFE"/>
    <w:rsid w:val="00D66D18"/>
    <w:rsid w:val="00D66DA5"/>
    <w:rsid w:val="00D66EA6"/>
    <w:rsid w:val="00D6701D"/>
    <w:rsid w:val="00D67396"/>
    <w:rsid w:val="00D6756F"/>
    <w:rsid w:val="00D67678"/>
    <w:rsid w:val="00D67715"/>
    <w:rsid w:val="00D67815"/>
    <w:rsid w:val="00D67A4B"/>
    <w:rsid w:val="00D67D28"/>
    <w:rsid w:val="00D67F6F"/>
    <w:rsid w:val="00D67FA5"/>
    <w:rsid w:val="00D7062C"/>
    <w:rsid w:val="00D70B55"/>
    <w:rsid w:val="00D70D37"/>
    <w:rsid w:val="00D70D8F"/>
    <w:rsid w:val="00D7100E"/>
    <w:rsid w:val="00D71277"/>
    <w:rsid w:val="00D7127A"/>
    <w:rsid w:val="00D712C7"/>
    <w:rsid w:val="00D715D5"/>
    <w:rsid w:val="00D71885"/>
    <w:rsid w:val="00D71E3B"/>
    <w:rsid w:val="00D71F4C"/>
    <w:rsid w:val="00D7212C"/>
    <w:rsid w:val="00D721FB"/>
    <w:rsid w:val="00D72313"/>
    <w:rsid w:val="00D723E6"/>
    <w:rsid w:val="00D725EF"/>
    <w:rsid w:val="00D729B6"/>
    <w:rsid w:val="00D72A5F"/>
    <w:rsid w:val="00D72B77"/>
    <w:rsid w:val="00D72CC3"/>
    <w:rsid w:val="00D72E25"/>
    <w:rsid w:val="00D73056"/>
    <w:rsid w:val="00D7337A"/>
    <w:rsid w:val="00D7338B"/>
    <w:rsid w:val="00D73B14"/>
    <w:rsid w:val="00D73B32"/>
    <w:rsid w:val="00D73B5D"/>
    <w:rsid w:val="00D73B6F"/>
    <w:rsid w:val="00D73BFF"/>
    <w:rsid w:val="00D73D42"/>
    <w:rsid w:val="00D73DEA"/>
    <w:rsid w:val="00D73E78"/>
    <w:rsid w:val="00D741CF"/>
    <w:rsid w:val="00D744A7"/>
    <w:rsid w:val="00D745DE"/>
    <w:rsid w:val="00D74B2E"/>
    <w:rsid w:val="00D74BDE"/>
    <w:rsid w:val="00D74C6C"/>
    <w:rsid w:val="00D74F0B"/>
    <w:rsid w:val="00D7556F"/>
    <w:rsid w:val="00D75608"/>
    <w:rsid w:val="00D757F3"/>
    <w:rsid w:val="00D766CF"/>
    <w:rsid w:val="00D76897"/>
    <w:rsid w:val="00D76BDF"/>
    <w:rsid w:val="00D77057"/>
    <w:rsid w:val="00D774E8"/>
    <w:rsid w:val="00D77514"/>
    <w:rsid w:val="00D778D3"/>
    <w:rsid w:val="00D77E27"/>
    <w:rsid w:val="00D77EDC"/>
    <w:rsid w:val="00D8004C"/>
    <w:rsid w:val="00D8037E"/>
    <w:rsid w:val="00D804CC"/>
    <w:rsid w:val="00D80502"/>
    <w:rsid w:val="00D807EA"/>
    <w:rsid w:val="00D80839"/>
    <w:rsid w:val="00D809A5"/>
    <w:rsid w:val="00D80BF8"/>
    <w:rsid w:val="00D80C12"/>
    <w:rsid w:val="00D80C36"/>
    <w:rsid w:val="00D80C91"/>
    <w:rsid w:val="00D80ED7"/>
    <w:rsid w:val="00D813C4"/>
    <w:rsid w:val="00D8149D"/>
    <w:rsid w:val="00D8153F"/>
    <w:rsid w:val="00D81614"/>
    <w:rsid w:val="00D8166B"/>
    <w:rsid w:val="00D8176C"/>
    <w:rsid w:val="00D81931"/>
    <w:rsid w:val="00D81FD5"/>
    <w:rsid w:val="00D820AF"/>
    <w:rsid w:val="00D822C2"/>
    <w:rsid w:val="00D8278E"/>
    <w:rsid w:val="00D828A6"/>
    <w:rsid w:val="00D82B9B"/>
    <w:rsid w:val="00D82E21"/>
    <w:rsid w:val="00D82E72"/>
    <w:rsid w:val="00D82E99"/>
    <w:rsid w:val="00D8323D"/>
    <w:rsid w:val="00D83294"/>
    <w:rsid w:val="00D832D7"/>
    <w:rsid w:val="00D83393"/>
    <w:rsid w:val="00D837E2"/>
    <w:rsid w:val="00D83C78"/>
    <w:rsid w:val="00D83E5A"/>
    <w:rsid w:val="00D83EAB"/>
    <w:rsid w:val="00D84068"/>
    <w:rsid w:val="00D84077"/>
    <w:rsid w:val="00D84127"/>
    <w:rsid w:val="00D84232"/>
    <w:rsid w:val="00D84293"/>
    <w:rsid w:val="00D842DA"/>
    <w:rsid w:val="00D8460F"/>
    <w:rsid w:val="00D8465C"/>
    <w:rsid w:val="00D84A6D"/>
    <w:rsid w:val="00D84ACF"/>
    <w:rsid w:val="00D84CFA"/>
    <w:rsid w:val="00D84F30"/>
    <w:rsid w:val="00D84F72"/>
    <w:rsid w:val="00D85292"/>
    <w:rsid w:val="00D8569E"/>
    <w:rsid w:val="00D856D5"/>
    <w:rsid w:val="00D85B58"/>
    <w:rsid w:val="00D85C5A"/>
    <w:rsid w:val="00D85E9B"/>
    <w:rsid w:val="00D85EE4"/>
    <w:rsid w:val="00D8640A"/>
    <w:rsid w:val="00D86633"/>
    <w:rsid w:val="00D86685"/>
    <w:rsid w:val="00D8673E"/>
    <w:rsid w:val="00D86A5A"/>
    <w:rsid w:val="00D86BBC"/>
    <w:rsid w:val="00D86F19"/>
    <w:rsid w:val="00D86FF0"/>
    <w:rsid w:val="00D87290"/>
    <w:rsid w:val="00D873A8"/>
    <w:rsid w:val="00D874A7"/>
    <w:rsid w:val="00D874DA"/>
    <w:rsid w:val="00D876AC"/>
    <w:rsid w:val="00D877B4"/>
    <w:rsid w:val="00D879CA"/>
    <w:rsid w:val="00D87C07"/>
    <w:rsid w:val="00D87D8D"/>
    <w:rsid w:val="00D87E9C"/>
    <w:rsid w:val="00D87F7A"/>
    <w:rsid w:val="00D90013"/>
    <w:rsid w:val="00D90208"/>
    <w:rsid w:val="00D90396"/>
    <w:rsid w:val="00D9052A"/>
    <w:rsid w:val="00D90828"/>
    <w:rsid w:val="00D90A51"/>
    <w:rsid w:val="00D90C8F"/>
    <w:rsid w:val="00D90E91"/>
    <w:rsid w:val="00D91242"/>
    <w:rsid w:val="00D912BF"/>
    <w:rsid w:val="00D912D2"/>
    <w:rsid w:val="00D919DC"/>
    <w:rsid w:val="00D91C2E"/>
    <w:rsid w:val="00D91D66"/>
    <w:rsid w:val="00D91FA5"/>
    <w:rsid w:val="00D92118"/>
    <w:rsid w:val="00D921AC"/>
    <w:rsid w:val="00D922B8"/>
    <w:rsid w:val="00D92709"/>
    <w:rsid w:val="00D92AFC"/>
    <w:rsid w:val="00D92D42"/>
    <w:rsid w:val="00D92FBE"/>
    <w:rsid w:val="00D931E4"/>
    <w:rsid w:val="00D937EC"/>
    <w:rsid w:val="00D93841"/>
    <w:rsid w:val="00D93C0F"/>
    <w:rsid w:val="00D93D81"/>
    <w:rsid w:val="00D93F3E"/>
    <w:rsid w:val="00D94105"/>
    <w:rsid w:val="00D943EF"/>
    <w:rsid w:val="00D945FF"/>
    <w:rsid w:val="00D946EC"/>
    <w:rsid w:val="00D9481B"/>
    <w:rsid w:val="00D948CC"/>
    <w:rsid w:val="00D94D56"/>
    <w:rsid w:val="00D94E06"/>
    <w:rsid w:val="00D94FD7"/>
    <w:rsid w:val="00D9560F"/>
    <w:rsid w:val="00D9583E"/>
    <w:rsid w:val="00D95867"/>
    <w:rsid w:val="00D95AC5"/>
    <w:rsid w:val="00D95FFA"/>
    <w:rsid w:val="00D961DC"/>
    <w:rsid w:val="00D962CA"/>
    <w:rsid w:val="00D962DD"/>
    <w:rsid w:val="00D9650A"/>
    <w:rsid w:val="00D965C2"/>
    <w:rsid w:val="00D96614"/>
    <w:rsid w:val="00D96848"/>
    <w:rsid w:val="00D96BF2"/>
    <w:rsid w:val="00D9701F"/>
    <w:rsid w:val="00D9724C"/>
    <w:rsid w:val="00D97342"/>
    <w:rsid w:val="00D97352"/>
    <w:rsid w:val="00D973AB"/>
    <w:rsid w:val="00D973AF"/>
    <w:rsid w:val="00D975B4"/>
    <w:rsid w:val="00D97CE0"/>
    <w:rsid w:val="00DA030B"/>
    <w:rsid w:val="00DA031A"/>
    <w:rsid w:val="00DA0356"/>
    <w:rsid w:val="00DA055F"/>
    <w:rsid w:val="00DA074D"/>
    <w:rsid w:val="00DA0A24"/>
    <w:rsid w:val="00DA0A9C"/>
    <w:rsid w:val="00DA0C1B"/>
    <w:rsid w:val="00DA0E8F"/>
    <w:rsid w:val="00DA10CE"/>
    <w:rsid w:val="00DA111D"/>
    <w:rsid w:val="00DA178F"/>
    <w:rsid w:val="00DA17A9"/>
    <w:rsid w:val="00DA17F3"/>
    <w:rsid w:val="00DA183F"/>
    <w:rsid w:val="00DA193C"/>
    <w:rsid w:val="00DA19D9"/>
    <w:rsid w:val="00DA1A00"/>
    <w:rsid w:val="00DA1FFE"/>
    <w:rsid w:val="00DA2271"/>
    <w:rsid w:val="00DA24D8"/>
    <w:rsid w:val="00DA2ACE"/>
    <w:rsid w:val="00DA2B63"/>
    <w:rsid w:val="00DA2BCE"/>
    <w:rsid w:val="00DA2CFF"/>
    <w:rsid w:val="00DA2D70"/>
    <w:rsid w:val="00DA2DA3"/>
    <w:rsid w:val="00DA2DBA"/>
    <w:rsid w:val="00DA34F3"/>
    <w:rsid w:val="00DA36C7"/>
    <w:rsid w:val="00DA3920"/>
    <w:rsid w:val="00DA3ABF"/>
    <w:rsid w:val="00DA3C37"/>
    <w:rsid w:val="00DA3EAB"/>
    <w:rsid w:val="00DA3FB0"/>
    <w:rsid w:val="00DA413D"/>
    <w:rsid w:val="00DA419D"/>
    <w:rsid w:val="00DA41EC"/>
    <w:rsid w:val="00DA4672"/>
    <w:rsid w:val="00DA4AC0"/>
    <w:rsid w:val="00DA4AC4"/>
    <w:rsid w:val="00DA4F53"/>
    <w:rsid w:val="00DA4FBB"/>
    <w:rsid w:val="00DA51E3"/>
    <w:rsid w:val="00DA526D"/>
    <w:rsid w:val="00DA54B1"/>
    <w:rsid w:val="00DA5B23"/>
    <w:rsid w:val="00DA5BA2"/>
    <w:rsid w:val="00DA5F31"/>
    <w:rsid w:val="00DA6143"/>
    <w:rsid w:val="00DA63AE"/>
    <w:rsid w:val="00DA64A1"/>
    <w:rsid w:val="00DA6782"/>
    <w:rsid w:val="00DA6B41"/>
    <w:rsid w:val="00DA6E6D"/>
    <w:rsid w:val="00DA6E7D"/>
    <w:rsid w:val="00DA7087"/>
    <w:rsid w:val="00DA719B"/>
    <w:rsid w:val="00DA79A5"/>
    <w:rsid w:val="00DA7B48"/>
    <w:rsid w:val="00DB0077"/>
    <w:rsid w:val="00DB0117"/>
    <w:rsid w:val="00DB0AE0"/>
    <w:rsid w:val="00DB0BDE"/>
    <w:rsid w:val="00DB0BDF"/>
    <w:rsid w:val="00DB0E8F"/>
    <w:rsid w:val="00DB12E4"/>
    <w:rsid w:val="00DB1487"/>
    <w:rsid w:val="00DB164C"/>
    <w:rsid w:val="00DB170A"/>
    <w:rsid w:val="00DB17EE"/>
    <w:rsid w:val="00DB1B15"/>
    <w:rsid w:val="00DB1C99"/>
    <w:rsid w:val="00DB1CB4"/>
    <w:rsid w:val="00DB1D40"/>
    <w:rsid w:val="00DB1F64"/>
    <w:rsid w:val="00DB2212"/>
    <w:rsid w:val="00DB2264"/>
    <w:rsid w:val="00DB2509"/>
    <w:rsid w:val="00DB26AB"/>
    <w:rsid w:val="00DB2B47"/>
    <w:rsid w:val="00DB2DB6"/>
    <w:rsid w:val="00DB34C8"/>
    <w:rsid w:val="00DB354B"/>
    <w:rsid w:val="00DB3672"/>
    <w:rsid w:val="00DB3812"/>
    <w:rsid w:val="00DB3920"/>
    <w:rsid w:val="00DB3946"/>
    <w:rsid w:val="00DB3972"/>
    <w:rsid w:val="00DB39E6"/>
    <w:rsid w:val="00DB3B4D"/>
    <w:rsid w:val="00DB3E8D"/>
    <w:rsid w:val="00DB3F00"/>
    <w:rsid w:val="00DB41BA"/>
    <w:rsid w:val="00DB44D1"/>
    <w:rsid w:val="00DB46ED"/>
    <w:rsid w:val="00DB47FB"/>
    <w:rsid w:val="00DB4820"/>
    <w:rsid w:val="00DB4877"/>
    <w:rsid w:val="00DB4A8A"/>
    <w:rsid w:val="00DB4CC2"/>
    <w:rsid w:val="00DB4E26"/>
    <w:rsid w:val="00DB4E89"/>
    <w:rsid w:val="00DB4F6B"/>
    <w:rsid w:val="00DB500F"/>
    <w:rsid w:val="00DB524D"/>
    <w:rsid w:val="00DB547B"/>
    <w:rsid w:val="00DB5500"/>
    <w:rsid w:val="00DB5528"/>
    <w:rsid w:val="00DB5729"/>
    <w:rsid w:val="00DB5859"/>
    <w:rsid w:val="00DB593C"/>
    <w:rsid w:val="00DB5AAD"/>
    <w:rsid w:val="00DB5BFE"/>
    <w:rsid w:val="00DB5C59"/>
    <w:rsid w:val="00DB5FB9"/>
    <w:rsid w:val="00DB5FF9"/>
    <w:rsid w:val="00DB6372"/>
    <w:rsid w:val="00DB667E"/>
    <w:rsid w:val="00DB674A"/>
    <w:rsid w:val="00DB697C"/>
    <w:rsid w:val="00DB6A2E"/>
    <w:rsid w:val="00DB74D1"/>
    <w:rsid w:val="00DB75BD"/>
    <w:rsid w:val="00DB764A"/>
    <w:rsid w:val="00DB77A8"/>
    <w:rsid w:val="00DB7A26"/>
    <w:rsid w:val="00DB7B4F"/>
    <w:rsid w:val="00DB7BED"/>
    <w:rsid w:val="00DB7F1E"/>
    <w:rsid w:val="00DC00AA"/>
    <w:rsid w:val="00DC020D"/>
    <w:rsid w:val="00DC0275"/>
    <w:rsid w:val="00DC032B"/>
    <w:rsid w:val="00DC0517"/>
    <w:rsid w:val="00DC058A"/>
    <w:rsid w:val="00DC07CD"/>
    <w:rsid w:val="00DC10D3"/>
    <w:rsid w:val="00DC12E5"/>
    <w:rsid w:val="00DC196C"/>
    <w:rsid w:val="00DC20AD"/>
    <w:rsid w:val="00DC218A"/>
    <w:rsid w:val="00DC25A8"/>
    <w:rsid w:val="00DC26F0"/>
    <w:rsid w:val="00DC2A16"/>
    <w:rsid w:val="00DC2B0B"/>
    <w:rsid w:val="00DC30DE"/>
    <w:rsid w:val="00DC345C"/>
    <w:rsid w:val="00DC36E1"/>
    <w:rsid w:val="00DC371B"/>
    <w:rsid w:val="00DC399C"/>
    <w:rsid w:val="00DC39E1"/>
    <w:rsid w:val="00DC3DFD"/>
    <w:rsid w:val="00DC3F5E"/>
    <w:rsid w:val="00DC4133"/>
    <w:rsid w:val="00DC467A"/>
    <w:rsid w:val="00DC479E"/>
    <w:rsid w:val="00DC47F0"/>
    <w:rsid w:val="00DC4957"/>
    <w:rsid w:val="00DC4985"/>
    <w:rsid w:val="00DC49A7"/>
    <w:rsid w:val="00DC4C76"/>
    <w:rsid w:val="00DC4DEA"/>
    <w:rsid w:val="00DC4E8E"/>
    <w:rsid w:val="00DC534A"/>
    <w:rsid w:val="00DC54D1"/>
    <w:rsid w:val="00DC54F5"/>
    <w:rsid w:val="00DC550C"/>
    <w:rsid w:val="00DC55EE"/>
    <w:rsid w:val="00DC5634"/>
    <w:rsid w:val="00DC59E7"/>
    <w:rsid w:val="00DC5B2A"/>
    <w:rsid w:val="00DC5EE0"/>
    <w:rsid w:val="00DC60FE"/>
    <w:rsid w:val="00DC62B3"/>
    <w:rsid w:val="00DC63A2"/>
    <w:rsid w:val="00DC63F1"/>
    <w:rsid w:val="00DC658B"/>
    <w:rsid w:val="00DC65E9"/>
    <w:rsid w:val="00DC660C"/>
    <w:rsid w:val="00DC662D"/>
    <w:rsid w:val="00DC6660"/>
    <w:rsid w:val="00DC6819"/>
    <w:rsid w:val="00DC681C"/>
    <w:rsid w:val="00DC69CB"/>
    <w:rsid w:val="00DC6A6F"/>
    <w:rsid w:val="00DC6E3A"/>
    <w:rsid w:val="00DC6EFA"/>
    <w:rsid w:val="00DC71F1"/>
    <w:rsid w:val="00DC7298"/>
    <w:rsid w:val="00DC774D"/>
    <w:rsid w:val="00DC7768"/>
    <w:rsid w:val="00DC7A0A"/>
    <w:rsid w:val="00DC7A6B"/>
    <w:rsid w:val="00DC7B06"/>
    <w:rsid w:val="00DC7B29"/>
    <w:rsid w:val="00DC7E80"/>
    <w:rsid w:val="00DC7F70"/>
    <w:rsid w:val="00DD00C7"/>
    <w:rsid w:val="00DD011A"/>
    <w:rsid w:val="00DD0152"/>
    <w:rsid w:val="00DD0170"/>
    <w:rsid w:val="00DD0628"/>
    <w:rsid w:val="00DD071E"/>
    <w:rsid w:val="00DD0742"/>
    <w:rsid w:val="00DD0958"/>
    <w:rsid w:val="00DD0A0C"/>
    <w:rsid w:val="00DD0A25"/>
    <w:rsid w:val="00DD0D34"/>
    <w:rsid w:val="00DD0FEA"/>
    <w:rsid w:val="00DD1012"/>
    <w:rsid w:val="00DD1346"/>
    <w:rsid w:val="00DD1360"/>
    <w:rsid w:val="00DD1632"/>
    <w:rsid w:val="00DD17AE"/>
    <w:rsid w:val="00DD1D9A"/>
    <w:rsid w:val="00DD1F87"/>
    <w:rsid w:val="00DD2126"/>
    <w:rsid w:val="00DD239A"/>
    <w:rsid w:val="00DD25B0"/>
    <w:rsid w:val="00DD29C1"/>
    <w:rsid w:val="00DD2E41"/>
    <w:rsid w:val="00DD31E4"/>
    <w:rsid w:val="00DD32C9"/>
    <w:rsid w:val="00DD3887"/>
    <w:rsid w:val="00DD3914"/>
    <w:rsid w:val="00DD3976"/>
    <w:rsid w:val="00DD3B58"/>
    <w:rsid w:val="00DD3D63"/>
    <w:rsid w:val="00DD3EFB"/>
    <w:rsid w:val="00DD41BE"/>
    <w:rsid w:val="00DD4217"/>
    <w:rsid w:val="00DD4776"/>
    <w:rsid w:val="00DD4A7F"/>
    <w:rsid w:val="00DD4AF5"/>
    <w:rsid w:val="00DD4C08"/>
    <w:rsid w:val="00DD4D68"/>
    <w:rsid w:val="00DD4E4C"/>
    <w:rsid w:val="00DD50A3"/>
    <w:rsid w:val="00DD548B"/>
    <w:rsid w:val="00DD57E5"/>
    <w:rsid w:val="00DD590F"/>
    <w:rsid w:val="00DD5A01"/>
    <w:rsid w:val="00DD5D11"/>
    <w:rsid w:val="00DD5FAB"/>
    <w:rsid w:val="00DD6055"/>
    <w:rsid w:val="00DD6143"/>
    <w:rsid w:val="00DD61C6"/>
    <w:rsid w:val="00DD61D3"/>
    <w:rsid w:val="00DD6429"/>
    <w:rsid w:val="00DD65E4"/>
    <w:rsid w:val="00DD65FC"/>
    <w:rsid w:val="00DD66B1"/>
    <w:rsid w:val="00DD680F"/>
    <w:rsid w:val="00DD6A4A"/>
    <w:rsid w:val="00DD6ACE"/>
    <w:rsid w:val="00DD6BA0"/>
    <w:rsid w:val="00DD6C35"/>
    <w:rsid w:val="00DD6E3D"/>
    <w:rsid w:val="00DD6F1C"/>
    <w:rsid w:val="00DD6F46"/>
    <w:rsid w:val="00DD6FCB"/>
    <w:rsid w:val="00DD7312"/>
    <w:rsid w:val="00DD7346"/>
    <w:rsid w:val="00DD7B22"/>
    <w:rsid w:val="00DD7B4F"/>
    <w:rsid w:val="00DD7DD8"/>
    <w:rsid w:val="00DE0011"/>
    <w:rsid w:val="00DE0187"/>
    <w:rsid w:val="00DE02AC"/>
    <w:rsid w:val="00DE02B6"/>
    <w:rsid w:val="00DE0423"/>
    <w:rsid w:val="00DE074A"/>
    <w:rsid w:val="00DE0766"/>
    <w:rsid w:val="00DE0999"/>
    <w:rsid w:val="00DE0A2E"/>
    <w:rsid w:val="00DE0D78"/>
    <w:rsid w:val="00DE0DC9"/>
    <w:rsid w:val="00DE0F13"/>
    <w:rsid w:val="00DE142A"/>
    <w:rsid w:val="00DE1477"/>
    <w:rsid w:val="00DE1604"/>
    <w:rsid w:val="00DE189B"/>
    <w:rsid w:val="00DE1C0A"/>
    <w:rsid w:val="00DE1CF3"/>
    <w:rsid w:val="00DE1F3B"/>
    <w:rsid w:val="00DE1FED"/>
    <w:rsid w:val="00DE2101"/>
    <w:rsid w:val="00DE219E"/>
    <w:rsid w:val="00DE21DB"/>
    <w:rsid w:val="00DE27DD"/>
    <w:rsid w:val="00DE2830"/>
    <w:rsid w:val="00DE2870"/>
    <w:rsid w:val="00DE292B"/>
    <w:rsid w:val="00DE2A9C"/>
    <w:rsid w:val="00DE2CA9"/>
    <w:rsid w:val="00DE2D57"/>
    <w:rsid w:val="00DE30B6"/>
    <w:rsid w:val="00DE3789"/>
    <w:rsid w:val="00DE3B66"/>
    <w:rsid w:val="00DE3C5E"/>
    <w:rsid w:val="00DE410A"/>
    <w:rsid w:val="00DE4159"/>
    <w:rsid w:val="00DE42E6"/>
    <w:rsid w:val="00DE43A0"/>
    <w:rsid w:val="00DE46B2"/>
    <w:rsid w:val="00DE48C2"/>
    <w:rsid w:val="00DE48FA"/>
    <w:rsid w:val="00DE4985"/>
    <w:rsid w:val="00DE50A4"/>
    <w:rsid w:val="00DE52EB"/>
    <w:rsid w:val="00DE56A1"/>
    <w:rsid w:val="00DE5A42"/>
    <w:rsid w:val="00DE5AD8"/>
    <w:rsid w:val="00DE5AF3"/>
    <w:rsid w:val="00DE5BF7"/>
    <w:rsid w:val="00DE5D62"/>
    <w:rsid w:val="00DE6381"/>
    <w:rsid w:val="00DE6477"/>
    <w:rsid w:val="00DE6967"/>
    <w:rsid w:val="00DE6B3E"/>
    <w:rsid w:val="00DE6BEC"/>
    <w:rsid w:val="00DE6D4A"/>
    <w:rsid w:val="00DE6E51"/>
    <w:rsid w:val="00DE6E59"/>
    <w:rsid w:val="00DE6F13"/>
    <w:rsid w:val="00DE7446"/>
    <w:rsid w:val="00DE7583"/>
    <w:rsid w:val="00DE77C9"/>
    <w:rsid w:val="00DE781E"/>
    <w:rsid w:val="00DE7FBA"/>
    <w:rsid w:val="00DF0006"/>
    <w:rsid w:val="00DF061E"/>
    <w:rsid w:val="00DF079D"/>
    <w:rsid w:val="00DF0A6D"/>
    <w:rsid w:val="00DF0BA6"/>
    <w:rsid w:val="00DF139A"/>
    <w:rsid w:val="00DF15DB"/>
    <w:rsid w:val="00DF16B0"/>
    <w:rsid w:val="00DF1707"/>
    <w:rsid w:val="00DF1968"/>
    <w:rsid w:val="00DF1AA5"/>
    <w:rsid w:val="00DF236C"/>
    <w:rsid w:val="00DF2CFC"/>
    <w:rsid w:val="00DF2D2B"/>
    <w:rsid w:val="00DF310E"/>
    <w:rsid w:val="00DF3295"/>
    <w:rsid w:val="00DF366F"/>
    <w:rsid w:val="00DF3692"/>
    <w:rsid w:val="00DF36CB"/>
    <w:rsid w:val="00DF3A9F"/>
    <w:rsid w:val="00DF3B36"/>
    <w:rsid w:val="00DF3B3F"/>
    <w:rsid w:val="00DF3BE5"/>
    <w:rsid w:val="00DF3CDE"/>
    <w:rsid w:val="00DF3DA1"/>
    <w:rsid w:val="00DF4325"/>
    <w:rsid w:val="00DF47A5"/>
    <w:rsid w:val="00DF4A31"/>
    <w:rsid w:val="00DF4BA4"/>
    <w:rsid w:val="00DF4BED"/>
    <w:rsid w:val="00DF4DC2"/>
    <w:rsid w:val="00DF4E38"/>
    <w:rsid w:val="00DF51DD"/>
    <w:rsid w:val="00DF525D"/>
    <w:rsid w:val="00DF542E"/>
    <w:rsid w:val="00DF5643"/>
    <w:rsid w:val="00DF581F"/>
    <w:rsid w:val="00DF590B"/>
    <w:rsid w:val="00DF59A4"/>
    <w:rsid w:val="00DF5A93"/>
    <w:rsid w:val="00DF5D64"/>
    <w:rsid w:val="00DF5F03"/>
    <w:rsid w:val="00DF651F"/>
    <w:rsid w:val="00DF669A"/>
    <w:rsid w:val="00DF6A6A"/>
    <w:rsid w:val="00DF6CBF"/>
    <w:rsid w:val="00DF6D7B"/>
    <w:rsid w:val="00DF6DE8"/>
    <w:rsid w:val="00DF6FB2"/>
    <w:rsid w:val="00DF7040"/>
    <w:rsid w:val="00DF7118"/>
    <w:rsid w:val="00DF7237"/>
    <w:rsid w:val="00DF7294"/>
    <w:rsid w:val="00DF77CF"/>
    <w:rsid w:val="00DF791F"/>
    <w:rsid w:val="00DF7A41"/>
    <w:rsid w:val="00DF7C2D"/>
    <w:rsid w:val="00DF7E41"/>
    <w:rsid w:val="00E00188"/>
    <w:rsid w:val="00E003EC"/>
    <w:rsid w:val="00E00401"/>
    <w:rsid w:val="00E0040D"/>
    <w:rsid w:val="00E00446"/>
    <w:rsid w:val="00E00BAC"/>
    <w:rsid w:val="00E00EB2"/>
    <w:rsid w:val="00E0103C"/>
    <w:rsid w:val="00E011B3"/>
    <w:rsid w:val="00E014AC"/>
    <w:rsid w:val="00E0167C"/>
    <w:rsid w:val="00E01AAE"/>
    <w:rsid w:val="00E01ADE"/>
    <w:rsid w:val="00E01FCD"/>
    <w:rsid w:val="00E022D4"/>
    <w:rsid w:val="00E027DE"/>
    <w:rsid w:val="00E028DE"/>
    <w:rsid w:val="00E02D9C"/>
    <w:rsid w:val="00E0321F"/>
    <w:rsid w:val="00E0334C"/>
    <w:rsid w:val="00E03550"/>
    <w:rsid w:val="00E0387A"/>
    <w:rsid w:val="00E038C7"/>
    <w:rsid w:val="00E03A56"/>
    <w:rsid w:val="00E03CB2"/>
    <w:rsid w:val="00E03D9B"/>
    <w:rsid w:val="00E03F22"/>
    <w:rsid w:val="00E03FB5"/>
    <w:rsid w:val="00E0412E"/>
    <w:rsid w:val="00E044A3"/>
    <w:rsid w:val="00E04554"/>
    <w:rsid w:val="00E04606"/>
    <w:rsid w:val="00E04619"/>
    <w:rsid w:val="00E046B3"/>
    <w:rsid w:val="00E04745"/>
    <w:rsid w:val="00E04973"/>
    <w:rsid w:val="00E04E7E"/>
    <w:rsid w:val="00E04F5E"/>
    <w:rsid w:val="00E050BC"/>
    <w:rsid w:val="00E05119"/>
    <w:rsid w:val="00E05337"/>
    <w:rsid w:val="00E058E2"/>
    <w:rsid w:val="00E0593B"/>
    <w:rsid w:val="00E05CED"/>
    <w:rsid w:val="00E05D0F"/>
    <w:rsid w:val="00E05FDE"/>
    <w:rsid w:val="00E06324"/>
    <w:rsid w:val="00E0653A"/>
    <w:rsid w:val="00E0658D"/>
    <w:rsid w:val="00E06B2E"/>
    <w:rsid w:val="00E06C10"/>
    <w:rsid w:val="00E07610"/>
    <w:rsid w:val="00E0763F"/>
    <w:rsid w:val="00E0774E"/>
    <w:rsid w:val="00E0787D"/>
    <w:rsid w:val="00E07964"/>
    <w:rsid w:val="00E07A76"/>
    <w:rsid w:val="00E07CCD"/>
    <w:rsid w:val="00E07D4B"/>
    <w:rsid w:val="00E100CA"/>
    <w:rsid w:val="00E1027D"/>
    <w:rsid w:val="00E104AA"/>
    <w:rsid w:val="00E104FD"/>
    <w:rsid w:val="00E10609"/>
    <w:rsid w:val="00E106D0"/>
    <w:rsid w:val="00E1074F"/>
    <w:rsid w:val="00E10799"/>
    <w:rsid w:val="00E10E40"/>
    <w:rsid w:val="00E10F71"/>
    <w:rsid w:val="00E10F97"/>
    <w:rsid w:val="00E1109F"/>
    <w:rsid w:val="00E113FE"/>
    <w:rsid w:val="00E11418"/>
    <w:rsid w:val="00E11431"/>
    <w:rsid w:val="00E115B7"/>
    <w:rsid w:val="00E11837"/>
    <w:rsid w:val="00E1186E"/>
    <w:rsid w:val="00E11918"/>
    <w:rsid w:val="00E1198F"/>
    <w:rsid w:val="00E11B00"/>
    <w:rsid w:val="00E11F71"/>
    <w:rsid w:val="00E1200F"/>
    <w:rsid w:val="00E122DC"/>
    <w:rsid w:val="00E12390"/>
    <w:rsid w:val="00E125C1"/>
    <w:rsid w:val="00E126C7"/>
    <w:rsid w:val="00E12F9F"/>
    <w:rsid w:val="00E1316C"/>
    <w:rsid w:val="00E1322D"/>
    <w:rsid w:val="00E132E1"/>
    <w:rsid w:val="00E13385"/>
    <w:rsid w:val="00E1361D"/>
    <w:rsid w:val="00E1384F"/>
    <w:rsid w:val="00E139CF"/>
    <w:rsid w:val="00E13F0C"/>
    <w:rsid w:val="00E1495B"/>
    <w:rsid w:val="00E14B17"/>
    <w:rsid w:val="00E14E36"/>
    <w:rsid w:val="00E14FFE"/>
    <w:rsid w:val="00E15286"/>
    <w:rsid w:val="00E152E8"/>
    <w:rsid w:val="00E15488"/>
    <w:rsid w:val="00E1566E"/>
    <w:rsid w:val="00E1581F"/>
    <w:rsid w:val="00E15991"/>
    <w:rsid w:val="00E159F2"/>
    <w:rsid w:val="00E15A05"/>
    <w:rsid w:val="00E15E67"/>
    <w:rsid w:val="00E160DE"/>
    <w:rsid w:val="00E16493"/>
    <w:rsid w:val="00E165DC"/>
    <w:rsid w:val="00E16635"/>
    <w:rsid w:val="00E16875"/>
    <w:rsid w:val="00E16994"/>
    <w:rsid w:val="00E16B1E"/>
    <w:rsid w:val="00E16D79"/>
    <w:rsid w:val="00E16FC6"/>
    <w:rsid w:val="00E17116"/>
    <w:rsid w:val="00E172C0"/>
    <w:rsid w:val="00E1767F"/>
    <w:rsid w:val="00E17887"/>
    <w:rsid w:val="00E17AA7"/>
    <w:rsid w:val="00E17C84"/>
    <w:rsid w:val="00E17D70"/>
    <w:rsid w:val="00E209C0"/>
    <w:rsid w:val="00E20F24"/>
    <w:rsid w:val="00E21085"/>
    <w:rsid w:val="00E211E9"/>
    <w:rsid w:val="00E212FB"/>
    <w:rsid w:val="00E215B0"/>
    <w:rsid w:val="00E21621"/>
    <w:rsid w:val="00E2167D"/>
    <w:rsid w:val="00E21E52"/>
    <w:rsid w:val="00E22035"/>
    <w:rsid w:val="00E22240"/>
    <w:rsid w:val="00E22345"/>
    <w:rsid w:val="00E223B7"/>
    <w:rsid w:val="00E225C7"/>
    <w:rsid w:val="00E2263D"/>
    <w:rsid w:val="00E22AFE"/>
    <w:rsid w:val="00E22E73"/>
    <w:rsid w:val="00E22EA7"/>
    <w:rsid w:val="00E23024"/>
    <w:rsid w:val="00E235B9"/>
    <w:rsid w:val="00E23D3E"/>
    <w:rsid w:val="00E23DF2"/>
    <w:rsid w:val="00E23E7E"/>
    <w:rsid w:val="00E23F1E"/>
    <w:rsid w:val="00E24492"/>
    <w:rsid w:val="00E24495"/>
    <w:rsid w:val="00E245A3"/>
    <w:rsid w:val="00E24A75"/>
    <w:rsid w:val="00E24A82"/>
    <w:rsid w:val="00E24CBA"/>
    <w:rsid w:val="00E24D38"/>
    <w:rsid w:val="00E25022"/>
    <w:rsid w:val="00E25443"/>
    <w:rsid w:val="00E25BF7"/>
    <w:rsid w:val="00E25FAC"/>
    <w:rsid w:val="00E260B8"/>
    <w:rsid w:val="00E26330"/>
    <w:rsid w:val="00E2640D"/>
    <w:rsid w:val="00E265AC"/>
    <w:rsid w:val="00E2679C"/>
    <w:rsid w:val="00E26887"/>
    <w:rsid w:val="00E26924"/>
    <w:rsid w:val="00E26B65"/>
    <w:rsid w:val="00E26E2A"/>
    <w:rsid w:val="00E26E61"/>
    <w:rsid w:val="00E26EF7"/>
    <w:rsid w:val="00E26F30"/>
    <w:rsid w:val="00E272AB"/>
    <w:rsid w:val="00E272B2"/>
    <w:rsid w:val="00E27715"/>
    <w:rsid w:val="00E27C50"/>
    <w:rsid w:val="00E27ED4"/>
    <w:rsid w:val="00E3049A"/>
    <w:rsid w:val="00E30A28"/>
    <w:rsid w:val="00E30EC1"/>
    <w:rsid w:val="00E31102"/>
    <w:rsid w:val="00E31121"/>
    <w:rsid w:val="00E31125"/>
    <w:rsid w:val="00E311CF"/>
    <w:rsid w:val="00E31246"/>
    <w:rsid w:val="00E312E1"/>
    <w:rsid w:val="00E31626"/>
    <w:rsid w:val="00E318BA"/>
    <w:rsid w:val="00E31BE1"/>
    <w:rsid w:val="00E31F14"/>
    <w:rsid w:val="00E32061"/>
    <w:rsid w:val="00E3208F"/>
    <w:rsid w:val="00E32111"/>
    <w:rsid w:val="00E321BE"/>
    <w:rsid w:val="00E327A3"/>
    <w:rsid w:val="00E32916"/>
    <w:rsid w:val="00E329EB"/>
    <w:rsid w:val="00E32A03"/>
    <w:rsid w:val="00E32A55"/>
    <w:rsid w:val="00E32A62"/>
    <w:rsid w:val="00E32E43"/>
    <w:rsid w:val="00E33523"/>
    <w:rsid w:val="00E33691"/>
    <w:rsid w:val="00E33697"/>
    <w:rsid w:val="00E33918"/>
    <w:rsid w:val="00E33BB5"/>
    <w:rsid w:val="00E33BE7"/>
    <w:rsid w:val="00E33D8A"/>
    <w:rsid w:val="00E33F50"/>
    <w:rsid w:val="00E34196"/>
    <w:rsid w:val="00E34406"/>
    <w:rsid w:val="00E3447F"/>
    <w:rsid w:val="00E34D50"/>
    <w:rsid w:val="00E34D55"/>
    <w:rsid w:val="00E34F07"/>
    <w:rsid w:val="00E34F8E"/>
    <w:rsid w:val="00E350BF"/>
    <w:rsid w:val="00E35566"/>
    <w:rsid w:val="00E35671"/>
    <w:rsid w:val="00E35A0E"/>
    <w:rsid w:val="00E35BB9"/>
    <w:rsid w:val="00E35E4B"/>
    <w:rsid w:val="00E36184"/>
    <w:rsid w:val="00E362C1"/>
    <w:rsid w:val="00E3635A"/>
    <w:rsid w:val="00E366DF"/>
    <w:rsid w:val="00E36766"/>
    <w:rsid w:val="00E36977"/>
    <w:rsid w:val="00E36C9F"/>
    <w:rsid w:val="00E36F03"/>
    <w:rsid w:val="00E36F21"/>
    <w:rsid w:val="00E3700F"/>
    <w:rsid w:val="00E371A3"/>
    <w:rsid w:val="00E376DD"/>
    <w:rsid w:val="00E378B8"/>
    <w:rsid w:val="00E37942"/>
    <w:rsid w:val="00E37A79"/>
    <w:rsid w:val="00E37BC3"/>
    <w:rsid w:val="00E37DE4"/>
    <w:rsid w:val="00E37E10"/>
    <w:rsid w:val="00E404FD"/>
    <w:rsid w:val="00E4050D"/>
    <w:rsid w:val="00E40511"/>
    <w:rsid w:val="00E4058A"/>
    <w:rsid w:val="00E40703"/>
    <w:rsid w:val="00E40A8A"/>
    <w:rsid w:val="00E40CED"/>
    <w:rsid w:val="00E411F3"/>
    <w:rsid w:val="00E413DC"/>
    <w:rsid w:val="00E41420"/>
    <w:rsid w:val="00E416A7"/>
    <w:rsid w:val="00E4180C"/>
    <w:rsid w:val="00E418F4"/>
    <w:rsid w:val="00E41955"/>
    <w:rsid w:val="00E41966"/>
    <w:rsid w:val="00E41E07"/>
    <w:rsid w:val="00E425E3"/>
    <w:rsid w:val="00E4262C"/>
    <w:rsid w:val="00E4274F"/>
    <w:rsid w:val="00E42870"/>
    <w:rsid w:val="00E42C24"/>
    <w:rsid w:val="00E43127"/>
    <w:rsid w:val="00E432AC"/>
    <w:rsid w:val="00E43359"/>
    <w:rsid w:val="00E43366"/>
    <w:rsid w:val="00E4344D"/>
    <w:rsid w:val="00E43628"/>
    <w:rsid w:val="00E437A8"/>
    <w:rsid w:val="00E43D41"/>
    <w:rsid w:val="00E43E8D"/>
    <w:rsid w:val="00E43F4D"/>
    <w:rsid w:val="00E441FC"/>
    <w:rsid w:val="00E44417"/>
    <w:rsid w:val="00E44BCB"/>
    <w:rsid w:val="00E44D1D"/>
    <w:rsid w:val="00E44D2B"/>
    <w:rsid w:val="00E44D70"/>
    <w:rsid w:val="00E44ED5"/>
    <w:rsid w:val="00E45032"/>
    <w:rsid w:val="00E4572F"/>
    <w:rsid w:val="00E459EE"/>
    <w:rsid w:val="00E45CDF"/>
    <w:rsid w:val="00E45D90"/>
    <w:rsid w:val="00E45DA6"/>
    <w:rsid w:val="00E45E42"/>
    <w:rsid w:val="00E46135"/>
    <w:rsid w:val="00E46880"/>
    <w:rsid w:val="00E469CC"/>
    <w:rsid w:val="00E46DAB"/>
    <w:rsid w:val="00E46E1D"/>
    <w:rsid w:val="00E46EAD"/>
    <w:rsid w:val="00E47020"/>
    <w:rsid w:val="00E471DE"/>
    <w:rsid w:val="00E472C6"/>
    <w:rsid w:val="00E473B8"/>
    <w:rsid w:val="00E475BE"/>
    <w:rsid w:val="00E47846"/>
    <w:rsid w:val="00E47A91"/>
    <w:rsid w:val="00E47BD0"/>
    <w:rsid w:val="00E47C3E"/>
    <w:rsid w:val="00E47E61"/>
    <w:rsid w:val="00E47F76"/>
    <w:rsid w:val="00E5021C"/>
    <w:rsid w:val="00E504FE"/>
    <w:rsid w:val="00E50609"/>
    <w:rsid w:val="00E5090A"/>
    <w:rsid w:val="00E50A76"/>
    <w:rsid w:val="00E50BD7"/>
    <w:rsid w:val="00E51001"/>
    <w:rsid w:val="00E51303"/>
    <w:rsid w:val="00E51720"/>
    <w:rsid w:val="00E51757"/>
    <w:rsid w:val="00E51A52"/>
    <w:rsid w:val="00E51CC7"/>
    <w:rsid w:val="00E52040"/>
    <w:rsid w:val="00E5228E"/>
    <w:rsid w:val="00E522B6"/>
    <w:rsid w:val="00E523FE"/>
    <w:rsid w:val="00E528E4"/>
    <w:rsid w:val="00E529EB"/>
    <w:rsid w:val="00E52D6E"/>
    <w:rsid w:val="00E52FB2"/>
    <w:rsid w:val="00E52FD4"/>
    <w:rsid w:val="00E53184"/>
    <w:rsid w:val="00E53752"/>
    <w:rsid w:val="00E5382C"/>
    <w:rsid w:val="00E53A7F"/>
    <w:rsid w:val="00E53C2E"/>
    <w:rsid w:val="00E53CD8"/>
    <w:rsid w:val="00E53DC4"/>
    <w:rsid w:val="00E53DE3"/>
    <w:rsid w:val="00E541D1"/>
    <w:rsid w:val="00E542A4"/>
    <w:rsid w:val="00E5435B"/>
    <w:rsid w:val="00E54421"/>
    <w:rsid w:val="00E544EC"/>
    <w:rsid w:val="00E545DB"/>
    <w:rsid w:val="00E54663"/>
    <w:rsid w:val="00E547B2"/>
    <w:rsid w:val="00E54A5C"/>
    <w:rsid w:val="00E54AFB"/>
    <w:rsid w:val="00E54C3F"/>
    <w:rsid w:val="00E54C9D"/>
    <w:rsid w:val="00E55438"/>
    <w:rsid w:val="00E554E7"/>
    <w:rsid w:val="00E557E7"/>
    <w:rsid w:val="00E55AB8"/>
    <w:rsid w:val="00E55C92"/>
    <w:rsid w:val="00E55FBD"/>
    <w:rsid w:val="00E5603B"/>
    <w:rsid w:val="00E562F5"/>
    <w:rsid w:val="00E56948"/>
    <w:rsid w:val="00E569F8"/>
    <w:rsid w:val="00E56CCA"/>
    <w:rsid w:val="00E5717E"/>
    <w:rsid w:val="00E57462"/>
    <w:rsid w:val="00E574E7"/>
    <w:rsid w:val="00E578B5"/>
    <w:rsid w:val="00E57A7B"/>
    <w:rsid w:val="00E57C09"/>
    <w:rsid w:val="00E6009E"/>
    <w:rsid w:val="00E604AC"/>
    <w:rsid w:val="00E6068D"/>
    <w:rsid w:val="00E609F7"/>
    <w:rsid w:val="00E60AC3"/>
    <w:rsid w:val="00E60C26"/>
    <w:rsid w:val="00E6135F"/>
    <w:rsid w:val="00E61790"/>
    <w:rsid w:val="00E61918"/>
    <w:rsid w:val="00E61D48"/>
    <w:rsid w:val="00E61F4C"/>
    <w:rsid w:val="00E6244D"/>
    <w:rsid w:val="00E62679"/>
    <w:rsid w:val="00E62750"/>
    <w:rsid w:val="00E628B8"/>
    <w:rsid w:val="00E62AB9"/>
    <w:rsid w:val="00E62E7A"/>
    <w:rsid w:val="00E632B0"/>
    <w:rsid w:val="00E63554"/>
    <w:rsid w:val="00E6363F"/>
    <w:rsid w:val="00E63741"/>
    <w:rsid w:val="00E637C6"/>
    <w:rsid w:val="00E63893"/>
    <w:rsid w:val="00E63AAA"/>
    <w:rsid w:val="00E63CFA"/>
    <w:rsid w:val="00E64300"/>
    <w:rsid w:val="00E6446D"/>
    <w:rsid w:val="00E64556"/>
    <w:rsid w:val="00E64687"/>
    <w:rsid w:val="00E64984"/>
    <w:rsid w:val="00E64B0B"/>
    <w:rsid w:val="00E64B62"/>
    <w:rsid w:val="00E64BD3"/>
    <w:rsid w:val="00E64CDA"/>
    <w:rsid w:val="00E64D78"/>
    <w:rsid w:val="00E64F08"/>
    <w:rsid w:val="00E64F93"/>
    <w:rsid w:val="00E65371"/>
    <w:rsid w:val="00E6537C"/>
    <w:rsid w:val="00E65446"/>
    <w:rsid w:val="00E65A1F"/>
    <w:rsid w:val="00E65A84"/>
    <w:rsid w:val="00E65EB1"/>
    <w:rsid w:val="00E65F8E"/>
    <w:rsid w:val="00E65F8F"/>
    <w:rsid w:val="00E663CF"/>
    <w:rsid w:val="00E666ED"/>
    <w:rsid w:val="00E66866"/>
    <w:rsid w:val="00E66879"/>
    <w:rsid w:val="00E66A44"/>
    <w:rsid w:val="00E66AC3"/>
    <w:rsid w:val="00E66BAE"/>
    <w:rsid w:val="00E66DA7"/>
    <w:rsid w:val="00E66EC9"/>
    <w:rsid w:val="00E67107"/>
    <w:rsid w:val="00E67481"/>
    <w:rsid w:val="00E679C7"/>
    <w:rsid w:val="00E67ACD"/>
    <w:rsid w:val="00E67FE2"/>
    <w:rsid w:val="00E70023"/>
    <w:rsid w:val="00E701B7"/>
    <w:rsid w:val="00E7036F"/>
    <w:rsid w:val="00E703A7"/>
    <w:rsid w:val="00E703C2"/>
    <w:rsid w:val="00E7088B"/>
    <w:rsid w:val="00E70A96"/>
    <w:rsid w:val="00E71141"/>
    <w:rsid w:val="00E71207"/>
    <w:rsid w:val="00E712A8"/>
    <w:rsid w:val="00E71320"/>
    <w:rsid w:val="00E713D8"/>
    <w:rsid w:val="00E7154E"/>
    <w:rsid w:val="00E7167A"/>
    <w:rsid w:val="00E7183C"/>
    <w:rsid w:val="00E71A9E"/>
    <w:rsid w:val="00E72105"/>
    <w:rsid w:val="00E721F6"/>
    <w:rsid w:val="00E7224C"/>
    <w:rsid w:val="00E7273A"/>
    <w:rsid w:val="00E72BAF"/>
    <w:rsid w:val="00E72FF7"/>
    <w:rsid w:val="00E73138"/>
    <w:rsid w:val="00E735B6"/>
    <w:rsid w:val="00E735EF"/>
    <w:rsid w:val="00E738F6"/>
    <w:rsid w:val="00E7399C"/>
    <w:rsid w:val="00E73A52"/>
    <w:rsid w:val="00E73BE1"/>
    <w:rsid w:val="00E73CB7"/>
    <w:rsid w:val="00E73CFC"/>
    <w:rsid w:val="00E73E8D"/>
    <w:rsid w:val="00E74169"/>
    <w:rsid w:val="00E74402"/>
    <w:rsid w:val="00E74529"/>
    <w:rsid w:val="00E74966"/>
    <w:rsid w:val="00E74A30"/>
    <w:rsid w:val="00E74AFF"/>
    <w:rsid w:val="00E74B60"/>
    <w:rsid w:val="00E74BB0"/>
    <w:rsid w:val="00E74EC7"/>
    <w:rsid w:val="00E7519E"/>
    <w:rsid w:val="00E75207"/>
    <w:rsid w:val="00E754E7"/>
    <w:rsid w:val="00E755A2"/>
    <w:rsid w:val="00E75688"/>
    <w:rsid w:val="00E7582F"/>
    <w:rsid w:val="00E75894"/>
    <w:rsid w:val="00E758EA"/>
    <w:rsid w:val="00E759A0"/>
    <w:rsid w:val="00E75B05"/>
    <w:rsid w:val="00E75C92"/>
    <w:rsid w:val="00E76039"/>
    <w:rsid w:val="00E76206"/>
    <w:rsid w:val="00E762A9"/>
    <w:rsid w:val="00E763A2"/>
    <w:rsid w:val="00E76422"/>
    <w:rsid w:val="00E76455"/>
    <w:rsid w:val="00E76773"/>
    <w:rsid w:val="00E769F6"/>
    <w:rsid w:val="00E76F2C"/>
    <w:rsid w:val="00E76FBC"/>
    <w:rsid w:val="00E76FEE"/>
    <w:rsid w:val="00E7747C"/>
    <w:rsid w:val="00E77B35"/>
    <w:rsid w:val="00E77B3A"/>
    <w:rsid w:val="00E8058A"/>
    <w:rsid w:val="00E8087C"/>
    <w:rsid w:val="00E80B1B"/>
    <w:rsid w:val="00E80BA1"/>
    <w:rsid w:val="00E80C9F"/>
    <w:rsid w:val="00E8101E"/>
    <w:rsid w:val="00E8118A"/>
    <w:rsid w:val="00E81216"/>
    <w:rsid w:val="00E812CF"/>
    <w:rsid w:val="00E815D3"/>
    <w:rsid w:val="00E81625"/>
    <w:rsid w:val="00E821F9"/>
    <w:rsid w:val="00E823FC"/>
    <w:rsid w:val="00E8271E"/>
    <w:rsid w:val="00E829AD"/>
    <w:rsid w:val="00E82B35"/>
    <w:rsid w:val="00E82B75"/>
    <w:rsid w:val="00E82E71"/>
    <w:rsid w:val="00E8325A"/>
    <w:rsid w:val="00E8341B"/>
    <w:rsid w:val="00E83533"/>
    <w:rsid w:val="00E83597"/>
    <w:rsid w:val="00E835BE"/>
    <w:rsid w:val="00E8375F"/>
    <w:rsid w:val="00E839F2"/>
    <w:rsid w:val="00E83B17"/>
    <w:rsid w:val="00E83C4A"/>
    <w:rsid w:val="00E84538"/>
    <w:rsid w:val="00E84A50"/>
    <w:rsid w:val="00E84C3E"/>
    <w:rsid w:val="00E84C5C"/>
    <w:rsid w:val="00E84C75"/>
    <w:rsid w:val="00E84C96"/>
    <w:rsid w:val="00E84FAF"/>
    <w:rsid w:val="00E852B8"/>
    <w:rsid w:val="00E8580A"/>
    <w:rsid w:val="00E858AD"/>
    <w:rsid w:val="00E86355"/>
    <w:rsid w:val="00E86364"/>
    <w:rsid w:val="00E8641E"/>
    <w:rsid w:val="00E86518"/>
    <w:rsid w:val="00E8652C"/>
    <w:rsid w:val="00E8659F"/>
    <w:rsid w:val="00E86692"/>
    <w:rsid w:val="00E867A7"/>
    <w:rsid w:val="00E868A5"/>
    <w:rsid w:val="00E868B2"/>
    <w:rsid w:val="00E86A08"/>
    <w:rsid w:val="00E86AE7"/>
    <w:rsid w:val="00E86D7B"/>
    <w:rsid w:val="00E86E12"/>
    <w:rsid w:val="00E872E0"/>
    <w:rsid w:val="00E8730E"/>
    <w:rsid w:val="00E87575"/>
    <w:rsid w:val="00E87666"/>
    <w:rsid w:val="00E8787A"/>
    <w:rsid w:val="00E87951"/>
    <w:rsid w:val="00E87DFF"/>
    <w:rsid w:val="00E87EE2"/>
    <w:rsid w:val="00E902FD"/>
    <w:rsid w:val="00E906E7"/>
    <w:rsid w:val="00E907C4"/>
    <w:rsid w:val="00E90A81"/>
    <w:rsid w:val="00E90EA5"/>
    <w:rsid w:val="00E911E4"/>
    <w:rsid w:val="00E91392"/>
    <w:rsid w:val="00E91782"/>
    <w:rsid w:val="00E91F3E"/>
    <w:rsid w:val="00E91F96"/>
    <w:rsid w:val="00E922AD"/>
    <w:rsid w:val="00E92567"/>
    <w:rsid w:val="00E925BB"/>
    <w:rsid w:val="00E9266A"/>
    <w:rsid w:val="00E926DB"/>
    <w:rsid w:val="00E9287A"/>
    <w:rsid w:val="00E92956"/>
    <w:rsid w:val="00E93586"/>
    <w:rsid w:val="00E9373D"/>
    <w:rsid w:val="00E9393C"/>
    <w:rsid w:val="00E93A17"/>
    <w:rsid w:val="00E93D02"/>
    <w:rsid w:val="00E93ED1"/>
    <w:rsid w:val="00E94138"/>
    <w:rsid w:val="00E94150"/>
    <w:rsid w:val="00E94471"/>
    <w:rsid w:val="00E94539"/>
    <w:rsid w:val="00E9488F"/>
    <w:rsid w:val="00E948A0"/>
    <w:rsid w:val="00E94CCB"/>
    <w:rsid w:val="00E94E5B"/>
    <w:rsid w:val="00E95227"/>
    <w:rsid w:val="00E95457"/>
    <w:rsid w:val="00E95471"/>
    <w:rsid w:val="00E954EE"/>
    <w:rsid w:val="00E9559D"/>
    <w:rsid w:val="00E955A4"/>
    <w:rsid w:val="00E95670"/>
    <w:rsid w:val="00E95988"/>
    <w:rsid w:val="00E95A37"/>
    <w:rsid w:val="00E95B33"/>
    <w:rsid w:val="00E95B6C"/>
    <w:rsid w:val="00E96264"/>
    <w:rsid w:val="00E963E1"/>
    <w:rsid w:val="00E963F3"/>
    <w:rsid w:val="00E96471"/>
    <w:rsid w:val="00E96E7A"/>
    <w:rsid w:val="00E9700F"/>
    <w:rsid w:val="00E9729B"/>
    <w:rsid w:val="00E97367"/>
    <w:rsid w:val="00E973A3"/>
    <w:rsid w:val="00E979BC"/>
    <w:rsid w:val="00E97D15"/>
    <w:rsid w:val="00E97DC4"/>
    <w:rsid w:val="00E97DD2"/>
    <w:rsid w:val="00EA0207"/>
    <w:rsid w:val="00EA037A"/>
    <w:rsid w:val="00EA0794"/>
    <w:rsid w:val="00EA083C"/>
    <w:rsid w:val="00EA08CD"/>
    <w:rsid w:val="00EA0922"/>
    <w:rsid w:val="00EA0C31"/>
    <w:rsid w:val="00EA0C73"/>
    <w:rsid w:val="00EA0C81"/>
    <w:rsid w:val="00EA0CA5"/>
    <w:rsid w:val="00EA0D3B"/>
    <w:rsid w:val="00EA0E7A"/>
    <w:rsid w:val="00EA1024"/>
    <w:rsid w:val="00EA12DC"/>
    <w:rsid w:val="00EA1462"/>
    <w:rsid w:val="00EA16D5"/>
    <w:rsid w:val="00EA1BAA"/>
    <w:rsid w:val="00EA1C34"/>
    <w:rsid w:val="00EA1EC7"/>
    <w:rsid w:val="00EA1FDE"/>
    <w:rsid w:val="00EA20ED"/>
    <w:rsid w:val="00EA2143"/>
    <w:rsid w:val="00EA2167"/>
    <w:rsid w:val="00EA2308"/>
    <w:rsid w:val="00EA2344"/>
    <w:rsid w:val="00EA23A5"/>
    <w:rsid w:val="00EA248A"/>
    <w:rsid w:val="00EA256C"/>
    <w:rsid w:val="00EA2577"/>
    <w:rsid w:val="00EA2721"/>
    <w:rsid w:val="00EA2B0E"/>
    <w:rsid w:val="00EA2BC7"/>
    <w:rsid w:val="00EA2BCD"/>
    <w:rsid w:val="00EA2BEC"/>
    <w:rsid w:val="00EA2D28"/>
    <w:rsid w:val="00EA2E79"/>
    <w:rsid w:val="00EA2EDD"/>
    <w:rsid w:val="00EA2F11"/>
    <w:rsid w:val="00EA2F67"/>
    <w:rsid w:val="00EA2FB1"/>
    <w:rsid w:val="00EA3146"/>
    <w:rsid w:val="00EA3326"/>
    <w:rsid w:val="00EA365F"/>
    <w:rsid w:val="00EA36BF"/>
    <w:rsid w:val="00EA3CCE"/>
    <w:rsid w:val="00EA3CDD"/>
    <w:rsid w:val="00EA40B8"/>
    <w:rsid w:val="00EA424C"/>
    <w:rsid w:val="00EA42B4"/>
    <w:rsid w:val="00EA448F"/>
    <w:rsid w:val="00EA4566"/>
    <w:rsid w:val="00EA46D3"/>
    <w:rsid w:val="00EA47F7"/>
    <w:rsid w:val="00EA4878"/>
    <w:rsid w:val="00EA498A"/>
    <w:rsid w:val="00EA4D80"/>
    <w:rsid w:val="00EA4FF8"/>
    <w:rsid w:val="00EA50FC"/>
    <w:rsid w:val="00EA510F"/>
    <w:rsid w:val="00EA512C"/>
    <w:rsid w:val="00EA51E2"/>
    <w:rsid w:val="00EA54EE"/>
    <w:rsid w:val="00EA55CC"/>
    <w:rsid w:val="00EA58FE"/>
    <w:rsid w:val="00EA5A27"/>
    <w:rsid w:val="00EA5B7D"/>
    <w:rsid w:val="00EA5CBC"/>
    <w:rsid w:val="00EA5F13"/>
    <w:rsid w:val="00EA6025"/>
    <w:rsid w:val="00EA604B"/>
    <w:rsid w:val="00EA619A"/>
    <w:rsid w:val="00EA6514"/>
    <w:rsid w:val="00EA6A61"/>
    <w:rsid w:val="00EA6B91"/>
    <w:rsid w:val="00EA6B9A"/>
    <w:rsid w:val="00EA6BD1"/>
    <w:rsid w:val="00EA6C1E"/>
    <w:rsid w:val="00EA7010"/>
    <w:rsid w:val="00EA7394"/>
    <w:rsid w:val="00EA759C"/>
    <w:rsid w:val="00EA766B"/>
    <w:rsid w:val="00EA7802"/>
    <w:rsid w:val="00EA79CD"/>
    <w:rsid w:val="00EB0356"/>
    <w:rsid w:val="00EB0581"/>
    <w:rsid w:val="00EB0B11"/>
    <w:rsid w:val="00EB0EEA"/>
    <w:rsid w:val="00EB10CE"/>
    <w:rsid w:val="00EB117F"/>
    <w:rsid w:val="00EB127A"/>
    <w:rsid w:val="00EB158D"/>
    <w:rsid w:val="00EB1619"/>
    <w:rsid w:val="00EB167B"/>
    <w:rsid w:val="00EB17A4"/>
    <w:rsid w:val="00EB18B5"/>
    <w:rsid w:val="00EB2060"/>
    <w:rsid w:val="00EB218C"/>
    <w:rsid w:val="00EB221A"/>
    <w:rsid w:val="00EB243F"/>
    <w:rsid w:val="00EB26FF"/>
    <w:rsid w:val="00EB270B"/>
    <w:rsid w:val="00EB278E"/>
    <w:rsid w:val="00EB28A9"/>
    <w:rsid w:val="00EB29CF"/>
    <w:rsid w:val="00EB2A6B"/>
    <w:rsid w:val="00EB2C7C"/>
    <w:rsid w:val="00EB2CB6"/>
    <w:rsid w:val="00EB2E4E"/>
    <w:rsid w:val="00EB2F20"/>
    <w:rsid w:val="00EB374B"/>
    <w:rsid w:val="00EB37E8"/>
    <w:rsid w:val="00EB390A"/>
    <w:rsid w:val="00EB391A"/>
    <w:rsid w:val="00EB39EC"/>
    <w:rsid w:val="00EB3C9A"/>
    <w:rsid w:val="00EB3E3B"/>
    <w:rsid w:val="00EB4461"/>
    <w:rsid w:val="00EB44AE"/>
    <w:rsid w:val="00EB4D1C"/>
    <w:rsid w:val="00EB5386"/>
    <w:rsid w:val="00EB5413"/>
    <w:rsid w:val="00EB544D"/>
    <w:rsid w:val="00EB5703"/>
    <w:rsid w:val="00EB5828"/>
    <w:rsid w:val="00EB595C"/>
    <w:rsid w:val="00EB5B54"/>
    <w:rsid w:val="00EB5C23"/>
    <w:rsid w:val="00EB5EFD"/>
    <w:rsid w:val="00EB5FE6"/>
    <w:rsid w:val="00EB637F"/>
    <w:rsid w:val="00EB6666"/>
    <w:rsid w:val="00EB672A"/>
    <w:rsid w:val="00EB6D37"/>
    <w:rsid w:val="00EB6D70"/>
    <w:rsid w:val="00EB6F9E"/>
    <w:rsid w:val="00EB7657"/>
    <w:rsid w:val="00EB76CB"/>
    <w:rsid w:val="00EB7780"/>
    <w:rsid w:val="00EB79B2"/>
    <w:rsid w:val="00EB7A95"/>
    <w:rsid w:val="00EB7A9F"/>
    <w:rsid w:val="00EB7BAC"/>
    <w:rsid w:val="00EB7CFD"/>
    <w:rsid w:val="00EC0030"/>
    <w:rsid w:val="00EC005D"/>
    <w:rsid w:val="00EC01CA"/>
    <w:rsid w:val="00EC039F"/>
    <w:rsid w:val="00EC072E"/>
    <w:rsid w:val="00EC07FC"/>
    <w:rsid w:val="00EC07FD"/>
    <w:rsid w:val="00EC08C4"/>
    <w:rsid w:val="00EC1004"/>
    <w:rsid w:val="00EC1014"/>
    <w:rsid w:val="00EC11EF"/>
    <w:rsid w:val="00EC1358"/>
    <w:rsid w:val="00EC1C61"/>
    <w:rsid w:val="00EC1D90"/>
    <w:rsid w:val="00EC2059"/>
    <w:rsid w:val="00EC21C5"/>
    <w:rsid w:val="00EC2621"/>
    <w:rsid w:val="00EC2B01"/>
    <w:rsid w:val="00EC2E24"/>
    <w:rsid w:val="00EC2EFE"/>
    <w:rsid w:val="00EC2F05"/>
    <w:rsid w:val="00EC3282"/>
    <w:rsid w:val="00EC3486"/>
    <w:rsid w:val="00EC34D6"/>
    <w:rsid w:val="00EC360A"/>
    <w:rsid w:val="00EC3AD9"/>
    <w:rsid w:val="00EC3BCB"/>
    <w:rsid w:val="00EC3DAC"/>
    <w:rsid w:val="00EC3E69"/>
    <w:rsid w:val="00EC41D5"/>
    <w:rsid w:val="00EC421E"/>
    <w:rsid w:val="00EC44A3"/>
    <w:rsid w:val="00EC44D9"/>
    <w:rsid w:val="00EC4815"/>
    <w:rsid w:val="00EC48D5"/>
    <w:rsid w:val="00EC49B8"/>
    <w:rsid w:val="00EC4A45"/>
    <w:rsid w:val="00EC4AE5"/>
    <w:rsid w:val="00EC5008"/>
    <w:rsid w:val="00EC5275"/>
    <w:rsid w:val="00EC576E"/>
    <w:rsid w:val="00EC5AB7"/>
    <w:rsid w:val="00EC5CE1"/>
    <w:rsid w:val="00EC5D36"/>
    <w:rsid w:val="00EC5E04"/>
    <w:rsid w:val="00EC62E4"/>
    <w:rsid w:val="00EC65F2"/>
    <w:rsid w:val="00EC6787"/>
    <w:rsid w:val="00EC6B89"/>
    <w:rsid w:val="00EC747A"/>
    <w:rsid w:val="00EC750D"/>
    <w:rsid w:val="00EC7580"/>
    <w:rsid w:val="00EC7640"/>
    <w:rsid w:val="00EC791E"/>
    <w:rsid w:val="00EC7953"/>
    <w:rsid w:val="00EC7963"/>
    <w:rsid w:val="00EC7974"/>
    <w:rsid w:val="00EC79DC"/>
    <w:rsid w:val="00EC7B91"/>
    <w:rsid w:val="00EC7BA5"/>
    <w:rsid w:val="00EC7CE9"/>
    <w:rsid w:val="00EC7ED0"/>
    <w:rsid w:val="00ED0285"/>
    <w:rsid w:val="00ED0469"/>
    <w:rsid w:val="00ED051B"/>
    <w:rsid w:val="00ED06D6"/>
    <w:rsid w:val="00ED09E4"/>
    <w:rsid w:val="00ED0C3D"/>
    <w:rsid w:val="00ED0FD8"/>
    <w:rsid w:val="00ED166A"/>
    <w:rsid w:val="00ED16CC"/>
    <w:rsid w:val="00ED1BD9"/>
    <w:rsid w:val="00ED1BEA"/>
    <w:rsid w:val="00ED1D2A"/>
    <w:rsid w:val="00ED1E58"/>
    <w:rsid w:val="00ED224A"/>
    <w:rsid w:val="00ED251E"/>
    <w:rsid w:val="00ED2558"/>
    <w:rsid w:val="00ED27B0"/>
    <w:rsid w:val="00ED2B6B"/>
    <w:rsid w:val="00ED2D87"/>
    <w:rsid w:val="00ED2DA4"/>
    <w:rsid w:val="00ED2E3F"/>
    <w:rsid w:val="00ED2F5E"/>
    <w:rsid w:val="00ED2FB8"/>
    <w:rsid w:val="00ED3045"/>
    <w:rsid w:val="00ED3474"/>
    <w:rsid w:val="00ED36B9"/>
    <w:rsid w:val="00ED376C"/>
    <w:rsid w:val="00ED3810"/>
    <w:rsid w:val="00ED3C9F"/>
    <w:rsid w:val="00ED4189"/>
    <w:rsid w:val="00ED41C8"/>
    <w:rsid w:val="00ED44F6"/>
    <w:rsid w:val="00ED47FE"/>
    <w:rsid w:val="00ED4872"/>
    <w:rsid w:val="00ED4B1C"/>
    <w:rsid w:val="00ED4B61"/>
    <w:rsid w:val="00ED5175"/>
    <w:rsid w:val="00ED52AE"/>
    <w:rsid w:val="00ED5711"/>
    <w:rsid w:val="00ED5A2C"/>
    <w:rsid w:val="00ED5DD8"/>
    <w:rsid w:val="00ED6057"/>
    <w:rsid w:val="00ED60FC"/>
    <w:rsid w:val="00ED636A"/>
    <w:rsid w:val="00ED6587"/>
    <w:rsid w:val="00ED669F"/>
    <w:rsid w:val="00ED66C1"/>
    <w:rsid w:val="00ED678B"/>
    <w:rsid w:val="00ED6898"/>
    <w:rsid w:val="00ED6948"/>
    <w:rsid w:val="00ED6AFE"/>
    <w:rsid w:val="00ED6E8E"/>
    <w:rsid w:val="00ED6F09"/>
    <w:rsid w:val="00ED75D2"/>
    <w:rsid w:val="00ED7843"/>
    <w:rsid w:val="00ED7FE5"/>
    <w:rsid w:val="00EE0295"/>
    <w:rsid w:val="00EE06DF"/>
    <w:rsid w:val="00EE086E"/>
    <w:rsid w:val="00EE099E"/>
    <w:rsid w:val="00EE09B3"/>
    <w:rsid w:val="00EE09DC"/>
    <w:rsid w:val="00EE0CB4"/>
    <w:rsid w:val="00EE0E92"/>
    <w:rsid w:val="00EE0EE4"/>
    <w:rsid w:val="00EE0FEB"/>
    <w:rsid w:val="00EE1038"/>
    <w:rsid w:val="00EE10A8"/>
    <w:rsid w:val="00EE1108"/>
    <w:rsid w:val="00EE1144"/>
    <w:rsid w:val="00EE11B5"/>
    <w:rsid w:val="00EE1258"/>
    <w:rsid w:val="00EE1614"/>
    <w:rsid w:val="00EE19A6"/>
    <w:rsid w:val="00EE19DB"/>
    <w:rsid w:val="00EE1A99"/>
    <w:rsid w:val="00EE1BBB"/>
    <w:rsid w:val="00EE1C67"/>
    <w:rsid w:val="00EE1CD4"/>
    <w:rsid w:val="00EE2241"/>
    <w:rsid w:val="00EE25FC"/>
    <w:rsid w:val="00EE2801"/>
    <w:rsid w:val="00EE29F5"/>
    <w:rsid w:val="00EE2AD6"/>
    <w:rsid w:val="00EE2C70"/>
    <w:rsid w:val="00EE2C89"/>
    <w:rsid w:val="00EE2CEA"/>
    <w:rsid w:val="00EE2D5B"/>
    <w:rsid w:val="00EE2DD3"/>
    <w:rsid w:val="00EE2F1F"/>
    <w:rsid w:val="00EE2FD3"/>
    <w:rsid w:val="00EE31F2"/>
    <w:rsid w:val="00EE32E9"/>
    <w:rsid w:val="00EE341A"/>
    <w:rsid w:val="00EE3601"/>
    <w:rsid w:val="00EE3796"/>
    <w:rsid w:val="00EE37AA"/>
    <w:rsid w:val="00EE38A4"/>
    <w:rsid w:val="00EE3E0D"/>
    <w:rsid w:val="00EE3EC9"/>
    <w:rsid w:val="00EE3FF7"/>
    <w:rsid w:val="00EE430D"/>
    <w:rsid w:val="00EE4457"/>
    <w:rsid w:val="00EE462C"/>
    <w:rsid w:val="00EE465C"/>
    <w:rsid w:val="00EE487A"/>
    <w:rsid w:val="00EE49E1"/>
    <w:rsid w:val="00EE4CDB"/>
    <w:rsid w:val="00EE5241"/>
    <w:rsid w:val="00EE53AD"/>
    <w:rsid w:val="00EE5521"/>
    <w:rsid w:val="00EE5643"/>
    <w:rsid w:val="00EE593A"/>
    <w:rsid w:val="00EE5B46"/>
    <w:rsid w:val="00EE5CDB"/>
    <w:rsid w:val="00EE5CDC"/>
    <w:rsid w:val="00EE5F9D"/>
    <w:rsid w:val="00EE62BB"/>
    <w:rsid w:val="00EE642D"/>
    <w:rsid w:val="00EE661C"/>
    <w:rsid w:val="00EE676E"/>
    <w:rsid w:val="00EE6A33"/>
    <w:rsid w:val="00EE6AA3"/>
    <w:rsid w:val="00EE6B87"/>
    <w:rsid w:val="00EE6C09"/>
    <w:rsid w:val="00EE6F42"/>
    <w:rsid w:val="00EE70E9"/>
    <w:rsid w:val="00EE71F5"/>
    <w:rsid w:val="00EE7366"/>
    <w:rsid w:val="00EE74A4"/>
    <w:rsid w:val="00EE74D1"/>
    <w:rsid w:val="00EE76A9"/>
    <w:rsid w:val="00EE76E5"/>
    <w:rsid w:val="00EE7702"/>
    <w:rsid w:val="00EE7739"/>
    <w:rsid w:val="00EE773D"/>
    <w:rsid w:val="00EE77DC"/>
    <w:rsid w:val="00EE78C1"/>
    <w:rsid w:val="00EE79E9"/>
    <w:rsid w:val="00EE7C29"/>
    <w:rsid w:val="00EE7CBC"/>
    <w:rsid w:val="00EE7D32"/>
    <w:rsid w:val="00EF0003"/>
    <w:rsid w:val="00EF0077"/>
    <w:rsid w:val="00EF01F4"/>
    <w:rsid w:val="00EF031B"/>
    <w:rsid w:val="00EF063F"/>
    <w:rsid w:val="00EF0725"/>
    <w:rsid w:val="00EF07E7"/>
    <w:rsid w:val="00EF09E8"/>
    <w:rsid w:val="00EF0B41"/>
    <w:rsid w:val="00EF10A8"/>
    <w:rsid w:val="00EF1201"/>
    <w:rsid w:val="00EF170C"/>
    <w:rsid w:val="00EF177D"/>
    <w:rsid w:val="00EF26EC"/>
    <w:rsid w:val="00EF29AF"/>
    <w:rsid w:val="00EF2BC1"/>
    <w:rsid w:val="00EF2D00"/>
    <w:rsid w:val="00EF2DFC"/>
    <w:rsid w:val="00EF34FA"/>
    <w:rsid w:val="00EF362F"/>
    <w:rsid w:val="00EF3BA9"/>
    <w:rsid w:val="00EF3C1D"/>
    <w:rsid w:val="00EF4094"/>
    <w:rsid w:val="00EF41DD"/>
    <w:rsid w:val="00EF42F0"/>
    <w:rsid w:val="00EF432E"/>
    <w:rsid w:val="00EF433C"/>
    <w:rsid w:val="00EF4E4B"/>
    <w:rsid w:val="00EF4EA5"/>
    <w:rsid w:val="00EF4F84"/>
    <w:rsid w:val="00EF508E"/>
    <w:rsid w:val="00EF50D8"/>
    <w:rsid w:val="00EF51DE"/>
    <w:rsid w:val="00EF5397"/>
    <w:rsid w:val="00EF5723"/>
    <w:rsid w:val="00EF5D88"/>
    <w:rsid w:val="00EF5E43"/>
    <w:rsid w:val="00EF6072"/>
    <w:rsid w:val="00EF616F"/>
    <w:rsid w:val="00EF6424"/>
    <w:rsid w:val="00EF642E"/>
    <w:rsid w:val="00EF682D"/>
    <w:rsid w:val="00EF6848"/>
    <w:rsid w:val="00EF6AED"/>
    <w:rsid w:val="00EF7184"/>
    <w:rsid w:val="00EF7200"/>
    <w:rsid w:val="00EF7266"/>
    <w:rsid w:val="00EF726B"/>
    <w:rsid w:val="00EF7725"/>
    <w:rsid w:val="00EF78AE"/>
    <w:rsid w:val="00EF78F3"/>
    <w:rsid w:val="00EF7A9A"/>
    <w:rsid w:val="00EF7B64"/>
    <w:rsid w:val="00EF7B80"/>
    <w:rsid w:val="00EF7BA0"/>
    <w:rsid w:val="00EF7E02"/>
    <w:rsid w:val="00F00000"/>
    <w:rsid w:val="00F00319"/>
    <w:rsid w:val="00F00535"/>
    <w:rsid w:val="00F0064A"/>
    <w:rsid w:val="00F00657"/>
    <w:rsid w:val="00F00F03"/>
    <w:rsid w:val="00F00F2D"/>
    <w:rsid w:val="00F00FF8"/>
    <w:rsid w:val="00F011A0"/>
    <w:rsid w:val="00F01228"/>
    <w:rsid w:val="00F0131D"/>
    <w:rsid w:val="00F01428"/>
    <w:rsid w:val="00F0169D"/>
    <w:rsid w:val="00F0189F"/>
    <w:rsid w:val="00F0209C"/>
    <w:rsid w:val="00F0245F"/>
    <w:rsid w:val="00F02649"/>
    <w:rsid w:val="00F0275A"/>
    <w:rsid w:val="00F02A5D"/>
    <w:rsid w:val="00F02C8E"/>
    <w:rsid w:val="00F0321F"/>
    <w:rsid w:val="00F0326B"/>
    <w:rsid w:val="00F03563"/>
    <w:rsid w:val="00F038CF"/>
    <w:rsid w:val="00F03A88"/>
    <w:rsid w:val="00F03C8F"/>
    <w:rsid w:val="00F04292"/>
    <w:rsid w:val="00F042AF"/>
    <w:rsid w:val="00F04421"/>
    <w:rsid w:val="00F04539"/>
    <w:rsid w:val="00F04809"/>
    <w:rsid w:val="00F04A9A"/>
    <w:rsid w:val="00F04B5F"/>
    <w:rsid w:val="00F04C82"/>
    <w:rsid w:val="00F04FB1"/>
    <w:rsid w:val="00F050BA"/>
    <w:rsid w:val="00F051C9"/>
    <w:rsid w:val="00F0523F"/>
    <w:rsid w:val="00F054F4"/>
    <w:rsid w:val="00F0565E"/>
    <w:rsid w:val="00F05997"/>
    <w:rsid w:val="00F05CA6"/>
    <w:rsid w:val="00F0627B"/>
    <w:rsid w:val="00F063D2"/>
    <w:rsid w:val="00F06441"/>
    <w:rsid w:val="00F06553"/>
    <w:rsid w:val="00F06684"/>
    <w:rsid w:val="00F067E9"/>
    <w:rsid w:val="00F0685C"/>
    <w:rsid w:val="00F06CB7"/>
    <w:rsid w:val="00F06CCE"/>
    <w:rsid w:val="00F06DEC"/>
    <w:rsid w:val="00F07018"/>
    <w:rsid w:val="00F07448"/>
    <w:rsid w:val="00F0763E"/>
    <w:rsid w:val="00F077CD"/>
    <w:rsid w:val="00F0795F"/>
    <w:rsid w:val="00F07C95"/>
    <w:rsid w:val="00F07D51"/>
    <w:rsid w:val="00F10204"/>
    <w:rsid w:val="00F104C2"/>
    <w:rsid w:val="00F104F6"/>
    <w:rsid w:val="00F10597"/>
    <w:rsid w:val="00F10718"/>
    <w:rsid w:val="00F1092C"/>
    <w:rsid w:val="00F10B13"/>
    <w:rsid w:val="00F10CA5"/>
    <w:rsid w:val="00F10ED1"/>
    <w:rsid w:val="00F10EE9"/>
    <w:rsid w:val="00F1107D"/>
    <w:rsid w:val="00F110BE"/>
    <w:rsid w:val="00F1122B"/>
    <w:rsid w:val="00F113B3"/>
    <w:rsid w:val="00F114A8"/>
    <w:rsid w:val="00F1150E"/>
    <w:rsid w:val="00F11651"/>
    <w:rsid w:val="00F116BE"/>
    <w:rsid w:val="00F117CD"/>
    <w:rsid w:val="00F11AA7"/>
    <w:rsid w:val="00F11C6B"/>
    <w:rsid w:val="00F11CED"/>
    <w:rsid w:val="00F11E19"/>
    <w:rsid w:val="00F11E6A"/>
    <w:rsid w:val="00F1204A"/>
    <w:rsid w:val="00F121BA"/>
    <w:rsid w:val="00F122D2"/>
    <w:rsid w:val="00F125FC"/>
    <w:rsid w:val="00F126FD"/>
    <w:rsid w:val="00F12940"/>
    <w:rsid w:val="00F129BE"/>
    <w:rsid w:val="00F12B89"/>
    <w:rsid w:val="00F12C40"/>
    <w:rsid w:val="00F131AB"/>
    <w:rsid w:val="00F136A9"/>
    <w:rsid w:val="00F13872"/>
    <w:rsid w:val="00F138DD"/>
    <w:rsid w:val="00F13C76"/>
    <w:rsid w:val="00F13EB2"/>
    <w:rsid w:val="00F140DF"/>
    <w:rsid w:val="00F1414E"/>
    <w:rsid w:val="00F144A5"/>
    <w:rsid w:val="00F14583"/>
    <w:rsid w:val="00F145C3"/>
    <w:rsid w:val="00F14628"/>
    <w:rsid w:val="00F146AD"/>
    <w:rsid w:val="00F14713"/>
    <w:rsid w:val="00F1476D"/>
    <w:rsid w:val="00F1490D"/>
    <w:rsid w:val="00F14A58"/>
    <w:rsid w:val="00F14AE7"/>
    <w:rsid w:val="00F14B1C"/>
    <w:rsid w:val="00F15034"/>
    <w:rsid w:val="00F151A8"/>
    <w:rsid w:val="00F152FC"/>
    <w:rsid w:val="00F153D7"/>
    <w:rsid w:val="00F1548D"/>
    <w:rsid w:val="00F154AA"/>
    <w:rsid w:val="00F154E0"/>
    <w:rsid w:val="00F1558A"/>
    <w:rsid w:val="00F15A87"/>
    <w:rsid w:val="00F15DE3"/>
    <w:rsid w:val="00F15F3E"/>
    <w:rsid w:val="00F1631C"/>
    <w:rsid w:val="00F16343"/>
    <w:rsid w:val="00F16734"/>
    <w:rsid w:val="00F167D5"/>
    <w:rsid w:val="00F16A91"/>
    <w:rsid w:val="00F16D9E"/>
    <w:rsid w:val="00F16EA2"/>
    <w:rsid w:val="00F170A1"/>
    <w:rsid w:val="00F17260"/>
    <w:rsid w:val="00F173A6"/>
    <w:rsid w:val="00F17482"/>
    <w:rsid w:val="00F174DD"/>
    <w:rsid w:val="00F178CB"/>
    <w:rsid w:val="00F17999"/>
    <w:rsid w:val="00F17C65"/>
    <w:rsid w:val="00F17E09"/>
    <w:rsid w:val="00F20111"/>
    <w:rsid w:val="00F2013E"/>
    <w:rsid w:val="00F204D7"/>
    <w:rsid w:val="00F20DBD"/>
    <w:rsid w:val="00F20E06"/>
    <w:rsid w:val="00F20E34"/>
    <w:rsid w:val="00F20FD9"/>
    <w:rsid w:val="00F210FE"/>
    <w:rsid w:val="00F211B3"/>
    <w:rsid w:val="00F211DD"/>
    <w:rsid w:val="00F2121A"/>
    <w:rsid w:val="00F2135B"/>
    <w:rsid w:val="00F2184E"/>
    <w:rsid w:val="00F219D7"/>
    <w:rsid w:val="00F21A68"/>
    <w:rsid w:val="00F221B4"/>
    <w:rsid w:val="00F22489"/>
    <w:rsid w:val="00F224A0"/>
    <w:rsid w:val="00F224BC"/>
    <w:rsid w:val="00F22681"/>
    <w:rsid w:val="00F226F6"/>
    <w:rsid w:val="00F2286A"/>
    <w:rsid w:val="00F22875"/>
    <w:rsid w:val="00F22925"/>
    <w:rsid w:val="00F22BA7"/>
    <w:rsid w:val="00F22C76"/>
    <w:rsid w:val="00F234A8"/>
    <w:rsid w:val="00F23540"/>
    <w:rsid w:val="00F237A8"/>
    <w:rsid w:val="00F2390A"/>
    <w:rsid w:val="00F239BB"/>
    <w:rsid w:val="00F23A57"/>
    <w:rsid w:val="00F23B7D"/>
    <w:rsid w:val="00F23C30"/>
    <w:rsid w:val="00F23EFD"/>
    <w:rsid w:val="00F2427C"/>
    <w:rsid w:val="00F246C5"/>
    <w:rsid w:val="00F24A81"/>
    <w:rsid w:val="00F24B37"/>
    <w:rsid w:val="00F24EF3"/>
    <w:rsid w:val="00F2519D"/>
    <w:rsid w:val="00F256CC"/>
    <w:rsid w:val="00F257D0"/>
    <w:rsid w:val="00F25AA4"/>
    <w:rsid w:val="00F261A7"/>
    <w:rsid w:val="00F26291"/>
    <w:rsid w:val="00F264AA"/>
    <w:rsid w:val="00F2654A"/>
    <w:rsid w:val="00F26659"/>
    <w:rsid w:val="00F267D8"/>
    <w:rsid w:val="00F26E42"/>
    <w:rsid w:val="00F270AB"/>
    <w:rsid w:val="00F27738"/>
    <w:rsid w:val="00F27A29"/>
    <w:rsid w:val="00F27ABF"/>
    <w:rsid w:val="00F27E00"/>
    <w:rsid w:val="00F27E12"/>
    <w:rsid w:val="00F3010E"/>
    <w:rsid w:val="00F30152"/>
    <w:rsid w:val="00F301B7"/>
    <w:rsid w:val="00F301E2"/>
    <w:rsid w:val="00F3038E"/>
    <w:rsid w:val="00F30492"/>
    <w:rsid w:val="00F30516"/>
    <w:rsid w:val="00F3058B"/>
    <w:rsid w:val="00F30656"/>
    <w:rsid w:val="00F30731"/>
    <w:rsid w:val="00F3073D"/>
    <w:rsid w:val="00F30753"/>
    <w:rsid w:val="00F30904"/>
    <w:rsid w:val="00F309EF"/>
    <w:rsid w:val="00F30AB8"/>
    <w:rsid w:val="00F30B39"/>
    <w:rsid w:val="00F30D03"/>
    <w:rsid w:val="00F30D05"/>
    <w:rsid w:val="00F310FD"/>
    <w:rsid w:val="00F314D1"/>
    <w:rsid w:val="00F314E9"/>
    <w:rsid w:val="00F31EDF"/>
    <w:rsid w:val="00F31F19"/>
    <w:rsid w:val="00F3226A"/>
    <w:rsid w:val="00F328A7"/>
    <w:rsid w:val="00F32B72"/>
    <w:rsid w:val="00F32CE0"/>
    <w:rsid w:val="00F330D1"/>
    <w:rsid w:val="00F33250"/>
    <w:rsid w:val="00F338FF"/>
    <w:rsid w:val="00F33DE6"/>
    <w:rsid w:val="00F3427D"/>
    <w:rsid w:val="00F34339"/>
    <w:rsid w:val="00F34429"/>
    <w:rsid w:val="00F34460"/>
    <w:rsid w:val="00F34700"/>
    <w:rsid w:val="00F347DE"/>
    <w:rsid w:val="00F34A57"/>
    <w:rsid w:val="00F34D5C"/>
    <w:rsid w:val="00F34D63"/>
    <w:rsid w:val="00F3505D"/>
    <w:rsid w:val="00F350DC"/>
    <w:rsid w:val="00F3518C"/>
    <w:rsid w:val="00F35289"/>
    <w:rsid w:val="00F35581"/>
    <w:rsid w:val="00F3578B"/>
    <w:rsid w:val="00F357DD"/>
    <w:rsid w:val="00F357F8"/>
    <w:rsid w:val="00F35991"/>
    <w:rsid w:val="00F359F2"/>
    <w:rsid w:val="00F35B79"/>
    <w:rsid w:val="00F35D5E"/>
    <w:rsid w:val="00F35D7A"/>
    <w:rsid w:val="00F36167"/>
    <w:rsid w:val="00F36996"/>
    <w:rsid w:val="00F36DB4"/>
    <w:rsid w:val="00F36E9F"/>
    <w:rsid w:val="00F36F80"/>
    <w:rsid w:val="00F36F94"/>
    <w:rsid w:val="00F3714C"/>
    <w:rsid w:val="00F37926"/>
    <w:rsid w:val="00F37A47"/>
    <w:rsid w:val="00F37C0C"/>
    <w:rsid w:val="00F37CFA"/>
    <w:rsid w:val="00F37D1C"/>
    <w:rsid w:val="00F37E6E"/>
    <w:rsid w:val="00F40022"/>
    <w:rsid w:val="00F40669"/>
    <w:rsid w:val="00F40705"/>
    <w:rsid w:val="00F40846"/>
    <w:rsid w:val="00F409D0"/>
    <w:rsid w:val="00F40B03"/>
    <w:rsid w:val="00F40C88"/>
    <w:rsid w:val="00F41199"/>
    <w:rsid w:val="00F41330"/>
    <w:rsid w:val="00F41566"/>
    <w:rsid w:val="00F41574"/>
    <w:rsid w:val="00F415B6"/>
    <w:rsid w:val="00F4169C"/>
    <w:rsid w:val="00F41733"/>
    <w:rsid w:val="00F41959"/>
    <w:rsid w:val="00F41AB9"/>
    <w:rsid w:val="00F41E44"/>
    <w:rsid w:val="00F41FB4"/>
    <w:rsid w:val="00F42158"/>
    <w:rsid w:val="00F421C6"/>
    <w:rsid w:val="00F42224"/>
    <w:rsid w:val="00F42480"/>
    <w:rsid w:val="00F42705"/>
    <w:rsid w:val="00F4289B"/>
    <w:rsid w:val="00F429FA"/>
    <w:rsid w:val="00F42A16"/>
    <w:rsid w:val="00F42A4E"/>
    <w:rsid w:val="00F42A9C"/>
    <w:rsid w:val="00F42DA9"/>
    <w:rsid w:val="00F43244"/>
    <w:rsid w:val="00F433C9"/>
    <w:rsid w:val="00F43422"/>
    <w:rsid w:val="00F43447"/>
    <w:rsid w:val="00F434FD"/>
    <w:rsid w:val="00F43597"/>
    <w:rsid w:val="00F43742"/>
    <w:rsid w:val="00F4389B"/>
    <w:rsid w:val="00F438E6"/>
    <w:rsid w:val="00F43AA5"/>
    <w:rsid w:val="00F43DE7"/>
    <w:rsid w:val="00F44121"/>
    <w:rsid w:val="00F441BD"/>
    <w:rsid w:val="00F4467E"/>
    <w:rsid w:val="00F44728"/>
    <w:rsid w:val="00F44CE0"/>
    <w:rsid w:val="00F44D26"/>
    <w:rsid w:val="00F450BD"/>
    <w:rsid w:val="00F450FF"/>
    <w:rsid w:val="00F45315"/>
    <w:rsid w:val="00F45424"/>
    <w:rsid w:val="00F4545E"/>
    <w:rsid w:val="00F454E6"/>
    <w:rsid w:val="00F45AFD"/>
    <w:rsid w:val="00F45DE1"/>
    <w:rsid w:val="00F4604E"/>
    <w:rsid w:val="00F460E7"/>
    <w:rsid w:val="00F46354"/>
    <w:rsid w:val="00F46412"/>
    <w:rsid w:val="00F46489"/>
    <w:rsid w:val="00F469E0"/>
    <w:rsid w:val="00F46A0D"/>
    <w:rsid w:val="00F46A20"/>
    <w:rsid w:val="00F46B67"/>
    <w:rsid w:val="00F46B71"/>
    <w:rsid w:val="00F46D2A"/>
    <w:rsid w:val="00F4745D"/>
    <w:rsid w:val="00F474E8"/>
    <w:rsid w:val="00F479CB"/>
    <w:rsid w:val="00F47EF5"/>
    <w:rsid w:val="00F50088"/>
    <w:rsid w:val="00F500BE"/>
    <w:rsid w:val="00F50135"/>
    <w:rsid w:val="00F50333"/>
    <w:rsid w:val="00F5069D"/>
    <w:rsid w:val="00F5076A"/>
    <w:rsid w:val="00F50906"/>
    <w:rsid w:val="00F50B68"/>
    <w:rsid w:val="00F50F41"/>
    <w:rsid w:val="00F51203"/>
    <w:rsid w:val="00F5123B"/>
    <w:rsid w:val="00F5132B"/>
    <w:rsid w:val="00F51433"/>
    <w:rsid w:val="00F51577"/>
    <w:rsid w:val="00F51579"/>
    <w:rsid w:val="00F515B7"/>
    <w:rsid w:val="00F517A2"/>
    <w:rsid w:val="00F51AA1"/>
    <w:rsid w:val="00F51B6E"/>
    <w:rsid w:val="00F51DCE"/>
    <w:rsid w:val="00F52097"/>
    <w:rsid w:val="00F522ED"/>
    <w:rsid w:val="00F5242E"/>
    <w:rsid w:val="00F52449"/>
    <w:rsid w:val="00F52462"/>
    <w:rsid w:val="00F526C6"/>
    <w:rsid w:val="00F52741"/>
    <w:rsid w:val="00F5286F"/>
    <w:rsid w:val="00F52F5C"/>
    <w:rsid w:val="00F53030"/>
    <w:rsid w:val="00F53300"/>
    <w:rsid w:val="00F533AF"/>
    <w:rsid w:val="00F53649"/>
    <w:rsid w:val="00F5379F"/>
    <w:rsid w:val="00F537F4"/>
    <w:rsid w:val="00F538D0"/>
    <w:rsid w:val="00F539DB"/>
    <w:rsid w:val="00F53DCB"/>
    <w:rsid w:val="00F5416B"/>
    <w:rsid w:val="00F5426C"/>
    <w:rsid w:val="00F5440C"/>
    <w:rsid w:val="00F5443F"/>
    <w:rsid w:val="00F54443"/>
    <w:rsid w:val="00F544B4"/>
    <w:rsid w:val="00F545A6"/>
    <w:rsid w:val="00F546F1"/>
    <w:rsid w:val="00F54A41"/>
    <w:rsid w:val="00F54CCC"/>
    <w:rsid w:val="00F54E8E"/>
    <w:rsid w:val="00F54F7D"/>
    <w:rsid w:val="00F55271"/>
    <w:rsid w:val="00F553F7"/>
    <w:rsid w:val="00F55588"/>
    <w:rsid w:val="00F55AAA"/>
    <w:rsid w:val="00F55C86"/>
    <w:rsid w:val="00F55EE3"/>
    <w:rsid w:val="00F55F80"/>
    <w:rsid w:val="00F55FE9"/>
    <w:rsid w:val="00F5608F"/>
    <w:rsid w:val="00F56142"/>
    <w:rsid w:val="00F562A9"/>
    <w:rsid w:val="00F56506"/>
    <w:rsid w:val="00F56614"/>
    <w:rsid w:val="00F56A18"/>
    <w:rsid w:val="00F56AA0"/>
    <w:rsid w:val="00F56C27"/>
    <w:rsid w:val="00F56C6A"/>
    <w:rsid w:val="00F56C96"/>
    <w:rsid w:val="00F56CA6"/>
    <w:rsid w:val="00F57105"/>
    <w:rsid w:val="00F57157"/>
    <w:rsid w:val="00F571BA"/>
    <w:rsid w:val="00F572E2"/>
    <w:rsid w:val="00F573E4"/>
    <w:rsid w:val="00F5765E"/>
    <w:rsid w:val="00F57683"/>
    <w:rsid w:val="00F57940"/>
    <w:rsid w:val="00F579A2"/>
    <w:rsid w:val="00F57B94"/>
    <w:rsid w:val="00F57D63"/>
    <w:rsid w:val="00F57DC5"/>
    <w:rsid w:val="00F57F43"/>
    <w:rsid w:val="00F57FE2"/>
    <w:rsid w:val="00F60130"/>
    <w:rsid w:val="00F60238"/>
    <w:rsid w:val="00F6036A"/>
    <w:rsid w:val="00F6048B"/>
    <w:rsid w:val="00F60924"/>
    <w:rsid w:val="00F609D0"/>
    <w:rsid w:val="00F60D06"/>
    <w:rsid w:val="00F61038"/>
    <w:rsid w:val="00F611D6"/>
    <w:rsid w:val="00F61546"/>
    <w:rsid w:val="00F615EA"/>
    <w:rsid w:val="00F619F9"/>
    <w:rsid w:val="00F61EC5"/>
    <w:rsid w:val="00F61F4D"/>
    <w:rsid w:val="00F62521"/>
    <w:rsid w:val="00F627A9"/>
    <w:rsid w:val="00F627ED"/>
    <w:rsid w:val="00F62849"/>
    <w:rsid w:val="00F62D62"/>
    <w:rsid w:val="00F63308"/>
    <w:rsid w:val="00F63375"/>
    <w:rsid w:val="00F63632"/>
    <w:rsid w:val="00F636DC"/>
    <w:rsid w:val="00F63914"/>
    <w:rsid w:val="00F63A4A"/>
    <w:rsid w:val="00F63A80"/>
    <w:rsid w:val="00F63C01"/>
    <w:rsid w:val="00F63E62"/>
    <w:rsid w:val="00F63E65"/>
    <w:rsid w:val="00F64382"/>
    <w:rsid w:val="00F6446C"/>
    <w:rsid w:val="00F6459A"/>
    <w:rsid w:val="00F6467B"/>
    <w:rsid w:val="00F646B3"/>
    <w:rsid w:val="00F6472F"/>
    <w:rsid w:val="00F64BB5"/>
    <w:rsid w:val="00F64C9E"/>
    <w:rsid w:val="00F65521"/>
    <w:rsid w:val="00F65B71"/>
    <w:rsid w:val="00F65CE7"/>
    <w:rsid w:val="00F65DC1"/>
    <w:rsid w:val="00F65E12"/>
    <w:rsid w:val="00F65E9F"/>
    <w:rsid w:val="00F6627C"/>
    <w:rsid w:val="00F662F0"/>
    <w:rsid w:val="00F664A4"/>
    <w:rsid w:val="00F66533"/>
    <w:rsid w:val="00F665A2"/>
    <w:rsid w:val="00F666C5"/>
    <w:rsid w:val="00F666D3"/>
    <w:rsid w:val="00F66803"/>
    <w:rsid w:val="00F66973"/>
    <w:rsid w:val="00F669DD"/>
    <w:rsid w:val="00F66C8B"/>
    <w:rsid w:val="00F66CB7"/>
    <w:rsid w:val="00F66E5F"/>
    <w:rsid w:val="00F66E63"/>
    <w:rsid w:val="00F6713B"/>
    <w:rsid w:val="00F6768D"/>
    <w:rsid w:val="00F67E5A"/>
    <w:rsid w:val="00F70105"/>
    <w:rsid w:val="00F70214"/>
    <w:rsid w:val="00F704EE"/>
    <w:rsid w:val="00F70558"/>
    <w:rsid w:val="00F7063A"/>
    <w:rsid w:val="00F7090F"/>
    <w:rsid w:val="00F709D6"/>
    <w:rsid w:val="00F70CC1"/>
    <w:rsid w:val="00F70D23"/>
    <w:rsid w:val="00F714D4"/>
    <w:rsid w:val="00F71BB8"/>
    <w:rsid w:val="00F71CF9"/>
    <w:rsid w:val="00F71D57"/>
    <w:rsid w:val="00F71E64"/>
    <w:rsid w:val="00F7212C"/>
    <w:rsid w:val="00F7262E"/>
    <w:rsid w:val="00F72A03"/>
    <w:rsid w:val="00F72D40"/>
    <w:rsid w:val="00F72F31"/>
    <w:rsid w:val="00F7325F"/>
    <w:rsid w:val="00F733FB"/>
    <w:rsid w:val="00F7345D"/>
    <w:rsid w:val="00F7391B"/>
    <w:rsid w:val="00F73CD7"/>
    <w:rsid w:val="00F73E28"/>
    <w:rsid w:val="00F73F43"/>
    <w:rsid w:val="00F7442E"/>
    <w:rsid w:val="00F74660"/>
    <w:rsid w:val="00F748B9"/>
    <w:rsid w:val="00F748FE"/>
    <w:rsid w:val="00F74EA5"/>
    <w:rsid w:val="00F751E0"/>
    <w:rsid w:val="00F752F6"/>
    <w:rsid w:val="00F754D5"/>
    <w:rsid w:val="00F75510"/>
    <w:rsid w:val="00F75625"/>
    <w:rsid w:val="00F75EA0"/>
    <w:rsid w:val="00F75FD5"/>
    <w:rsid w:val="00F7623C"/>
    <w:rsid w:val="00F76275"/>
    <w:rsid w:val="00F76548"/>
    <w:rsid w:val="00F76586"/>
    <w:rsid w:val="00F765E5"/>
    <w:rsid w:val="00F76698"/>
    <w:rsid w:val="00F766AB"/>
    <w:rsid w:val="00F76771"/>
    <w:rsid w:val="00F76900"/>
    <w:rsid w:val="00F76B61"/>
    <w:rsid w:val="00F771CF"/>
    <w:rsid w:val="00F77333"/>
    <w:rsid w:val="00F77481"/>
    <w:rsid w:val="00F776BD"/>
    <w:rsid w:val="00F77915"/>
    <w:rsid w:val="00F77A2B"/>
    <w:rsid w:val="00F77D45"/>
    <w:rsid w:val="00F77FA4"/>
    <w:rsid w:val="00F8005E"/>
    <w:rsid w:val="00F80097"/>
    <w:rsid w:val="00F8016E"/>
    <w:rsid w:val="00F803B3"/>
    <w:rsid w:val="00F8056B"/>
    <w:rsid w:val="00F80826"/>
    <w:rsid w:val="00F80D6C"/>
    <w:rsid w:val="00F80E16"/>
    <w:rsid w:val="00F8163E"/>
    <w:rsid w:val="00F816F9"/>
    <w:rsid w:val="00F8181D"/>
    <w:rsid w:val="00F8184F"/>
    <w:rsid w:val="00F8194B"/>
    <w:rsid w:val="00F81B7E"/>
    <w:rsid w:val="00F825D2"/>
    <w:rsid w:val="00F82735"/>
    <w:rsid w:val="00F828CD"/>
    <w:rsid w:val="00F8296E"/>
    <w:rsid w:val="00F82E2A"/>
    <w:rsid w:val="00F830E7"/>
    <w:rsid w:val="00F83217"/>
    <w:rsid w:val="00F833FC"/>
    <w:rsid w:val="00F83491"/>
    <w:rsid w:val="00F8350D"/>
    <w:rsid w:val="00F83667"/>
    <w:rsid w:val="00F83883"/>
    <w:rsid w:val="00F8399A"/>
    <w:rsid w:val="00F83C0A"/>
    <w:rsid w:val="00F83C79"/>
    <w:rsid w:val="00F83CC3"/>
    <w:rsid w:val="00F84054"/>
    <w:rsid w:val="00F84122"/>
    <w:rsid w:val="00F8413E"/>
    <w:rsid w:val="00F841B6"/>
    <w:rsid w:val="00F841FE"/>
    <w:rsid w:val="00F847CC"/>
    <w:rsid w:val="00F84867"/>
    <w:rsid w:val="00F84901"/>
    <w:rsid w:val="00F84A2B"/>
    <w:rsid w:val="00F84B60"/>
    <w:rsid w:val="00F84D64"/>
    <w:rsid w:val="00F84D9E"/>
    <w:rsid w:val="00F84E80"/>
    <w:rsid w:val="00F84EF2"/>
    <w:rsid w:val="00F84FBB"/>
    <w:rsid w:val="00F85331"/>
    <w:rsid w:val="00F85335"/>
    <w:rsid w:val="00F85338"/>
    <w:rsid w:val="00F85348"/>
    <w:rsid w:val="00F85436"/>
    <w:rsid w:val="00F8551C"/>
    <w:rsid w:val="00F855EF"/>
    <w:rsid w:val="00F85633"/>
    <w:rsid w:val="00F85974"/>
    <w:rsid w:val="00F85A39"/>
    <w:rsid w:val="00F85F04"/>
    <w:rsid w:val="00F86447"/>
    <w:rsid w:val="00F8649F"/>
    <w:rsid w:val="00F864D2"/>
    <w:rsid w:val="00F8650B"/>
    <w:rsid w:val="00F86647"/>
    <w:rsid w:val="00F86710"/>
    <w:rsid w:val="00F86A3C"/>
    <w:rsid w:val="00F86E85"/>
    <w:rsid w:val="00F86F7F"/>
    <w:rsid w:val="00F86F90"/>
    <w:rsid w:val="00F873E7"/>
    <w:rsid w:val="00F876A2"/>
    <w:rsid w:val="00F87AB8"/>
    <w:rsid w:val="00F87BC4"/>
    <w:rsid w:val="00F87C42"/>
    <w:rsid w:val="00F87C56"/>
    <w:rsid w:val="00F87D5C"/>
    <w:rsid w:val="00F90036"/>
    <w:rsid w:val="00F90167"/>
    <w:rsid w:val="00F904F7"/>
    <w:rsid w:val="00F905DC"/>
    <w:rsid w:val="00F90B2A"/>
    <w:rsid w:val="00F90BA2"/>
    <w:rsid w:val="00F90E57"/>
    <w:rsid w:val="00F91030"/>
    <w:rsid w:val="00F91685"/>
    <w:rsid w:val="00F916CB"/>
    <w:rsid w:val="00F918EC"/>
    <w:rsid w:val="00F9194B"/>
    <w:rsid w:val="00F91956"/>
    <w:rsid w:val="00F91A24"/>
    <w:rsid w:val="00F91B77"/>
    <w:rsid w:val="00F91FBB"/>
    <w:rsid w:val="00F921EF"/>
    <w:rsid w:val="00F92448"/>
    <w:rsid w:val="00F929DC"/>
    <w:rsid w:val="00F92B7E"/>
    <w:rsid w:val="00F92B92"/>
    <w:rsid w:val="00F92B9B"/>
    <w:rsid w:val="00F92DFA"/>
    <w:rsid w:val="00F92F0D"/>
    <w:rsid w:val="00F9319F"/>
    <w:rsid w:val="00F9327F"/>
    <w:rsid w:val="00F934AA"/>
    <w:rsid w:val="00F938CA"/>
    <w:rsid w:val="00F93BF7"/>
    <w:rsid w:val="00F93E35"/>
    <w:rsid w:val="00F94558"/>
    <w:rsid w:val="00F945A0"/>
    <w:rsid w:val="00F945CD"/>
    <w:rsid w:val="00F9470E"/>
    <w:rsid w:val="00F94761"/>
    <w:rsid w:val="00F94E7B"/>
    <w:rsid w:val="00F94F23"/>
    <w:rsid w:val="00F95271"/>
    <w:rsid w:val="00F9535C"/>
    <w:rsid w:val="00F95403"/>
    <w:rsid w:val="00F95534"/>
    <w:rsid w:val="00F9570F"/>
    <w:rsid w:val="00F958DA"/>
    <w:rsid w:val="00F95A48"/>
    <w:rsid w:val="00F95BF5"/>
    <w:rsid w:val="00F95D5F"/>
    <w:rsid w:val="00F95FFE"/>
    <w:rsid w:val="00F9603C"/>
    <w:rsid w:val="00F9608B"/>
    <w:rsid w:val="00F961A0"/>
    <w:rsid w:val="00F96266"/>
    <w:rsid w:val="00F96317"/>
    <w:rsid w:val="00F963A9"/>
    <w:rsid w:val="00F963EE"/>
    <w:rsid w:val="00F964E4"/>
    <w:rsid w:val="00F9657E"/>
    <w:rsid w:val="00F967F1"/>
    <w:rsid w:val="00F96D02"/>
    <w:rsid w:val="00F96ECF"/>
    <w:rsid w:val="00F9730B"/>
    <w:rsid w:val="00F975A8"/>
    <w:rsid w:val="00F976BD"/>
    <w:rsid w:val="00F977EF"/>
    <w:rsid w:val="00F97A0A"/>
    <w:rsid w:val="00F97A65"/>
    <w:rsid w:val="00F97C5A"/>
    <w:rsid w:val="00F97D4A"/>
    <w:rsid w:val="00F97F50"/>
    <w:rsid w:val="00F99086"/>
    <w:rsid w:val="00FA0039"/>
    <w:rsid w:val="00FA00E7"/>
    <w:rsid w:val="00FA014C"/>
    <w:rsid w:val="00FA0213"/>
    <w:rsid w:val="00FA026D"/>
    <w:rsid w:val="00FA02B6"/>
    <w:rsid w:val="00FA037F"/>
    <w:rsid w:val="00FA064A"/>
    <w:rsid w:val="00FA07C9"/>
    <w:rsid w:val="00FA082A"/>
    <w:rsid w:val="00FA0864"/>
    <w:rsid w:val="00FA0CA4"/>
    <w:rsid w:val="00FA0CD7"/>
    <w:rsid w:val="00FA101D"/>
    <w:rsid w:val="00FA1024"/>
    <w:rsid w:val="00FA1687"/>
    <w:rsid w:val="00FA18BF"/>
    <w:rsid w:val="00FA18EF"/>
    <w:rsid w:val="00FA1927"/>
    <w:rsid w:val="00FA1976"/>
    <w:rsid w:val="00FA1BB3"/>
    <w:rsid w:val="00FA20CF"/>
    <w:rsid w:val="00FA20D4"/>
    <w:rsid w:val="00FA22A3"/>
    <w:rsid w:val="00FA2401"/>
    <w:rsid w:val="00FA2839"/>
    <w:rsid w:val="00FA2AC6"/>
    <w:rsid w:val="00FA2B3F"/>
    <w:rsid w:val="00FA2CC2"/>
    <w:rsid w:val="00FA3167"/>
    <w:rsid w:val="00FA360C"/>
    <w:rsid w:val="00FA3742"/>
    <w:rsid w:val="00FA3A36"/>
    <w:rsid w:val="00FA3ACA"/>
    <w:rsid w:val="00FA3D79"/>
    <w:rsid w:val="00FA3F63"/>
    <w:rsid w:val="00FA406D"/>
    <w:rsid w:val="00FA43F6"/>
    <w:rsid w:val="00FA46C5"/>
    <w:rsid w:val="00FA4725"/>
    <w:rsid w:val="00FA490E"/>
    <w:rsid w:val="00FA491D"/>
    <w:rsid w:val="00FA4BB0"/>
    <w:rsid w:val="00FA4D36"/>
    <w:rsid w:val="00FA4EE9"/>
    <w:rsid w:val="00FA56C2"/>
    <w:rsid w:val="00FA5E47"/>
    <w:rsid w:val="00FA5E5B"/>
    <w:rsid w:val="00FA6099"/>
    <w:rsid w:val="00FA61B5"/>
    <w:rsid w:val="00FA61CB"/>
    <w:rsid w:val="00FA63B4"/>
    <w:rsid w:val="00FA64BB"/>
    <w:rsid w:val="00FA6663"/>
    <w:rsid w:val="00FA669A"/>
    <w:rsid w:val="00FA6863"/>
    <w:rsid w:val="00FA6935"/>
    <w:rsid w:val="00FA6A02"/>
    <w:rsid w:val="00FA6D54"/>
    <w:rsid w:val="00FA70D6"/>
    <w:rsid w:val="00FA7138"/>
    <w:rsid w:val="00FA7150"/>
    <w:rsid w:val="00FA71A4"/>
    <w:rsid w:val="00FA7589"/>
    <w:rsid w:val="00FA78D9"/>
    <w:rsid w:val="00FA7ABF"/>
    <w:rsid w:val="00FA7AD4"/>
    <w:rsid w:val="00FA7C14"/>
    <w:rsid w:val="00FA7E6E"/>
    <w:rsid w:val="00FA7FAC"/>
    <w:rsid w:val="00FB0254"/>
    <w:rsid w:val="00FB05B8"/>
    <w:rsid w:val="00FB06C1"/>
    <w:rsid w:val="00FB082E"/>
    <w:rsid w:val="00FB09BB"/>
    <w:rsid w:val="00FB0CA5"/>
    <w:rsid w:val="00FB0E76"/>
    <w:rsid w:val="00FB1018"/>
    <w:rsid w:val="00FB151C"/>
    <w:rsid w:val="00FB16DE"/>
    <w:rsid w:val="00FB171F"/>
    <w:rsid w:val="00FB177D"/>
    <w:rsid w:val="00FB1993"/>
    <w:rsid w:val="00FB1CB6"/>
    <w:rsid w:val="00FB1E6B"/>
    <w:rsid w:val="00FB2137"/>
    <w:rsid w:val="00FB223F"/>
    <w:rsid w:val="00FB22D3"/>
    <w:rsid w:val="00FB25C4"/>
    <w:rsid w:val="00FB2825"/>
    <w:rsid w:val="00FB2C7B"/>
    <w:rsid w:val="00FB31AA"/>
    <w:rsid w:val="00FB31B7"/>
    <w:rsid w:val="00FB3676"/>
    <w:rsid w:val="00FB369E"/>
    <w:rsid w:val="00FB3F12"/>
    <w:rsid w:val="00FB40BF"/>
    <w:rsid w:val="00FB40F6"/>
    <w:rsid w:val="00FB422B"/>
    <w:rsid w:val="00FB4293"/>
    <w:rsid w:val="00FB48E4"/>
    <w:rsid w:val="00FB493A"/>
    <w:rsid w:val="00FB4AEA"/>
    <w:rsid w:val="00FB4B60"/>
    <w:rsid w:val="00FB4DF7"/>
    <w:rsid w:val="00FB5193"/>
    <w:rsid w:val="00FB5356"/>
    <w:rsid w:val="00FB53DC"/>
    <w:rsid w:val="00FB5405"/>
    <w:rsid w:val="00FB54DC"/>
    <w:rsid w:val="00FB577D"/>
    <w:rsid w:val="00FB5EEF"/>
    <w:rsid w:val="00FB6144"/>
    <w:rsid w:val="00FB6161"/>
    <w:rsid w:val="00FB63B3"/>
    <w:rsid w:val="00FB650D"/>
    <w:rsid w:val="00FB66A5"/>
    <w:rsid w:val="00FB684B"/>
    <w:rsid w:val="00FB689E"/>
    <w:rsid w:val="00FB6FE0"/>
    <w:rsid w:val="00FB6FF9"/>
    <w:rsid w:val="00FB7131"/>
    <w:rsid w:val="00FB758F"/>
    <w:rsid w:val="00FB760C"/>
    <w:rsid w:val="00FB77EC"/>
    <w:rsid w:val="00FB7819"/>
    <w:rsid w:val="00FB781C"/>
    <w:rsid w:val="00FB7B43"/>
    <w:rsid w:val="00FB7D25"/>
    <w:rsid w:val="00FB7F39"/>
    <w:rsid w:val="00FB7F66"/>
    <w:rsid w:val="00FB7F98"/>
    <w:rsid w:val="00FC032E"/>
    <w:rsid w:val="00FC0773"/>
    <w:rsid w:val="00FC09CF"/>
    <w:rsid w:val="00FC0D9E"/>
    <w:rsid w:val="00FC0E68"/>
    <w:rsid w:val="00FC156E"/>
    <w:rsid w:val="00FC1712"/>
    <w:rsid w:val="00FC1B7F"/>
    <w:rsid w:val="00FC1BC3"/>
    <w:rsid w:val="00FC1DE9"/>
    <w:rsid w:val="00FC215A"/>
    <w:rsid w:val="00FC23FF"/>
    <w:rsid w:val="00FC2626"/>
    <w:rsid w:val="00FC2795"/>
    <w:rsid w:val="00FC29BC"/>
    <w:rsid w:val="00FC2C4E"/>
    <w:rsid w:val="00FC2C7F"/>
    <w:rsid w:val="00FC2D0F"/>
    <w:rsid w:val="00FC2EB8"/>
    <w:rsid w:val="00FC312B"/>
    <w:rsid w:val="00FC31D0"/>
    <w:rsid w:val="00FC331C"/>
    <w:rsid w:val="00FC35DE"/>
    <w:rsid w:val="00FC3812"/>
    <w:rsid w:val="00FC3B37"/>
    <w:rsid w:val="00FC41A3"/>
    <w:rsid w:val="00FC44A5"/>
    <w:rsid w:val="00FC46AC"/>
    <w:rsid w:val="00FC4797"/>
    <w:rsid w:val="00FC4A39"/>
    <w:rsid w:val="00FC4ECF"/>
    <w:rsid w:val="00FC51B5"/>
    <w:rsid w:val="00FC541F"/>
    <w:rsid w:val="00FC54FF"/>
    <w:rsid w:val="00FC5CBB"/>
    <w:rsid w:val="00FC666D"/>
    <w:rsid w:val="00FC698D"/>
    <w:rsid w:val="00FC7205"/>
    <w:rsid w:val="00FC7335"/>
    <w:rsid w:val="00FC73A4"/>
    <w:rsid w:val="00FC73ED"/>
    <w:rsid w:val="00FC7531"/>
    <w:rsid w:val="00FC797D"/>
    <w:rsid w:val="00FC7CA6"/>
    <w:rsid w:val="00FC7CD2"/>
    <w:rsid w:val="00FC7CD6"/>
    <w:rsid w:val="00FD020C"/>
    <w:rsid w:val="00FD02FA"/>
    <w:rsid w:val="00FD04D5"/>
    <w:rsid w:val="00FD05C6"/>
    <w:rsid w:val="00FD05FB"/>
    <w:rsid w:val="00FD092D"/>
    <w:rsid w:val="00FD0A42"/>
    <w:rsid w:val="00FD0C49"/>
    <w:rsid w:val="00FD0D29"/>
    <w:rsid w:val="00FD0EBB"/>
    <w:rsid w:val="00FD0EEF"/>
    <w:rsid w:val="00FD0FA1"/>
    <w:rsid w:val="00FD1321"/>
    <w:rsid w:val="00FD15CE"/>
    <w:rsid w:val="00FD18A4"/>
    <w:rsid w:val="00FD1991"/>
    <w:rsid w:val="00FD19D8"/>
    <w:rsid w:val="00FD1A96"/>
    <w:rsid w:val="00FD1AE5"/>
    <w:rsid w:val="00FD1CA4"/>
    <w:rsid w:val="00FD1F00"/>
    <w:rsid w:val="00FD2301"/>
    <w:rsid w:val="00FD230C"/>
    <w:rsid w:val="00FD2782"/>
    <w:rsid w:val="00FD28B0"/>
    <w:rsid w:val="00FD28B1"/>
    <w:rsid w:val="00FD28E4"/>
    <w:rsid w:val="00FD2BEF"/>
    <w:rsid w:val="00FD2D04"/>
    <w:rsid w:val="00FD2D72"/>
    <w:rsid w:val="00FD2F9E"/>
    <w:rsid w:val="00FD2F9F"/>
    <w:rsid w:val="00FD37A7"/>
    <w:rsid w:val="00FD3C32"/>
    <w:rsid w:val="00FD3DA3"/>
    <w:rsid w:val="00FD422E"/>
    <w:rsid w:val="00FD4321"/>
    <w:rsid w:val="00FD4396"/>
    <w:rsid w:val="00FD43DC"/>
    <w:rsid w:val="00FD493D"/>
    <w:rsid w:val="00FD4B87"/>
    <w:rsid w:val="00FD4BD2"/>
    <w:rsid w:val="00FD4D0C"/>
    <w:rsid w:val="00FD5374"/>
    <w:rsid w:val="00FD5395"/>
    <w:rsid w:val="00FD5428"/>
    <w:rsid w:val="00FD57C7"/>
    <w:rsid w:val="00FD58A2"/>
    <w:rsid w:val="00FD593E"/>
    <w:rsid w:val="00FD5C6B"/>
    <w:rsid w:val="00FD5D6E"/>
    <w:rsid w:val="00FD6138"/>
    <w:rsid w:val="00FD63ED"/>
    <w:rsid w:val="00FD64F0"/>
    <w:rsid w:val="00FD6706"/>
    <w:rsid w:val="00FD6878"/>
    <w:rsid w:val="00FD68B8"/>
    <w:rsid w:val="00FD690A"/>
    <w:rsid w:val="00FD6BC0"/>
    <w:rsid w:val="00FD6D2B"/>
    <w:rsid w:val="00FD6D72"/>
    <w:rsid w:val="00FD6EBA"/>
    <w:rsid w:val="00FD6ECD"/>
    <w:rsid w:val="00FD71DD"/>
    <w:rsid w:val="00FD7269"/>
    <w:rsid w:val="00FD73A8"/>
    <w:rsid w:val="00FD77CE"/>
    <w:rsid w:val="00FD7982"/>
    <w:rsid w:val="00FD7B31"/>
    <w:rsid w:val="00FD7C11"/>
    <w:rsid w:val="00FD7F60"/>
    <w:rsid w:val="00FE02D8"/>
    <w:rsid w:val="00FE03C5"/>
    <w:rsid w:val="00FE0490"/>
    <w:rsid w:val="00FE0548"/>
    <w:rsid w:val="00FE095C"/>
    <w:rsid w:val="00FE0E43"/>
    <w:rsid w:val="00FE0F5A"/>
    <w:rsid w:val="00FE10A8"/>
    <w:rsid w:val="00FE10E4"/>
    <w:rsid w:val="00FE12F2"/>
    <w:rsid w:val="00FE151A"/>
    <w:rsid w:val="00FE1877"/>
    <w:rsid w:val="00FE1BAD"/>
    <w:rsid w:val="00FE1BD2"/>
    <w:rsid w:val="00FE1C02"/>
    <w:rsid w:val="00FE1FC4"/>
    <w:rsid w:val="00FE1FFD"/>
    <w:rsid w:val="00FE2036"/>
    <w:rsid w:val="00FE21F9"/>
    <w:rsid w:val="00FE24A9"/>
    <w:rsid w:val="00FE2775"/>
    <w:rsid w:val="00FE29E9"/>
    <w:rsid w:val="00FE2A60"/>
    <w:rsid w:val="00FE2C7D"/>
    <w:rsid w:val="00FE3058"/>
    <w:rsid w:val="00FE3092"/>
    <w:rsid w:val="00FE30C8"/>
    <w:rsid w:val="00FE3194"/>
    <w:rsid w:val="00FE3200"/>
    <w:rsid w:val="00FE357B"/>
    <w:rsid w:val="00FE35A3"/>
    <w:rsid w:val="00FE38F8"/>
    <w:rsid w:val="00FE3C73"/>
    <w:rsid w:val="00FE437E"/>
    <w:rsid w:val="00FE44BA"/>
    <w:rsid w:val="00FE44DC"/>
    <w:rsid w:val="00FE5B6E"/>
    <w:rsid w:val="00FE5D8B"/>
    <w:rsid w:val="00FE6167"/>
    <w:rsid w:val="00FE617F"/>
    <w:rsid w:val="00FE622C"/>
    <w:rsid w:val="00FE637D"/>
    <w:rsid w:val="00FE6426"/>
    <w:rsid w:val="00FE6971"/>
    <w:rsid w:val="00FE6D4C"/>
    <w:rsid w:val="00FE7162"/>
    <w:rsid w:val="00FE7387"/>
    <w:rsid w:val="00FE73FC"/>
    <w:rsid w:val="00FE74A1"/>
    <w:rsid w:val="00FE752F"/>
    <w:rsid w:val="00FE7A61"/>
    <w:rsid w:val="00FE7AD2"/>
    <w:rsid w:val="00FE7AEF"/>
    <w:rsid w:val="00FE7CA6"/>
    <w:rsid w:val="00FE7FDF"/>
    <w:rsid w:val="00FF0084"/>
    <w:rsid w:val="00FF0144"/>
    <w:rsid w:val="00FF025D"/>
    <w:rsid w:val="00FF0297"/>
    <w:rsid w:val="00FF0378"/>
    <w:rsid w:val="00FF08E4"/>
    <w:rsid w:val="00FF0944"/>
    <w:rsid w:val="00FF0C48"/>
    <w:rsid w:val="00FF0DAF"/>
    <w:rsid w:val="00FF0E7F"/>
    <w:rsid w:val="00FF0ED7"/>
    <w:rsid w:val="00FF0F5D"/>
    <w:rsid w:val="00FF0F6D"/>
    <w:rsid w:val="00FF0FCC"/>
    <w:rsid w:val="00FF0FDC"/>
    <w:rsid w:val="00FF10E8"/>
    <w:rsid w:val="00FF128A"/>
    <w:rsid w:val="00FF1793"/>
    <w:rsid w:val="00FF19E3"/>
    <w:rsid w:val="00FF1A43"/>
    <w:rsid w:val="00FF1B97"/>
    <w:rsid w:val="00FF21B8"/>
    <w:rsid w:val="00FF24AF"/>
    <w:rsid w:val="00FF2510"/>
    <w:rsid w:val="00FF252A"/>
    <w:rsid w:val="00FF2EA4"/>
    <w:rsid w:val="00FF2F33"/>
    <w:rsid w:val="00FF31F6"/>
    <w:rsid w:val="00FF320A"/>
    <w:rsid w:val="00FF360F"/>
    <w:rsid w:val="00FF3642"/>
    <w:rsid w:val="00FF3879"/>
    <w:rsid w:val="00FF3A99"/>
    <w:rsid w:val="00FF3B05"/>
    <w:rsid w:val="00FF3C24"/>
    <w:rsid w:val="00FF3CCE"/>
    <w:rsid w:val="00FF3DC8"/>
    <w:rsid w:val="00FF3E9C"/>
    <w:rsid w:val="00FF41B1"/>
    <w:rsid w:val="00FF4280"/>
    <w:rsid w:val="00FF430D"/>
    <w:rsid w:val="00FF4F04"/>
    <w:rsid w:val="00FF4FDC"/>
    <w:rsid w:val="00FF50A1"/>
    <w:rsid w:val="00FF50C9"/>
    <w:rsid w:val="00FF54CE"/>
    <w:rsid w:val="00FF5596"/>
    <w:rsid w:val="00FF55AB"/>
    <w:rsid w:val="00FF5655"/>
    <w:rsid w:val="00FF56F3"/>
    <w:rsid w:val="00FF5980"/>
    <w:rsid w:val="00FF5A72"/>
    <w:rsid w:val="00FF5B6B"/>
    <w:rsid w:val="00FF6081"/>
    <w:rsid w:val="00FF682F"/>
    <w:rsid w:val="00FF6977"/>
    <w:rsid w:val="00FF6B2B"/>
    <w:rsid w:val="00FF6B6A"/>
    <w:rsid w:val="00FF6DD7"/>
    <w:rsid w:val="00FF7068"/>
    <w:rsid w:val="00FF71CB"/>
    <w:rsid w:val="00FF72E4"/>
    <w:rsid w:val="00FF731C"/>
    <w:rsid w:val="00FF78F0"/>
    <w:rsid w:val="00FF7ADC"/>
    <w:rsid w:val="00FF7D34"/>
    <w:rsid w:val="0111C2CA"/>
    <w:rsid w:val="013AB3F4"/>
    <w:rsid w:val="016DAB18"/>
    <w:rsid w:val="01889EF0"/>
    <w:rsid w:val="018D6DA9"/>
    <w:rsid w:val="01902730"/>
    <w:rsid w:val="01A1139C"/>
    <w:rsid w:val="01B077B4"/>
    <w:rsid w:val="01D092EE"/>
    <w:rsid w:val="01EBC5FC"/>
    <w:rsid w:val="01F68491"/>
    <w:rsid w:val="01FE210B"/>
    <w:rsid w:val="0222F331"/>
    <w:rsid w:val="02346FEA"/>
    <w:rsid w:val="023E3E1A"/>
    <w:rsid w:val="0248F72B"/>
    <w:rsid w:val="024E456F"/>
    <w:rsid w:val="0259756D"/>
    <w:rsid w:val="02669B76"/>
    <w:rsid w:val="0267D90D"/>
    <w:rsid w:val="027488FF"/>
    <w:rsid w:val="02D436BE"/>
    <w:rsid w:val="0308B98A"/>
    <w:rsid w:val="030A7AE7"/>
    <w:rsid w:val="03194F95"/>
    <w:rsid w:val="031ABCBA"/>
    <w:rsid w:val="03379875"/>
    <w:rsid w:val="035A20DD"/>
    <w:rsid w:val="039D2D33"/>
    <w:rsid w:val="0412EC07"/>
    <w:rsid w:val="04153EED"/>
    <w:rsid w:val="042869F0"/>
    <w:rsid w:val="043A9282"/>
    <w:rsid w:val="04540A4C"/>
    <w:rsid w:val="047AA360"/>
    <w:rsid w:val="0484DF6C"/>
    <w:rsid w:val="0493EE68"/>
    <w:rsid w:val="054D312F"/>
    <w:rsid w:val="05E52013"/>
    <w:rsid w:val="05EA10C8"/>
    <w:rsid w:val="05F51896"/>
    <w:rsid w:val="06047E1E"/>
    <w:rsid w:val="061151F6"/>
    <w:rsid w:val="0627F71E"/>
    <w:rsid w:val="063448D8"/>
    <w:rsid w:val="063568FA"/>
    <w:rsid w:val="0641328B"/>
    <w:rsid w:val="0684ACDF"/>
    <w:rsid w:val="06933233"/>
    <w:rsid w:val="06A26219"/>
    <w:rsid w:val="06C8BD3B"/>
    <w:rsid w:val="06F844EA"/>
    <w:rsid w:val="07025262"/>
    <w:rsid w:val="072717DA"/>
    <w:rsid w:val="072A62B2"/>
    <w:rsid w:val="0738A1F0"/>
    <w:rsid w:val="0760459D"/>
    <w:rsid w:val="0760B100"/>
    <w:rsid w:val="07765B5B"/>
    <w:rsid w:val="07AF1E70"/>
    <w:rsid w:val="08417943"/>
    <w:rsid w:val="084CBE51"/>
    <w:rsid w:val="08699C62"/>
    <w:rsid w:val="086C5C93"/>
    <w:rsid w:val="0879EFB0"/>
    <w:rsid w:val="087C164F"/>
    <w:rsid w:val="088F31C7"/>
    <w:rsid w:val="089C60BB"/>
    <w:rsid w:val="08A1D3D4"/>
    <w:rsid w:val="08B82514"/>
    <w:rsid w:val="08D50B1C"/>
    <w:rsid w:val="08E83CDA"/>
    <w:rsid w:val="08F2E93F"/>
    <w:rsid w:val="093D22B5"/>
    <w:rsid w:val="093F0CF4"/>
    <w:rsid w:val="09706094"/>
    <w:rsid w:val="09751E74"/>
    <w:rsid w:val="0989C384"/>
    <w:rsid w:val="09C1F13E"/>
    <w:rsid w:val="09C41020"/>
    <w:rsid w:val="09CDA888"/>
    <w:rsid w:val="09FEFC74"/>
    <w:rsid w:val="0A00950E"/>
    <w:rsid w:val="0A140107"/>
    <w:rsid w:val="0A3AD1B2"/>
    <w:rsid w:val="0A4B01F6"/>
    <w:rsid w:val="0A4C07EF"/>
    <w:rsid w:val="0AA36D88"/>
    <w:rsid w:val="0ADB53F1"/>
    <w:rsid w:val="0AE18F65"/>
    <w:rsid w:val="0AF43788"/>
    <w:rsid w:val="0B25CE9F"/>
    <w:rsid w:val="0B371338"/>
    <w:rsid w:val="0B531ED2"/>
    <w:rsid w:val="0B572651"/>
    <w:rsid w:val="0B6ECC9A"/>
    <w:rsid w:val="0B6FD937"/>
    <w:rsid w:val="0B8E243E"/>
    <w:rsid w:val="0BA5464F"/>
    <w:rsid w:val="0BAB0D5C"/>
    <w:rsid w:val="0BB53D66"/>
    <w:rsid w:val="0BDFAC34"/>
    <w:rsid w:val="0BE85235"/>
    <w:rsid w:val="0C135520"/>
    <w:rsid w:val="0C30B9F0"/>
    <w:rsid w:val="0C5C3340"/>
    <w:rsid w:val="0C643769"/>
    <w:rsid w:val="0C6FBC04"/>
    <w:rsid w:val="0C99FB29"/>
    <w:rsid w:val="0C9DE5EA"/>
    <w:rsid w:val="0CDE7AF6"/>
    <w:rsid w:val="0D04F39B"/>
    <w:rsid w:val="0D05266C"/>
    <w:rsid w:val="0D2EE08C"/>
    <w:rsid w:val="0D5BDB7C"/>
    <w:rsid w:val="0D86B695"/>
    <w:rsid w:val="0D872C25"/>
    <w:rsid w:val="0D8F2734"/>
    <w:rsid w:val="0DF6FBB9"/>
    <w:rsid w:val="0E1A7B48"/>
    <w:rsid w:val="0E263751"/>
    <w:rsid w:val="0E3D82FF"/>
    <w:rsid w:val="0E449731"/>
    <w:rsid w:val="0E49A817"/>
    <w:rsid w:val="0EB52E66"/>
    <w:rsid w:val="0EC4833E"/>
    <w:rsid w:val="0EF76B59"/>
    <w:rsid w:val="0F6FA78B"/>
    <w:rsid w:val="0F9A6AA5"/>
    <w:rsid w:val="0FBDD448"/>
    <w:rsid w:val="0FC700A2"/>
    <w:rsid w:val="0FE98B4E"/>
    <w:rsid w:val="1020C853"/>
    <w:rsid w:val="10373CFC"/>
    <w:rsid w:val="10732CA5"/>
    <w:rsid w:val="1091677E"/>
    <w:rsid w:val="10CD07A4"/>
    <w:rsid w:val="10EDCD5F"/>
    <w:rsid w:val="10EF4337"/>
    <w:rsid w:val="111F7B5F"/>
    <w:rsid w:val="1124CDAA"/>
    <w:rsid w:val="114EFA61"/>
    <w:rsid w:val="11597914"/>
    <w:rsid w:val="1176D37F"/>
    <w:rsid w:val="117FD8E1"/>
    <w:rsid w:val="1187185A"/>
    <w:rsid w:val="11AE9719"/>
    <w:rsid w:val="11B4EBD7"/>
    <w:rsid w:val="11C88D0B"/>
    <w:rsid w:val="11DCAD04"/>
    <w:rsid w:val="121CB264"/>
    <w:rsid w:val="12257D67"/>
    <w:rsid w:val="124FB41B"/>
    <w:rsid w:val="125607D3"/>
    <w:rsid w:val="12616ED7"/>
    <w:rsid w:val="126555B6"/>
    <w:rsid w:val="12705464"/>
    <w:rsid w:val="1271A2F7"/>
    <w:rsid w:val="128E0360"/>
    <w:rsid w:val="12CAC407"/>
    <w:rsid w:val="13022CB7"/>
    <w:rsid w:val="1311C97C"/>
    <w:rsid w:val="132CD2C3"/>
    <w:rsid w:val="135B6271"/>
    <w:rsid w:val="135E7254"/>
    <w:rsid w:val="136AA106"/>
    <w:rsid w:val="1383EB1C"/>
    <w:rsid w:val="13A1C349"/>
    <w:rsid w:val="13B18751"/>
    <w:rsid w:val="13E73689"/>
    <w:rsid w:val="13F1227C"/>
    <w:rsid w:val="140808BB"/>
    <w:rsid w:val="141837C9"/>
    <w:rsid w:val="14E85EA0"/>
    <w:rsid w:val="1503B534"/>
    <w:rsid w:val="152D31A0"/>
    <w:rsid w:val="15439C8A"/>
    <w:rsid w:val="154C535D"/>
    <w:rsid w:val="15512559"/>
    <w:rsid w:val="15534775"/>
    <w:rsid w:val="158482AA"/>
    <w:rsid w:val="15CFAEE4"/>
    <w:rsid w:val="15D5880A"/>
    <w:rsid w:val="15D9EF6A"/>
    <w:rsid w:val="15E74EC6"/>
    <w:rsid w:val="15F62F02"/>
    <w:rsid w:val="163BEFD9"/>
    <w:rsid w:val="164D335F"/>
    <w:rsid w:val="164D906E"/>
    <w:rsid w:val="165993B2"/>
    <w:rsid w:val="16658E48"/>
    <w:rsid w:val="16689955"/>
    <w:rsid w:val="16A5FAE9"/>
    <w:rsid w:val="16BDCD29"/>
    <w:rsid w:val="16EB604B"/>
    <w:rsid w:val="16F9DEEC"/>
    <w:rsid w:val="1700AD41"/>
    <w:rsid w:val="1717E314"/>
    <w:rsid w:val="17195020"/>
    <w:rsid w:val="1737B20A"/>
    <w:rsid w:val="17642B55"/>
    <w:rsid w:val="176BBE74"/>
    <w:rsid w:val="176E6D51"/>
    <w:rsid w:val="17937510"/>
    <w:rsid w:val="17B3D321"/>
    <w:rsid w:val="17F20203"/>
    <w:rsid w:val="1808AC4F"/>
    <w:rsid w:val="18458EF9"/>
    <w:rsid w:val="185A33F6"/>
    <w:rsid w:val="18677A73"/>
    <w:rsid w:val="18835BF4"/>
    <w:rsid w:val="188ED8A6"/>
    <w:rsid w:val="189C3AC1"/>
    <w:rsid w:val="18AEA108"/>
    <w:rsid w:val="18D0EE6F"/>
    <w:rsid w:val="1903A83C"/>
    <w:rsid w:val="1921F692"/>
    <w:rsid w:val="1922F010"/>
    <w:rsid w:val="193035F2"/>
    <w:rsid w:val="193A01F5"/>
    <w:rsid w:val="197AC35B"/>
    <w:rsid w:val="1998DD79"/>
    <w:rsid w:val="19EB4069"/>
    <w:rsid w:val="19FC8421"/>
    <w:rsid w:val="19FF9C0C"/>
    <w:rsid w:val="1A0DBAEC"/>
    <w:rsid w:val="1A0FD125"/>
    <w:rsid w:val="1A38ECDD"/>
    <w:rsid w:val="1A54B50D"/>
    <w:rsid w:val="1A5C478C"/>
    <w:rsid w:val="1AA3B24D"/>
    <w:rsid w:val="1AEED7D4"/>
    <w:rsid w:val="1B1EA80E"/>
    <w:rsid w:val="1B2B4E9D"/>
    <w:rsid w:val="1B2BADA3"/>
    <w:rsid w:val="1BE741BA"/>
    <w:rsid w:val="1C1A297E"/>
    <w:rsid w:val="1C2E4D8D"/>
    <w:rsid w:val="1C308942"/>
    <w:rsid w:val="1C4A9BB1"/>
    <w:rsid w:val="1C595A2E"/>
    <w:rsid w:val="1C6659FF"/>
    <w:rsid w:val="1C6B10E6"/>
    <w:rsid w:val="1CD1B661"/>
    <w:rsid w:val="1CEF0B7D"/>
    <w:rsid w:val="1CF91D87"/>
    <w:rsid w:val="1D19CFE4"/>
    <w:rsid w:val="1D261D1F"/>
    <w:rsid w:val="1DA14CC9"/>
    <w:rsid w:val="1DA54D24"/>
    <w:rsid w:val="1DB21889"/>
    <w:rsid w:val="1DCB291E"/>
    <w:rsid w:val="1E153AB6"/>
    <w:rsid w:val="1E47F7E7"/>
    <w:rsid w:val="1E4BCFCA"/>
    <w:rsid w:val="1E7C5D9A"/>
    <w:rsid w:val="1E94A7BA"/>
    <w:rsid w:val="1EAC891A"/>
    <w:rsid w:val="1EAF75BC"/>
    <w:rsid w:val="1EC17B2D"/>
    <w:rsid w:val="1EC3D1DE"/>
    <w:rsid w:val="1EDEC2F8"/>
    <w:rsid w:val="1EEAE4DE"/>
    <w:rsid w:val="1EEF7C82"/>
    <w:rsid w:val="1F07431E"/>
    <w:rsid w:val="1F14485C"/>
    <w:rsid w:val="1F30D210"/>
    <w:rsid w:val="1F665315"/>
    <w:rsid w:val="1F8C0059"/>
    <w:rsid w:val="1FB66C15"/>
    <w:rsid w:val="1FCBD15A"/>
    <w:rsid w:val="1FCF04AE"/>
    <w:rsid w:val="1FDB06B5"/>
    <w:rsid w:val="1FDBC5A2"/>
    <w:rsid w:val="2000C5EF"/>
    <w:rsid w:val="201521DE"/>
    <w:rsid w:val="203773E0"/>
    <w:rsid w:val="203D41E6"/>
    <w:rsid w:val="20CC22E5"/>
    <w:rsid w:val="20D235D8"/>
    <w:rsid w:val="2105F78E"/>
    <w:rsid w:val="210A4665"/>
    <w:rsid w:val="2129EA9C"/>
    <w:rsid w:val="212B7002"/>
    <w:rsid w:val="213152D2"/>
    <w:rsid w:val="2132E07A"/>
    <w:rsid w:val="213AB05F"/>
    <w:rsid w:val="218E14AA"/>
    <w:rsid w:val="21960CF8"/>
    <w:rsid w:val="21981E3D"/>
    <w:rsid w:val="21B95492"/>
    <w:rsid w:val="21D2FD27"/>
    <w:rsid w:val="21DDA360"/>
    <w:rsid w:val="220F4D64"/>
    <w:rsid w:val="2224A335"/>
    <w:rsid w:val="2236B238"/>
    <w:rsid w:val="22557D6F"/>
    <w:rsid w:val="225D596B"/>
    <w:rsid w:val="22876C32"/>
    <w:rsid w:val="2288F32D"/>
    <w:rsid w:val="22A05CCF"/>
    <w:rsid w:val="22A5B3C8"/>
    <w:rsid w:val="22AB441C"/>
    <w:rsid w:val="22BBD05F"/>
    <w:rsid w:val="22D48EA1"/>
    <w:rsid w:val="22EE0BAA"/>
    <w:rsid w:val="23069229"/>
    <w:rsid w:val="2311DB8E"/>
    <w:rsid w:val="231BFA74"/>
    <w:rsid w:val="232E5A18"/>
    <w:rsid w:val="2347375D"/>
    <w:rsid w:val="2378FE88"/>
    <w:rsid w:val="239B6908"/>
    <w:rsid w:val="23C2E0FE"/>
    <w:rsid w:val="23D8D8A9"/>
    <w:rsid w:val="23DE4D28"/>
    <w:rsid w:val="23DFA624"/>
    <w:rsid w:val="23E9329F"/>
    <w:rsid w:val="240997B5"/>
    <w:rsid w:val="240FC96B"/>
    <w:rsid w:val="24191F6B"/>
    <w:rsid w:val="242D068F"/>
    <w:rsid w:val="243B3EBB"/>
    <w:rsid w:val="2440A066"/>
    <w:rsid w:val="246011B5"/>
    <w:rsid w:val="246D4DFF"/>
    <w:rsid w:val="249BB342"/>
    <w:rsid w:val="24E632DC"/>
    <w:rsid w:val="24F47103"/>
    <w:rsid w:val="250A61F8"/>
    <w:rsid w:val="254638B4"/>
    <w:rsid w:val="25512234"/>
    <w:rsid w:val="25551122"/>
    <w:rsid w:val="25566425"/>
    <w:rsid w:val="257F096F"/>
    <w:rsid w:val="25866C1A"/>
    <w:rsid w:val="2586B635"/>
    <w:rsid w:val="25A2D860"/>
    <w:rsid w:val="25B38F06"/>
    <w:rsid w:val="25B4AD0D"/>
    <w:rsid w:val="25BD6F45"/>
    <w:rsid w:val="25DFC959"/>
    <w:rsid w:val="25E76863"/>
    <w:rsid w:val="25E79ED3"/>
    <w:rsid w:val="25F244C1"/>
    <w:rsid w:val="25F66200"/>
    <w:rsid w:val="26511BFD"/>
    <w:rsid w:val="265EFB86"/>
    <w:rsid w:val="268DFDE5"/>
    <w:rsid w:val="26903F84"/>
    <w:rsid w:val="2696C40A"/>
    <w:rsid w:val="26AC5A47"/>
    <w:rsid w:val="26BD6592"/>
    <w:rsid w:val="26C2DE46"/>
    <w:rsid w:val="26DBDADF"/>
    <w:rsid w:val="273C1321"/>
    <w:rsid w:val="275A35B7"/>
    <w:rsid w:val="27626B3E"/>
    <w:rsid w:val="27884C8E"/>
    <w:rsid w:val="27D0CE55"/>
    <w:rsid w:val="27F44CC1"/>
    <w:rsid w:val="280C9EA7"/>
    <w:rsid w:val="282A4B67"/>
    <w:rsid w:val="289C7B60"/>
    <w:rsid w:val="28A9BBF2"/>
    <w:rsid w:val="28B49EDD"/>
    <w:rsid w:val="28B4BD0C"/>
    <w:rsid w:val="28B72C7A"/>
    <w:rsid w:val="28C1E48C"/>
    <w:rsid w:val="28EC9C21"/>
    <w:rsid w:val="28F1CA9F"/>
    <w:rsid w:val="29118B47"/>
    <w:rsid w:val="292067C7"/>
    <w:rsid w:val="294C782B"/>
    <w:rsid w:val="294CBE43"/>
    <w:rsid w:val="296523C8"/>
    <w:rsid w:val="2982817E"/>
    <w:rsid w:val="29A06CB2"/>
    <w:rsid w:val="29A7090D"/>
    <w:rsid w:val="29C4E6AF"/>
    <w:rsid w:val="29F7ADF7"/>
    <w:rsid w:val="2A396EC4"/>
    <w:rsid w:val="2A4CDF8A"/>
    <w:rsid w:val="2A9F706A"/>
    <w:rsid w:val="2AE373C5"/>
    <w:rsid w:val="2AE85F19"/>
    <w:rsid w:val="2B110D6A"/>
    <w:rsid w:val="2B24F5FD"/>
    <w:rsid w:val="2B35969B"/>
    <w:rsid w:val="2B8F10F3"/>
    <w:rsid w:val="2B8F349D"/>
    <w:rsid w:val="2B9E5CB7"/>
    <w:rsid w:val="2BB7DC1C"/>
    <w:rsid w:val="2BDCEFA1"/>
    <w:rsid w:val="2BE0312A"/>
    <w:rsid w:val="2C184A38"/>
    <w:rsid w:val="2C5515B1"/>
    <w:rsid w:val="2C87D086"/>
    <w:rsid w:val="2CB19B6F"/>
    <w:rsid w:val="2CB2CDC8"/>
    <w:rsid w:val="2CEDEB1E"/>
    <w:rsid w:val="2D0A7A57"/>
    <w:rsid w:val="2D1E5B57"/>
    <w:rsid w:val="2D289D7B"/>
    <w:rsid w:val="2D346B0C"/>
    <w:rsid w:val="2D489825"/>
    <w:rsid w:val="2D4BE665"/>
    <w:rsid w:val="2D74BD29"/>
    <w:rsid w:val="2D96A62F"/>
    <w:rsid w:val="2E1E7FA2"/>
    <w:rsid w:val="2E2C2E6E"/>
    <w:rsid w:val="2E2DA612"/>
    <w:rsid w:val="2E359822"/>
    <w:rsid w:val="2E427D50"/>
    <w:rsid w:val="2E5442FD"/>
    <w:rsid w:val="2E7C9010"/>
    <w:rsid w:val="2E920BE7"/>
    <w:rsid w:val="2E9C4CC1"/>
    <w:rsid w:val="2EA498FF"/>
    <w:rsid w:val="2EEA3D63"/>
    <w:rsid w:val="2F18DD5F"/>
    <w:rsid w:val="2F49D885"/>
    <w:rsid w:val="2F5C2D9E"/>
    <w:rsid w:val="2F74E6AA"/>
    <w:rsid w:val="2F99522E"/>
    <w:rsid w:val="2FD9F0FF"/>
    <w:rsid w:val="2FEBBDD8"/>
    <w:rsid w:val="302FAC6C"/>
    <w:rsid w:val="3059B11A"/>
    <w:rsid w:val="3059E7D0"/>
    <w:rsid w:val="30AC5594"/>
    <w:rsid w:val="30B40E3F"/>
    <w:rsid w:val="30D19147"/>
    <w:rsid w:val="30DD638C"/>
    <w:rsid w:val="30E23366"/>
    <w:rsid w:val="3110A603"/>
    <w:rsid w:val="3145D67D"/>
    <w:rsid w:val="31864BB5"/>
    <w:rsid w:val="31864C25"/>
    <w:rsid w:val="31877CEA"/>
    <w:rsid w:val="31B5E3E1"/>
    <w:rsid w:val="31BC8E35"/>
    <w:rsid w:val="31BCA2D7"/>
    <w:rsid w:val="31D930DE"/>
    <w:rsid w:val="31D9C6AB"/>
    <w:rsid w:val="31F1E31C"/>
    <w:rsid w:val="3258DCE5"/>
    <w:rsid w:val="32683B5E"/>
    <w:rsid w:val="3277BBBC"/>
    <w:rsid w:val="329532EB"/>
    <w:rsid w:val="32B8F928"/>
    <w:rsid w:val="32C08681"/>
    <w:rsid w:val="32D96BF0"/>
    <w:rsid w:val="33005525"/>
    <w:rsid w:val="330C1294"/>
    <w:rsid w:val="334EEF45"/>
    <w:rsid w:val="336BC8F5"/>
    <w:rsid w:val="337BABCE"/>
    <w:rsid w:val="33837D14"/>
    <w:rsid w:val="339CDCE7"/>
    <w:rsid w:val="33D5166F"/>
    <w:rsid w:val="33E82232"/>
    <w:rsid w:val="340F1FD4"/>
    <w:rsid w:val="342D7580"/>
    <w:rsid w:val="344EA500"/>
    <w:rsid w:val="3454C190"/>
    <w:rsid w:val="34727B94"/>
    <w:rsid w:val="347CB42E"/>
    <w:rsid w:val="3486FD41"/>
    <w:rsid w:val="348F203A"/>
    <w:rsid w:val="34AEEEF0"/>
    <w:rsid w:val="34C3C37F"/>
    <w:rsid w:val="34CDE127"/>
    <w:rsid w:val="34D403AE"/>
    <w:rsid w:val="34E3F0D8"/>
    <w:rsid w:val="34E78C48"/>
    <w:rsid w:val="34FAAFC3"/>
    <w:rsid w:val="3518B298"/>
    <w:rsid w:val="35584290"/>
    <w:rsid w:val="35601B24"/>
    <w:rsid w:val="358830AD"/>
    <w:rsid w:val="35BFA4C2"/>
    <w:rsid w:val="35EBEFEB"/>
    <w:rsid w:val="3600093F"/>
    <w:rsid w:val="360262E0"/>
    <w:rsid w:val="3608C148"/>
    <w:rsid w:val="365CE431"/>
    <w:rsid w:val="366508D1"/>
    <w:rsid w:val="3675A906"/>
    <w:rsid w:val="368C8246"/>
    <w:rsid w:val="3695A853"/>
    <w:rsid w:val="36A7ABDE"/>
    <w:rsid w:val="36AE2DA5"/>
    <w:rsid w:val="36DCE6B0"/>
    <w:rsid w:val="36FEAC06"/>
    <w:rsid w:val="373DEB1A"/>
    <w:rsid w:val="377573C2"/>
    <w:rsid w:val="3791982A"/>
    <w:rsid w:val="37AB008A"/>
    <w:rsid w:val="37C1C681"/>
    <w:rsid w:val="37C8FDF2"/>
    <w:rsid w:val="37FE46D6"/>
    <w:rsid w:val="3820BC00"/>
    <w:rsid w:val="3839A732"/>
    <w:rsid w:val="38505325"/>
    <w:rsid w:val="3863FA49"/>
    <w:rsid w:val="3865E2DC"/>
    <w:rsid w:val="388FE5AD"/>
    <w:rsid w:val="38BF7705"/>
    <w:rsid w:val="38F3CEB2"/>
    <w:rsid w:val="38F6CEA2"/>
    <w:rsid w:val="38FB0D5B"/>
    <w:rsid w:val="39482B24"/>
    <w:rsid w:val="394E7CE1"/>
    <w:rsid w:val="395D0C4F"/>
    <w:rsid w:val="3973678D"/>
    <w:rsid w:val="398FDB16"/>
    <w:rsid w:val="39AABA12"/>
    <w:rsid w:val="39AABEE8"/>
    <w:rsid w:val="39B3AB76"/>
    <w:rsid w:val="39BA1AA2"/>
    <w:rsid w:val="39C32D67"/>
    <w:rsid w:val="39F411B7"/>
    <w:rsid w:val="39FC4CFA"/>
    <w:rsid w:val="3A03AB7B"/>
    <w:rsid w:val="3A108E3E"/>
    <w:rsid w:val="3A3FCB6E"/>
    <w:rsid w:val="3A6181B2"/>
    <w:rsid w:val="3A71F22F"/>
    <w:rsid w:val="3AA257C2"/>
    <w:rsid w:val="3AABBBCD"/>
    <w:rsid w:val="3AACF555"/>
    <w:rsid w:val="3AC0064C"/>
    <w:rsid w:val="3AD0532B"/>
    <w:rsid w:val="3AE0E847"/>
    <w:rsid w:val="3AF62D70"/>
    <w:rsid w:val="3AF751E4"/>
    <w:rsid w:val="3AF9AFBC"/>
    <w:rsid w:val="3B1A8F65"/>
    <w:rsid w:val="3B491A29"/>
    <w:rsid w:val="3B83C12E"/>
    <w:rsid w:val="3B900956"/>
    <w:rsid w:val="3BC8DCE3"/>
    <w:rsid w:val="3BCBFC8A"/>
    <w:rsid w:val="3BD63F87"/>
    <w:rsid w:val="3BDDECB3"/>
    <w:rsid w:val="3BED5A82"/>
    <w:rsid w:val="3BFAC693"/>
    <w:rsid w:val="3C0B7349"/>
    <w:rsid w:val="3C24B98D"/>
    <w:rsid w:val="3C2AD28A"/>
    <w:rsid w:val="3C31F78F"/>
    <w:rsid w:val="3C52E5A3"/>
    <w:rsid w:val="3C64CE79"/>
    <w:rsid w:val="3C6F80C6"/>
    <w:rsid w:val="3C757143"/>
    <w:rsid w:val="3C9B2E27"/>
    <w:rsid w:val="3CA8BDB6"/>
    <w:rsid w:val="3CBEAB9E"/>
    <w:rsid w:val="3CC541F4"/>
    <w:rsid w:val="3D0F38CC"/>
    <w:rsid w:val="3D1574DC"/>
    <w:rsid w:val="3DC84F6F"/>
    <w:rsid w:val="3E094496"/>
    <w:rsid w:val="3E26258B"/>
    <w:rsid w:val="3E44CB63"/>
    <w:rsid w:val="3E60AE2E"/>
    <w:rsid w:val="3E62D8C4"/>
    <w:rsid w:val="3E7C2F8A"/>
    <w:rsid w:val="3E963654"/>
    <w:rsid w:val="3EA3EBFD"/>
    <w:rsid w:val="3EBBAD87"/>
    <w:rsid w:val="3EC7FF66"/>
    <w:rsid w:val="3ED2738E"/>
    <w:rsid w:val="3EE0C916"/>
    <w:rsid w:val="3EE2B6BC"/>
    <w:rsid w:val="3EEE4DDC"/>
    <w:rsid w:val="3F02DF8C"/>
    <w:rsid w:val="3F190DF4"/>
    <w:rsid w:val="3F2B76E9"/>
    <w:rsid w:val="3F2DEDD3"/>
    <w:rsid w:val="3F65677A"/>
    <w:rsid w:val="3F9C195B"/>
    <w:rsid w:val="3FA56A86"/>
    <w:rsid w:val="3FAF61A0"/>
    <w:rsid w:val="3FB675C2"/>
    <w:rsid w:val="3FB9298C"/>
    <w:rsid w:val="3FC594E3"/>
    <w:rsid w:val="3FCC55D9"/>
    <w:rsid w:val="3FFB0F8B"/>
    <w:rsid w:val="4022837B"/>
    <w:rsid w:val="40347D8D"/>
    <w:rsid w:val="405102AB"/>
    <w:rsid w:val="4052CA53"/>
    <w:rsid w:val="40555613"/>
    <w:rsid w:val="4079546A"/>
    <w:rsid w:val="408F6A52"/>
    <w:rsid w:val="40A00FBD"/>
    <w:rsid w:val="40C087AA"/>
    <w:rsid w:val="40D74DC6"/>
    <w:rsid w:val="40FD3F37"/>
    <w:rsid w:val="410E506B"/>
    <w:rsid w:val="41289406"/>
    <w:rsid w:val="412B768E"/>
    <w:rsid w:val="4142CEA3"/>
    <w:rsid w:val="4142F4CD"/>
    <w:rsid w:val="41572FF1"/>
    <w:rsid w:val="4170F319"/>
    <w:rsid w:val="4191F204"/>
    <w:rsid w:val="41AB69D8"/>
    <w:rsid w:val="41B30136"/>
    <w:rsid w:val="41DA693A"/>
    <w:rsid w:val="420A751A"/>
    <w:rsid w:val="4222D0E9"/>
    <w:rsid w:val="424A810D"/>
    <w:rsid w:val="425C9C06"/>
    <w:rsid w:val="425D1341"/>
    <w:rsid w:val="425D8805"/>
    <w:rsid w:val="4270488C"/>
    <w:rsid w:val="42837F8F"/>
    <w:rsid w:val="4287EEB7"/>
    <w:rsid w:val="428BF349"/>
    <w:rsid w:val="42D5F4F4"/>
    <w:rsid w:val="42DBDEA9"/>
    <w:rsid w:val="42E0EE65"/>
    <w:rsid w:val="42F15FEE"/>
    <w:rsid w:val="4307AF21"/>
    <w:rsid w:val="43139E84"/>
    <w:rsid w:val="43393E44"/>
    <w:rsid w:val="434D08D1"/>
    <w:rsid w:val="434F35EC"/>
    <w:rsid w:val="4355B606"/>
    <w:rsid w:val="4364A54B"/>
    <w:rsid w:val="43767A7E"/>
    <w:rsid w:val="439F4A1B"/>
    <w:rsid w:val="43A46028"/>
    <w:rsid w:val="43FA5633"/>
    <w:rsid w:val="4406E06D"/>
    <w:rsid w:val="44299D56"/>
    <w:rsid w:val="4440C8E0"/>
    <w:rsid w:val="44697BD7"/>
    <w:rsid w:val="4477C8B2"/>
    <w:rsid w:val="4487EDC2"/>
    <w:rsid w:val="448CD0FE"/>
    <w:rsid w:val="448EDA2E"/>
    <w:rsid w:val="449902A9"/>
    <w:rsid w:val="44C2437F"/>
    <w:rsid w:val="44CA0D7F"/>
    <w:rsid w:val="44CD0162"/>
    <w:rsid w:val="4529B433"/>
    <w:rsid w:val="452D87CB"/>
    <w:rsid w:val="454B67FB"/>
    <w:rsid w:val="456ED857"/>
    <w:rsid w:val="456FF28A"/>
    <w:rsid w:val="45721B7E"/>
    <w:rsid w:val="457ABF2E"/>
    <w:rsid w:val="45D2B0E9"/>
    <w:rsid w:val="45E9F832"/>
    <w:rsid w:val="45F8138F"/>
    <w:rsid w:val="465E99D0"/>
    <w:rsid w:val="46716A11"/>
    <w:rsid w:val="46728CE1"/>
    <w:rsid w:val="4688CC5E"/>
    <w:rsid w:val="469DDA7C"/>
    <w:rsid w:val="46A5801F"/>
    <w:rsid w:val="46AB9027"/>
    <w:rsid w:val="46C05A89"/>
    <w:rsid w:val="46E86F4A"/>
    <w:rsid w:val="4707BEB6"/>
    <w:rsid w:val="471B149F"/>
    <w:rsid w:val="4734D680"/>
    <w:rsid w:val="47744C63"/>
    <w:rsid w:val="47919C97"/>
    <w:rsid w:val="47942817"/>
    <w:rsid w:val="47A27E6E"/>
    <w:rsid w:val="47B23E4F"/>
    <w:rsid w:val="47D9F7C1"/>
    <w:rsid w:val="47E1F482"/>
    <w:rsid w:val="4801CB3F"/>
    <w:rsid w:val="480A8458"/>
    <w:rsid w:val="482E085E"/>
    <w:rsid w:val="4842E022"/>
    <w:rsid w:val="4846C18F"/>
    <w:rsid w:val="4863EB02"/>
    <w:rsid w:val="48640DDB"/>
    <w:rsid w:val="48670303"/>
    <w:rsid w:val="48677EC6"/>
    <w:rsid w:val="487AE532"/>
    <w:rsid w:val="489386B7"/>
    <w:rsid w:val="48CBDD8A"/>
    <w:rsid w:val="48CD28AB"/>
    <w:rsid w:val="48D91D78"/>
    <w:rsid w:val="490FDEB8"/>
    <w:rsid w:val="492080FE"/>
    <w:rsid w:val="4927F37D"/>
    <w:rsid w:val="492AE7DA"/>
    <w:rsid w:val="4931CD7E"/>
    <w:rsid w:val="493F7C3E"/>
    <w:rsid w:val="494C26E4"/>
    <w:rsid w:val="494CDF1C"/>
    <w:rsid w:val="495692A6"/>
    <w:rsid w:val="496AC9F5"/>
    <w:rsid w:val="499D03A6"/>
    <w:rsid w:val="49CA4482"/>
    <w:rsid w:val="49E35DCD"/>
    <w:rsid w:val="49F91BC9"/>
    <w:rsid w:val="4A0CACD2"/>
    <w:rsid w:val="4A34A3ED"/>
    <w:rsid w:val="4A36D510"/>
    <w:rsid w:val="4A404C39"/>
    <w:rsid w:val="4A5BDF53"/>
    <w:rsid w:val="4A611206"/>
    <w:rsid w:val="4A637C2C"/>
    <w:rsid w:val="4A7492BD"/>
    <w:rsid w:val="4A8AB20B"/>
    <w:rsid w:val="4A977A7A"/>
    <w:rsid w:val="4A97B9CC"/>
    <w:rsid w:val="4AA55C61"/>
    <w:rsid w:val="4AD4FCE4"/>
    <w:rsid w:val="4AE2E6A7"/>
    <w:rsid w:val="4AF892D2"/>
    <w:rsid w:val="4AFF8CBF"/>
    <w:rsid w:val="4B94374C"/>
    <w:rsid w:val="4B947450"/>
    <w:rsid w:val="4B9A0856"/>
    <w:rsid w:val="4BA6C673"/>
    <w:rsid w:val="4BA80D31"/>
    <w:rsid w:val="4BAA5C00"/>
    <w:rsid w:val="4BAEC0C7"/>
    <w:rsid w:val="4BC0F3AC"/>
    <w:rsid w:val="4BD6D551"/>
    <w:rsid w:val="4BE374ED"/>
    <w:rsid w:val="4C36B46A"/>
    <w:rsid w:val="4C4321A9"/>
    <w:rsid w:val="4C67E4D7"/>
    <w:rsid w:val="4C7F0A9C"/>
    <w:rsid w:val="4C86D667"/>
    <w:rsid w:val="4C8767C0"/>
    <w:rsid w:val="4C95354E"/>
    <w:rsid w:val="4CA2A954"/>
    <w:rsid w:val="4CB709C4"/>
    <w:rsid w:val="4CC60ACB"/>
    <w:rsid w:val="4CE1FE80"/>
    <w:rsid w:val="4D2059D0"/>
    <w:rsid w:val="4D3C545F"/>
    <w:rsid w:val="4D62CCC7"/>
    <w:rsid w:val="4D660266"/>
    <w:rsid w:val="4D698637"/>
    <w:rsid w:val="4D74A50A"/>
    <w:rsid w:val="4D91E508"/>
    <w:rsid w:val="4DB31034"/>
    <w:rsid w:val="4DE36F02"/>
    <w:rsid w:val="4DF4DD33"/>
    <w:rsid w:val="4E0A36FF"/>
    <w:rsid w:val="4E0C1674"/>
    <w:rsid w:val="4E286C74"/>
    <w:rsid w:val="4E464A14"/>
    <w:rsid w:val="4E531F09"/>
    <w:rsid w:val="4E59C9E5"/>
    <w:rsid w:val="4E6082EF"/>
    <w:rsid w:val="4E6C4766"/>
    <w:rsid w:val="4E912BB8"/>
    <w:rsid w:val="4EAEE5E4"/>
    <w:rsid w:val="4EC7A38C"/>
    <w:rsid w:val="4ECC0726"/>
    <w:rsid w:val="4EEC066E"/>
    <w:rsid w:val="4EF11722"/>
    <w:rsid w:val="4EF557C3"/>
    <w:rsid w:val="4F32A290"/>
    <w:rsid w:val="4F36C44A"/>
    <w:rsid w:val="4F3841CF"/>
    <w:rsid w:val="4F3EA7FE"/>
    <w:rsid w:val="4F4DB099"/>
    <w:rsid w:val="4F4E311A"/>
    <w:rsid w:val="4F7F4A28"/>
    <w:rsid w:val="4F821DA5"/>
    <w:rsid w:val="4F92C218"/>
    <w:rsid w:val="4FBEA648"/>
    <w:rsid w:val="4FBF2FBD"/>
    <w:rsid w:val="4FFE81D1"/>
    <w:rsid w:val="50164B94"/>
    <w:rsid w:val="50380345"/>
    <w:rsid w:val="505B225F"/>
    <w:rsid w:val="5075E360"/>
    <w:rsid w:val="507F260C"/>
    <w:rsid w:val="5086E50C"/>
    <w:rsid w:val="509889FE"/>
    <w:rsid w:val="50B8D66A"/>
    <w:rsid w:val="50BD30D4"/>
    <w:rsid w:val="50FE9003"/>
    <w:rsid w:val="510736D0"/>
    <w:rsid w:val="512F7A96"/>
    <w:rsid w:val="51368983"/>
    <w:rsid w:val="514BE64A"/>
    <w:rsid w:val="5178F2EB"/>
    <w:rsid w:val="518304E0"/>
    <w:rsid w:val="51A54B33"/>
    <w:rsid w:val="51C1B2D5"/>
    <w:rsid w:val="51F543E4"/>
    <w:rsid w:val="521572FB"/>
    <w:rsid w:val="5229D459"/>
    <w:rsid w:val="5229E702"/>
    <w:rsid w:val="523FEFB7"/>
    <w:rsid w:val="5267AFEE"/>
    <w:rsid w:val="52713D06"/>
    <w:rsid w:val="527B02B5"/>
    <w:rsid w:val="52BDAABF"/>
    <w:rsid w:val="52E86D5F"/>
    <w:rsid w:val="52FDD541"/>
    <w:rsid w:val="53136AF4"/>
    <w:rsid w:val="5319952C"/>
    <w:rsid w:val="5320BCD6"/>
    <w:rsid w:val="53247412"/>
    <w:rsid w:val="533D8CDB"/>
    <w:rsid w:val="5348BDD9"/>
    <w:rsid w:val="536A631F"/>
    <w:rsid w:val="53780862"/>
    <w:rsid w:val="537D3369"/>
    <w:rsid w:val="537DA0B5"/>
    <w:rsid w:val="53BCDC4D"/>
    <w:rsid w:val="54415E99"/>
    <w:rsid w:val="5443F46A"/>
    <w:rsid w:val="547998C4"/>
    <w:rsid w:val="54E9A202"/>
    <w:rsid w:val="54F454FA"/>
    <w:rsid w:val="550BFC16"/>
    <w:rsid w:val="554961E3"/>
    <w:rsid w:val="55747182"/>
    <w:rsid w:val="55BE85B4"/>
    <w:rsid w:val="55C76E8D"/>
    <w:rsid w:val="55C8E5D1"/>
    <w:rsid w:val="560ED3AF"/>
    <w:rsid w:val="5612F112"/>
    <w:rsid w:val="5654A6A5"/>
    <w:rsid w:val="568C9276"/>
    <w:rsid w:val="56C03A64"/>
    <w:rsid w:val="56C41E2E"/>
    <w:rsid w:val="56E68A96"/>
    <w:rsid w:val="56E9FA0A"/>
    <w:rsid w:val="56F85DF4"/>
    <w:rsid w:val="573E6A60"/>
    <w:rsid w:val="57858EBB"/>
    <w:rsid w:val="578B585B"/>
    <w:rsid w:val="578C67BD"/>
    <w:rsid w:val="578FD1B0"/>
    <w:rsid w:val="57916CDC"/>
    <w:rsid w:val="57A256ED"/>
    <w:rsid w:val="57A5A52C"/>
    <w:rsid w:val="57B9C581"/>
    <w:rsid w:val="57D4E16D"/>
    <w:rsid w:val="57E88E7D"/>
    <w:rsid w:val="58242E38"/>
    <w:rsid w:val="5855D593"/>
    <w:rsid w:val="586E55E5"/>
    <w:rsid w:val="587C5157"/>
    <w:rsid w:val="587C8B9E"/>
    <w:rsid w:val="5883FAE3"/>
    <w:rsid w:val="58D99F72"/>
    <w:rsid w:val="58DCA71D"/>
    <w:rsid w:val="590574A7"/>
    <w:rsid w:val="590C48D5"/>
    <w:rsid w:val="591AC24A"/>
    <w:rsid w:val="59350FE3"/>
    <w:rsid w:val="593EE5D7"/>
    <w:rsid w:val="59446436"/>
    <w:rsid w:val="5951F67D"/>
    <w:rsid w:val="59900849"/>
    <w:rsid w:val="599E6B85"/>
    <w:rsid w:val="59A10D84"/>
    <w:rsid w:val="59A221F7"/>
    <w:rsid w:val="59E7C752"/>
    <w:rsid w:val="59FCC340"/>
    <w:rsid w:val="5A130D07"/>
    <w:rsid w:val="5A29880D"/>
    <w:rsid w:val="5A51BF4F"/>
    <w:rsid w:val="5A551936"/>
    <w:rsid w:val="5A754F6C"/>
    <w:rsid w:val="5A9B6DEC"/>
    <w:rsid w:val="5ABE1414"/>
    <w:rsid w:val="5AE6A523"/>
    <w:rsid w:val="5B026D3D"/>
    <w:rsid w:val="5B0FB730"/>
    <w:rsid w:val="5B4A5167"/>
    <w:rsid w:val="5B669514"/>
    <w:rsid w:val="5B7F433A"/>
    <w:rsid w:val="5BBB2ABC"/>
    <w:rsid w:val="5BCE8389"/>
    <w:rsid w:val="5BE36216"/>
    <w:rsid w:val="5BF60104"/>
    <w:rsid w:val="5BFAC7A7"/>
    <w:rsid w:val="5C2C229F"/>
    <w:rsid w:val="5C33D501"/>
    <w:rsid w:val="5C343D71"/>
    <w:rsid w:val="5C3E2A04"/>
    <w:rsid w:val="5C4166DD"/>
    <w:rsid w:val="5C502E18"/>
    <w:rsid w:val="5C57DBAA"/>
    <w:rsid w:val="5C657C3B"/>
    <w:rsid w:val="5C91E937"/>
    <w:rsid w:val="5CA006BD"/>
    <w:rsid w:val="5CBF0F10"/>
    <w:rsid w:val="5CDB7543"/>
    <w:rsid w:val="5CDD6EB0"/>
    <w:rsid w:val="5CEE658B"/>
    <w:rsid w:val="5CF4C404"/>
    <w:rsid w:val="5D3295BB"/>
    <w:rsid w:val="5D470A61"/>
    <w:rsid w:val="5D4A3DED"/>
    <w:rsid w:val="5D5C620E"/>
    <w:rsid w:val="5D5D4CD7"/>
    <w:rsid w:val="5D9672EA"/>
    <w:rsid w:val="5D9C9144"/>
    <w:rsid w:val="5DCA488D"/>
    <w:rsid w:val="5DF65CA9"/>
    <w:rsid w:val="5E217AEB"/>
    <w:rsid w:val="5E23BF7A"/>
    <w:rsid w:val="5E25F1A3"/>
    <w:rsid w:val="5E2B2D15"/>
    <w:rsid w:val="5E467A41"/>
    <w:rsid w:val="5E5F54BC"/>
    <w:rsid w:val="5E73A7FA"/>
    <w:rsid w:val="5E900D0D"/>
    <w:rsid w:val="5EE2B18B"/>
    <w:rsid w:val="5EE67CE7"/>
    <w:rsid w:val="5F053FCA"/>
    <w:rsid w:val="5F08779E"/>
    <w:rsid w:val="5F2C4475"/>
    <w:rsid w:val="5F36A12A"/>
    <w:rsid w:val="5F3955F1"/>
    <w:rsid w:val="5F51F8DB"/>
    <w:rsid w:val="5F6F741D"/>
    <w:rsid w:val="5F863F79"/>
    <w:rsid w:val="5F902CB6"/>
    <w:rsid w:val="5F93DC5A"/>
    <w:rsid w:val="5FA07790"/>
    <w:rsid w:val="5FA96C53"/>
    <w:rsid w:val="5FCBA997"/>
    <w:rsid w:val="5FFA7F41"/>
    <w:rsid w:val="5FFE42C5"/>
    <w:rsid w:val="60148269"/>
    <w:rsid w:val="602006D3"/>
    <w:rsid w:val="602BDD6E"/>
    <w:rsid w:val="6076EB5B"/>
    <w:rsid w:val="6082946E"/>
    <w:rsid w:val="609207C0"/>
    <w:rsid w:val="60A8F03F"/>
    <w:rsid w:val="60CBDC45"/>
    <w:rsid w:val="60DBF883"/>
    <w:rsid w:val="60FC6205"/>
    <w:rsid w:val="612006EF"/>
    <w:rsid w:val="6123BB81"/>
    <w:rsid w:val="615DE7AD"/>
    <w:rsid w:val="61A0AAC4"/>
    <w:rsid w:val="61B86382"/>
    <w:rsid w:val="61BE47A5"/>
    <w:rsid w:val="61BFBD58"/>
    <w:rsid w:val="61C0B242"/>
    <w:rsid w:val="61C46BE9"/>
    <w:rsid w:val="61E641F4"/>
    <w:rsid w:val="62494E52"/>
    <w:rsid w:val="62574271"/>
    <w:rsid w:val="6257F771"/>
    <w:rsid w:val="62623259"/>
    <w:rsid w:val="62998AC5"/>
    <w:rsid w:val="629CF816"/>
    <w:rsid w:val="62B0B4DE"/>
    <w:rsid w:val="62F96B6C"/>
    <w:rsid w:val="6300D806"/>
    <w:rsid w:val="6305E547"/>
    <w:rsid w:val="63229FB0"/>
    <w:rsid w:val="6348235C"/>
    <w:rsid w:val="63514D6F"/>
    <w:rsid w:val="635FE1FC"/>
    <w:rsid w:val="6378CF28"/>
    <w:rsid w:val="637905A1"/>
    <w:rsid w:val="639F17A8"/>
    <w:rsid w:val="63C24BB6"/>
    <w:rsid w:val="63CB693F"/>
    <w:rsid w:val="63CE08EB"/>
    <w:rsid w:val="63DBF7CE"/>
    <w:rsid w:val="63E5A427"/>
    <w:rsid w:val="63ED60ED"/>
    <w:rsid w:val="644D821F"/>
    <w:rsid w:val="644F92C6"/>
    <w:rsid w:val="6452ECF3"/>
    <w:rsid w:val="6485EF68"/>
    <w:rsid w:val="6490BC6F"/>
    <w:rsid w:val="64B3D8A6"/>
    <w:rsid w:val="64D0A2C0"/>
    <w:rsid w:val="64ED9D4D"/>
    <w:rsid w:val="64F70D5E"/>
    <w:rsid w:val="6531954A"/>
    <w:rsid w:val="65334DB0"/>
    <w:rsid w:val="65393D52"/>
    <w:rsid w:val="65421791"/>
    <w:rsid w:val="6569D417"/>
    <w:rsid w:val="65A1520D"/>
    <w:rsid w:val="65BB1C7A"/>
    <w:rsid w:val="65F31184"/>
    <w:rsid w:val="660179B4"/>
    <w:rsid w:val="66072521"/>
    <w:rsid w:val="6619C8F6"/>
    <w:rsid w:val="666D0F0A"/>
    <w:rsid w:val="66AE0D16"/>
    <w:rsid w:val="66CB28EA"/>
    <w:rsid w:val="66FCB9F3"/>
    <w:rsid w:val="67085416"/>
    <w:rsid w:val="670C6133"/>
    <w:rsid w:val="67204FC3"/>
    <w:rsid w:val="6720E1AA"/>
    <w:rsid w:val="672ED60B"/>
    <w:rsid w:val="673744B9"/>
    <w:rsid w:val="6741E731"/>
    <w:rsid w:val="6801B5C9"/>
    <w:rsid w:val="6817DB0F"/>
    <w:rsid w:val="681E3E31"/>
    <w:rsid w:val="682519F3"/>
    <w:rsid w:val="684984A9"/>
    <w:rsid w:val="68582B1E"/>
    <w:rsid w:val="685F353A"/>
    <w:rsid w:val="686197F3"/>
    <w:rsid w:val="6863366F"/>
    <w:rsid w:val="68668BF5"/>
    <w:rsid w:val="68916B1F"/>
    <w:rsid w:val="68A7A02A"/>
    <w:rsid w:val="6928FB48"/>
    <w:rsid w:val="693594DA"/>
    <w:rsid w:val="694C0E33"/>
    <w:rsid w:val="6957A69F"/>
    <w:rsid w:val="695BDF9B"/>
    <w:rsid w:val="697048FD"/>
    <w:rsid w:val="69A123CD"/>
    <w:rsid w:val="69CC4A15"/>
    <w:rsid w:val="6A16971D"/>
    <w:rsid w:val="6A58BE09"/>
    <w:rsid w:val="6AE28692"/>
    <w:rsid w:val="6B224A48"/>
    <w:rsid w:val="6B2D7184"/>
    <w:rsid w:val="6B358497"/>
    <w:rsid w:val="6B36BA26"/>
    <w:rsid w:val="6B6209A2"/>
    <w:rsid w:val="6B999CF9"/>
    <w:rsid w:val="6BD78029"/>
    <w:rsid w:val="6BD8A481"/>
    <w:rsid w:val="6BDF0B50"/>
    <w:rsid w:val="6BF36089"/>
    <w:rsid w:val="6C05D623"/>
    <w:rsid w:val="6C2302DD"/>
    <w:rsid w:val="6C32F82C"/>
    <w:rsid w:val="6C5C6245"/>
    <w:rsid w:val="6C756B09"/>
    <w:rsid w:val="6C909FCD"/>
    <w:rsid w:val="6CA5D911"/>
    <w:rsid w:val="6CC08072"/>
    <w:rsid w:val="6CDE445B"/>
    <w:rsid w:val="6D4BF6E6"/>
    <w:rsid w:val="6D68276C"/>
    <w:rsid w:val="6D737014"/>
    <w:rsid w:val="6D8A6D62"/>
    <w:rsid w:val="6DA66D76"/>
    <w:rsid w:val="6DAE9F1E"/>
    <w:rsid w:val="6E094EDF"/>
    <w:rsid w:val="6E390852"/>
    <w:rsid w:val="6E46B1DE"/>
    <w:rsid w:val="6E5B12CE"/>
    <w:rsid w:val="6E5B22AB"/>
    <w:rsid w:val="6E920296"/>
    <w:rsid w:val="6EFB568A"/>
    <w:rsid w:val="6F0C59DA"/>
    <w:rsid w:val="6F167166"/>
    <w:rsid w:val="6F41CE5D"/>
    <w:rsid w:val="6F5A8F9D"/>
    <w:rsid w:val="6F611C1D"/>
    <w:rsid w:val="6F854E13"/>
    <w:rsid w:val="6F977AB3"/>
    <w:rsid w:val="6FAE7B94"/>
    <w:rsid w:val="6FB8C7F8"/>
    <w:rsid w:val="6FD3FEAA"/>
    <w:rsid w:val="6FFF74AF"/>
    <w:rsid w:val="70020F9C"/>
    <w:rsid w:val="702F3EF4"/>
    <w:rsid w:val="7061AB59"/>
    <w:rsid w:val="70673119"/>
    <w:rsid w:val="70826417"/>
    <w:rsid w:val="708555E9"/>
    <w:rsid w:val="708EA8C5"/>
    <w:rsid w:val="709FB8BE"/>
    <w:rsid w:val="70A22135"/>
    <w:rsid w:val="70EDEFFD"/>
    <w:rsid w:val="70FD5125"/>
    <w:rsid w:val="71133BEB"/>
    <w:rsid w:val="71642DB2"/>
    <w:rsid w:val="716A2ED9"/>
    <w:rsid w:val="716BF983"/>
    <w:rsid w:val="71881560"/>
    <w:rsid w:val="718FA366"/>
    <w:rsid w:val="71B11B45"/>
    <w:rsid w:val="71B55EEF"/>
    <w:rsid w:val="71D63CCA"/>
    <w:rsid w:val="7208E876"/>
    <w:rsid w:val="721F28AE"/>
    <w:rsid w:val="722716FB"/>
    <w:rsid w:val="7229871E"/>
    <w:rsid w:val="7230AFEA"/>
    <w:rsid w:val="72478347"/>
    <w:rsid w:val="7262829A"/>
    <w:rsid w:val="726F0FFD"/>
    <w:rsid w:val="72A8890A"/>
    <w:rsid w:val="72B86C2F"/>
    <w:rsid w:val="72FD8B3E"/>
    <w:rsid w:val="730D4E15"/>
    <w:rsid w:val="7321C6B1"/>
    <w:rsid w:val="732FF22F"/>
    <w:rsid w:val="733600F3"/>
    <w:rsid w:val="733FE88F"/>
    <w:rsid w:val="73473205"/>
    <w:rsid w:val="735653E5"/>
    <w:rsid w:val="736268D5"/>
    <w:rsid w:val="737134F9"/>
    <w:rsid w:val="73730515"/>
    <w:rsid w:val="73AD4DBF"/>
    <w:rsid w:val="73B4B622"/>
    <w:rsid w:val="73E54358"/>
    <w:rsid w:val="73E993DD"/>
    <w:rsid w:val="73F255FE"/>
    <w:rsid w:val="742D7914"/>
    <w:rsid w:val="74371183"/>
    <w:rsid w:val="744D28BD"/>
    <w:rsid w:val="747503EF"/>
    <w:rsid w:val="747CB5F5"/>
    <w:rsid w:val="74A0AB43"/>
    <w:rsid w:val="74E795BC"/>
    <w:rsid w:val="74EC5CA7"/>
    <w:rsid w:val="750F653F"/>
    <w:rsid w:val="752284AD"/>
    <w:rsid w:val="75453A87"/>
    <w:rsid w:val="75505E36"/>
    <w:rsid w:val="75562A4A"/>
    <w:rsid w:val="75AC5D1F"/>
    <w:rsid w:val="75C4C4E0"/>
    <w:rsid w:val="75C849B9"/>
    <w:rsid w:val="75ECE96D"/>
    <w:rsid w:val="75EF3E69"/>
    <w:rsid w:val="75F5AC14"/>
    <w:rsid w:val="75FE23B6"/>
    <w:rsid w:val="76006624"/>
    <w:rsid w:val="760DB773"/>
    <w:rsid w:val="762637B6"/>
    <w:rsid w:val="76283645"/>
    <w:rsid w:val="763E8601"/>
    <w:rsid w:val="764784C5"/>
    <w:rsid w:val="764A9826"/>
    <w:rsid w:val="764ACD6E"/>
    <w:rsid w:val="76809DB2"/>
    <w:rsid w:val="7697BCE8"/>
    <w:rsid w:val="76B7B9AA"/>
    <w:rsid w:val="76BF7A65"/>
    <w:rsid w:val="76C1C9EB"/>
    <w:rsid w:val="76E067D0"/>
    <w:rsid w:val="76F0D300"/>
    <w:rsid w:val="76FDA51E"/>
    <w:rsid w:val="775EA33E"/>
    <w:rsid w:val="7774FE2B"/>
    <w:rsid w:val="77C46399"/>
    <w:rsid w:val="77C71D9E"/>
    <w:rsid w:val="77DB029E"/>
    <w:rsid w:val="77F9A555"/>
    <w:rsid w:val="78170EE1"/>
    <w:rsid w:val="785A6BE7"/>
    <w:rsid w:val="7867812C"/>
    <w:rsid w:val="7867922E"/>
    <w:rsid w:val="787EFEC6"/>
    <w:rsid w:val="78999934"/>
    <w:rsid w:val="78EDEDB5"/>
    <w:rsid w:val="79013180"/>
    <w:rsid w:val="790F2E7F"/>
    <w:rsid w:val="79353FA3"/>
    <w:rsid w:val="793940AB"/>
    <w:rsid w:val="793AD8B2"/>
    <w:rsid w:val="794D255D"/>
    <w:rsid w:val="7954968B"/>
    <w:rsid w:val="797D667C"/>
    <w:rsid w:val="79BF2589"/>
    <w:rsid w:val="79D9C201"/>
    <w:rsid w:val="7A400CD6"/>
    <w:rsid w:val="7A518A76"/>
    <w:rsid w:val="7A573BFA"/>
    <w:rsid w:val="7A58A9EA"/>
    <w:rsid w:val="7A666A18"/>
    <w:rsid w:val="7A75702A"/>
    <w:rsid w:val="7AA8DA39"/>
    <w:rsid w:val="7ABEF706"/>
    <w:rsid w:val="7AC8DB28"/>
    <w:rsid w:val="7AE037CF"/>
    <w:rsid w:val="7B02F4C7"/>
    <w:rsid w:val="7B27D118"/>
    <w:rsid w:val="7B302DEA"/>
    <w:rsid w:val="7B3995CD"/>
    <w:rsid w:val="7B3FACD0"/>
    <w:rsid w:val="7B48C84B"/>
    <w:rsid w:val="7B5E2C7D"/>
    <w:rsid w:val="7B5F8055"/>
    <w:rsid w:val="7B7FE5B2"/>
    <w:rsid w:val="7B8EEE2A"/>
    <w:rsid w:val="7B93BAE3"/>
    <w:rsid w:val="7BA1C174"/>
    <w:rsid w:val="7BB4AEB5"/>
    <w:rsid w:val="7BB774CF"/>
    <w:rsid w:val="7BC539F8"/>
    <w:rsid w:val="7BC9D39E"/>
    <w:rsid w:val="7BEBE399"/>
    <w:rsid w:val="7C594483"/>
    <w:rsid w:val="7C5F4E75"/>
    <w:rsid w:val="7C7E8A4C"/>
    <w:rsid w:val="7CC4F1DB"/>
    <w:rsid w:val="7D1426DF"/>
    <w:rsid w:val="7D245CFE"/>
    <w:rsid w:val="7D4820CA"/>
    <w:rsid w:val="7D589FD6"/>
    <w:rsid w:val="7D61D38B"/>
    <w:rsid w:val="7D87B3FA"/>
    <w:rsid w:val="7D8C424E"/>
    <w:rsid w:val="7DA3275D"/>
    <w:rsid w:val="7DD20C68"/>
    <w:rsid w:val="7DD810FD"/>
    <w:rsid w:val="7E0DB061"/>
    <w:rsid w:val="7E0F4999"/>
    <w:rsid w:val="7E250494"/>
    <w:rsid w:val="7E3CC8A1"/>
    <w:rsid w:val="7E663041"/>
    <w:rsid w:val="7EA34A92"/>
    <w:rsid w:val="7F1EA7D1"/>
    <w:rsid w:val="7F2481FC"/>
    <w:rsid w:val="7F3F5D9E"/>
    <w:rsid w:val="7F40F604"/>
    <w:rsid w:val="7F4B40E2"/>
    <w:rsid w:val="7F5B0F36"/>
    <w:rsid w:val="7F5E6935"/>
    <w:rsid w:val="7F642460"/>
    <w:rsid w:val="7F7F9CAC"/>
    <w:rsid w:val="7F8A1C03"/>
    <w:rsid w:val="7FA47B26"/>
    <w:rsid w:val="7FCB1D1B"/>
    <w:rsid w:val="7FD97921"/>
    <w:rsid w:val="7FE48D8D"/>
    <w:rsid w:val="7FF9398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47644"/>
  <w15:chartTrackingRefBased/>
  <w15:docId w15:val="{A1F7D4A3-9116-495B-9555-0A1CD104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8A"/>
    <w:pPr>
      <w:contextualSpacing/>
      <w:jc w:val="both"/>
    </w:pPr>
    <w:rPr>
      <w:rFonts w:ascii="Arial" w:hAnsi="Arial"/>
      <w:sz w:val="24"/>
      <w:lang w:val="es-ES_tradnl" w:eastAsia="es-ES"/>
    </w:rPr>
  </w:style>
  <w:style w:type="paragraph" w:styleId="Ttulo1">
    <w:name w:val="heading 1"/>
    <w:basedOn w:val="Normal"/>
    <w:next w:val="Normal"/>
    <w:link w:val="Ttulo1Car"/>
    <w:uiPriority w:val="9"/>
    <w:qFormat/>
    <w:pPr>
      <w:keepNext/>
      <w:tabs>
        <w:tab w:val="num" w:pos="2556"/>
      </w:tabs>
      <w:suppressAutoHyphens/>
      <w:spacing w:after="240"/>
      <w:ind w:left="2556" w:hanging="432"/>
      <w:outlineLvl w:val="0"/>
    </w:pPr>
    <w:rPr>
      <w:b/>
    </w:rPr>
  </w:style>
  <w:style w:type="paragraph" w:styleId="Ttulo2">
    <w:name w:val="heading 2"/>
    <w:basedOn w:val="Normal"/>
    <w:next w:val="Normal"/>
    <w:link w:val="Ttulo2Car"/>
    <w:uiPriority w:val="9"/>
    <w:qFormat/>
    <w:pPr>
      <w:keepNext/>
      <w:tabs>
        <w:tab w:val="num" w:pos="2700"/>
      </w:tabs>
      <w:spacing w:after="240"/>
      <w:ind w:left="2700" w:hanging="576"/>
      <w:outlineLvl w:val="1"/>
    </w:pPr>
    <w:rPr>
      <w:b/>
      <w:szCs w:val="24"/>
    </w:rPr>
  </w:style>
  <w:style w:type="paragraph" w:styleId="Ttulo3">
    <w:name w:val="heading 3"/>
    <w:basedOn w:val="Normal"/>
    <w:next w:val="Normal"/>
    <w:link w:val="Ttulo3Car"/>
    <w:uiPriority w:val="9"/>
    <w:qFormat/>
    <w:rsid w:val="006B5603"/>
    <w:pPr>
      <w:keepNext/>
      <w:tabs>
        <w:tab w:val="left" w:pos="0"/>
        <w:tab w:val="num" w:pos="2844"/>
      </w:tabs>
      <w:suppressAutoHyphens/>
      <w:spacing w:after="240"/>
      <w:ind w:left="2844" w:hanging="720"/>
      <w:outlineLvl w:val="2"/>
    </w:pPr>
    <w:rPr>
      <w:b/>
      <w:lang w:val="es-ES"/>
    </w:rPr>
  </w:style>
  <w:style w:type="paragraph" w:styleId="Ttulo4">
    <w:name w:val="heading 4"/>
    <w:basedOn w:val="Normal"/>
    <w:next w:val="Normal"/>
    <w:link w:val="Ttulo4Car"/>
    <w:uiPriority w:val="9"/>
    <w:qFormat/>
    <w:pPr>
      <w:keepNext/>
      <w:tabs>
        <w:tab w:val="num" w:pos="2988"/>
      </w:tabs>
      <w:spacing w:after="240"/>
      <w:ind w:left="2988" w:hanging="864"/>
      <w:outlineLvl w:val="3"/>
    </w:pPr>
    <w:rPr>
      <w:b/>
    </w:rPr>
  </w:style>
  <w:style w:type="paragraph" w:styleId="Ttulo5">
    <w:name w:val="heading 5"/>
    <w:basedOn w:val="Normal"/>
    <w:next w:val="Normal"/>
    <w:qFormat/>
    <w:pPr>
      <w:keepNext/>
      <w:tabs>
        <w:tab w:val="num" w:pos="3132"/>
      </w:tabs>
      <w:spacing w:after="240"/>
      <w:ind w:left="3132" w:hanging="1008"/>
      <w:outlineLvl w:val="4"/>
    </w:pPr>
    <w:rPr>
      <w:sz w:val="22"/>
    </w:rPr>
  </w:style>
  <w:style w:type="paragraph" w:styleId="Ttulo6">
    <w:name w:val="heading 6"/>
    <w:basedOn w:val="Normal"/>
    <w:next w:val="Normal"/>
    <w:qFormat/>
    <w:pPr>
      <w:tabs>
        <w:tab w:val="num" w:pos="3276"/>
      </w:tabs>
      <w:spacing w:before="240" w:after="60"/>
      <w:ind w:left="3276" w:hanging="1152"/>
      <w:outlineLvl w:val="5"/>
    </w:pPr>
    <w:rPr>
      <w:rFonts w:ascii="Times New Roman" w:hAnsi="Times New Roman"/>
      <w:i/>
      <w:sz w:val="22"/>
    </w:rPr>
  </w:style>
  <w:style w:type="paragraph" w:styleId="Ttulo7">
    <w:name w:val="heading 7"/>
    <w:basedOn w:val="Normal"/>
    <w:next w:val="Normal"/>
    <w:qFormat/>
    <w:pPr>
      <w:tabs>
        <w:tab w:val="num" w:pos="3420"/>
      </w:tabs>
      <w:spacing w:before="240" w:after="60"/>
      <w:ind w:left="3420" w:hanging="1296"/>
      <w:outlineLvl w:val="6"/>
    </w:pPr>
    <w:rPr>
      <w:sz w:val="20"/>
    </w:rPr>
  </w:style>
  <w:style w:type="paragraph" w:styleId="Ttulo8">
    <w:name w:val="heading 8"/>
    <w:basedOn w:val="Normal"/>
    <w:next w:val="Normal"/>
    <w:qFormat/>
    <w:pPr>
      <w:tabs>
        <w:tab w:val="num" w:pos="3564"/>
      </w:tabs>
      <w:spacing w:before="240" w:after="60"/>
      <w:ind w:left="3564" w:hanging="1440"/>
      <w:outlineLvl w:val="7"/>
    </w:pPr>
    <w:rPr>
      <w:i/>
      <w:sz w:val="20"/>
    </w:rPr>
  </w:style>
  <w:style w:type="paragraph" w:styleId="Ttulo9">
    <w:name w:val="heading 9"/>
    <w:basedOn w:val="Normal"/>
    <w:next w:val="Normal"/>
    <w:qFormat/>
    <w:pPr>
      <w:tabs>
        <w:tab w:val="num" w:pos="3708"/>
      </w:tabs>
      <w:spacing w:before="240" w:after="60"/>
      <w:ind w:left="3708" w:hanging="1584"/>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b/>
    </w:rPr>
  </w:style>
  <w:style w:type="paragraph" w:styleId="TDC1">
    <w:name w:val="toc 1"/>
    <w:basedOn w:val="Normal"/>
    <w:next w:val="Normal"/>
    <w:autoRedefine/>
    <w:uiPriority w:val="39"/>
    <w:rsid w:val="007134BE"/>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Pr>
      <w:sz w:val="20"/>
    </w:rPr>
  </w:style>
  <w:style w:type="paragraph" w:customStyle="1" w:styleId="Epgrafe">
    <w:name w:val="Epígrafe"/>
    <w:basedOn w:val="Normal"/>
    <w:next w:val="Normal"/>
    <w:uiPriority w:val="35"/>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o"/>
    <w:rPr>
      <w:vertAlign w:val="superscript"/>
    </w:rPr>
  </w:style>
  <w:style w:type="paragraph" w:styleId="Textoindependiente2">
    <w:name w:val="Body Text 2"/>
    <w:basedOn w:val="Normal"/>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rsid w:val="00874F87"/>
    <w:pPr>
      <w:tabs>
        <w:tab w:val="right" w:leader="dot" w:pos="8828"/>
      </w:tabs>
      <w:ind w:left="480" w:hanging="480"/>
    </w:pPr>
    <w:rPr>
      <w:noProof/>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table" w:styleId="Tablaconcuadrcula">
    <w:name w:val="Table Grid"/>
    <w:aliases w:val="Table Grid CEPA"/>
    <w:basedOn w:val="Tablanormal"/>
    <w:uiPriority w:val="39"/>
    <w:rsid w:val="00DB5859"/>
    <w:rPr>
      <w:rFonts w:ascii="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qFormat/>
    <w:rsid w:val="00DB5859"/>
    <w:rPr>
      <w:rFonts w:ascii="Arial" w:hAnsi="Arial"/>
      <w:sz w:val="24"/>
      <w:lang w:val="es-ES_tradnl" w:eastAsia="es-ES"/>
    </w:rPr>
  </w:style>
  <w:style w:type="paragraph" w:customStyle="1" w:styleId="TtuloTDC1">
    <w:name w:val="Título TDC1"/>
    <w:basedOn w:val="Ttulo1"/>
    <w:next w:val="Normal"/>
    <w:uiPriority w:val="39"/>
    <w:unhideWhenUsed/>
    <w:qFormat/>
    <w:rsid w:val="004C1A0B"/>
    <w:pPr>
      <w:keepLines/>
      <w:suppressAutoHyphens w:val="0"/>
      <w:spacing w:before="240" w:after="0" w:line="259" w:lineRule="auto"/>
      <w:ind w:left="0" w:firstLine="0"/>
      <w:jc w:val="left"/>
      <w:outlineLvl w:val="9"/>
    </w:pPr>
    <w:rPr>
      <w:rFonts w:ascii="Calibri Light" w:hAnsi="Calibri Light"/>
      <w:b w:val="0"/>
      <w:color w:val="2E74B5"/>
      <w:sz w:val="32"/>
      <w:szCs w:val="32"/>
      <w:lang w:val="es-CO" w:eastAsia="es-CO"/>
    </w:rPr>
  </w:style>
  <w:style w:type="numbering" w:customStyle="1" w:styleId="Estilo1">
    <w:name w:val="Estilo1"/>
    <w:uiPriority w:val="99"/>
    <w:rsid w:val="004C1A0B"/>
    <w:pPr>
      <w:numPr>
        <w:numId w:val="1"/>
      </w:numPr>
    </w:pPr>
  </w:style>
  <w:style w:type="character" w:styleId="Textodelmarcadordeposicin">
    <w:name w:val="Placeholder Text"/>
    <w:basedOn w:val="Fuentedeprrafopredeter"/>
    <w:uiPriority w:val="99"/>
    <w:semiHidden/>
    <w:rsid w:val="0025081D"/>
    <w:rPr>
      <w:color w:val="808080"/>
    </w:rPr>
  </w:style>
  <w:style w:type="paragraph" w:styleId="Textodeglobo">
    <w:name w:val="Balloon Text"/>
    <w:basedOn w:val="Normal"/>
    <w:link w:val="TextodegloboCar"/>
    <w:uiPriority w:val="99"/>
    <w:semiHidden/>
    <w:unhideWhenUsed/>
    <w:rsid w:val="004D49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966"/>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85405"/>
    <w:rPr>
      <w:b/>
      <w:bCs/>
    </w:rPr>
  </w:style>
  <w:style w:type="character" w:customStyle="1" w:styleId="AsuntodelcomentarioCar">
    <w:name w:val="Asunto del comentario Car"/>
    <w:basedOn w:val="TextocomentarioCar"/>
    <w:link w:val="Asuntodelcomentario"/>
    <w:uiPriority w:val="99"/>
    <w:semiHidden/>
    <w:rsid w:val="00C85405"/>
    <w:rPr>
      <w:rFonts w:ascii="Arial" w:hAnsi="Arial"/>
      <w:b/>
      <w:bCs/>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24026A"/>
    <w:rPr>
      <w:rFonts w:ascii="Arial" w:hAnsi="Arial"/>
      <w:lang w:val="es-ES_tradnl" w:eastAsia="es-ES"/>
    </w:rPr>
  </w:style>
  <w:style w:type="character" w:customStyle="1" w:styleId="Ttulo2Car">
    <w:name w:val="Título 2 Car"/>
    <w:basedOn w:val="Fuentedeprrafopredeter"/>
    <w:link w:val="Ttulo2"/>
    <w:uiPriority w:val="9"/>
    <w:rsid w:val="00080024"/>
    <w:rPr>
      <w:rFonts w:ascii="Arial" w:hAnsi="Arial"/>
      <w:b/>
      <w:sz w:val="24"/>
      <w:szCs w:val="24"/>
      <w:lang w:val="es-ES_tradnl" w:eastAsia="es-ES"/>
    </w:rPr>
  </w:style>
  <w:style w:type="paragraph" w:styleId="TtuloTDC">
    <w:name w:val="TOC Heading"/>
    <w:basedOn w:val="Ttulo1"/>
    <w:next w:val="Normal"/>
    <w:uiPriority w:val="39"/>
    <w:unhideWhenUsed/>
    <w:qFormat/>
    <w:rsid w:val="00B866EE"/>
    <w:pPr>
      <w:keepLines/>
      <w:suppressAutoHyphens w:val="0"/>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Sinespaciado">
    <w:name w:val="No Spacing"/>
    <w:uiPriority w:val="1"/>
    <w:qFormat/>
    <w:rsid w:val="00353F58"/>
    <w:pPr>
      <w:jc w:val="both"/>
    </w:pPr>
    <w:rPr>
      <w:rFonts w:ascii="Arial" w:hAnsi="Arial"/>
      <w:sz w:val="24"/>
      <w:lang w:val="es-ES_tradnl" w:eastAsia="es-ES"/>
    </w:rPr>
  </w:style>
  <w:style w:type="paragraph" w:styleId="Descripcin">
    <w:name w:val="caption"/>
    <w:basedOn w:val="Normal"/>
    <w:next w:val="Normal"/>
    <w:uiPriority w:val="35"/>
    <w:qFormat/>
    <w:rsid w:val="00AF02EA"/>
    <w:pPr>
      <w:spacing w:after="200"/>
    </w:pPr>
    <w:rPr>
      <w:b/>
      <w:iCs/>
      <w:szCs w:val="18"/>
    </w:rPr>
  </w:style>
  <w:style w:type="paragraph" w:styleId="Textonotaalfinal">
    <w:name w:val="endnote text"/>
    <w:basedOn w:val="Normal"/>
    <w:link w:val="TextonotaalfinalCar"/>
    <w:uiPriority w:val="99"/>
    <w:semiHidden/>
    <w:unhideWhenUsed/>
    <w:rsid w:val="00F55C86"/>
    <w:rPr>
      <w:sz w:val="20"/>
    </w:rPr>
  </w:style>
  <w:style w:type="character" w:customStyle="1" w:styleId="TextonotaalfinalCar">
    <w:name w:val="Texto nota al final Car"/>
    <w:basedOn w:val="Fuentedeprrafopredeter"/>
    <w:link w:val="Textonotaalfinal"/>
    <w:uiPriority w:val="99"/>
    <w:semiHidden/>
    <w:rsid w:val="00F55C86"/>
    <w:rPr>
      <w:rFonts w:ascii="Arial" w:hAnsi="Arial"/>
      <w:lang w:val="es-ES_tradnl" w:eastAsia="es-ES"/>
    </w:rPr>
  </w:style>
  <w:style w:type="character" w:styleId="Refdenotaalfinal">
    <w:name w:val="endnote reference"/>
    <w:basedOn w:val="Fuentedeprrafopredeter"/>
    <w:uiPriority w:val="99"/>
    <w:semiHidden/>
    <w:unhideWhenUsed/>
    <w:rsid w:val="00F55C86"/>
    <w:rPr>
      <w:vertAlign w:val="superscript"/>
    </w:rPr>
  </w:style>
  <w:style w:type="paragraph" w:customStyle="1" w:styleId="Respuestas">
    <w:name w:val="Respuestas"/>
    <w:basedOn w:val="Normal"/>
    <w:link w:val="RespuestasCar"/>
    <w:qFormat/>
    <w:rsid w:val="009F3CEC"/>
    <w:pPr>
      <w:numPr>
        <w:numId w:val="2"/>
      </w:numPr>
      <w:spacing w:before="240" w:after="240"/>
    </w:pPr>
    <w:rPr>
      <w:sz w:val="22"/>
      <w:szCs w:val="22"/>
      <w:lang w:val="es-ES"/>
    </w:rPr>
  </w:style>
  <w:style w:type="character" w:customStyle="1" w:styleId="RespuestasCar">
    <w:name w:val="Respuestas Car"/>
    <w:link w:val="Respuestas"/>
    <w:rsid w:val="00637527"/>
    <w:rPr>
      <w:rFonts w:ascii="Arial" w:hAnsi="Arial"/>
      <w:sz w:val="22"/>
      <w:szCs w:val="22"/>
      <w:lang w:val="es-ES" w:eastAsia="es-ES"/>
    </w:rPr>
  </w:style>
  <w:style w:type="character" w:customStyle="1" w:styleId="Ttulo3Car">
    <w:name w:val="Título 3 Car"/>
    <w:basedOn w:val="Fuentedeprrafopredeter"/>
    <w:link w:val="Ttulo3"/>
    <w:uiPriority w:val="9"/>
    <w:rsid w:val="006B5603"/>
    <w:rPr>
      <w:rFonts w:ascii="Arial" w:hAnsi="Arial"/>
      <w:b/>
      <w:sz w:val="24"/>
      <w:lang w:val="es-ES" w:eastAsia="es-ES"/>
    </w:rPr>
  </w:style>
  <w:style w:type="character" w:customStyle="1" w:styleId="UnresolvedMention1">
    <w:name w:val="Unresolved Mention1"/>
    <w:basedOn w:val="Fuentedeprrafopredeter"/>
    <w:uiPriority w:val="99"/>
    <w:semiHidden/>
    <w:unhideWhenUsed/>
    <w:rsid w:val="00485E1C"/>
    <w:rPr>
      <w:color w:val="605E5C"/>
      <w:shd w:val="clear" w:color="auto" w:fill="E1DFDD"/>
    </w:rPr>
  </w:style>
  <w:style w:type="character" w:customStyle="1" w:styleId="Ttulo4Car">
    <w:name w:val="Título 4 Car"/>
    <w:basedOn w:val="Fuentedeprrafopredeter"/>
    <w:link w:val="Ttulo4"/>
    <w:uiPriority w:val="9"/>
    <w:rsid w:val="0081509F"/>
    <w:rPr>
      <w:rFonts w:ascii="Arial" w:hAnsi="Arial"/>
      <w:b/>
      <w:sz w:val="24"/>
      <w:lang w:val="es-ES_tradnl" w:eastAsia="es-ES"/>
    </w:rPr>
  </w:style>
  <w:style w:type="paragraph" w:styleId="Revisin">
    <w:name w:val="Revision"/>
    <w:hidden/>
    <w:uiPriority w:val="99"/>
    <w:semiHidden/>
    <w:rsid w:val="00EA3146"/>
    <w:rPr>
      <w:rFonts w:ascii="Arial" w:hAnsi="Arial"/>
      <w:sz w:val="24"/>
      <w:lang w:val="es-ES_tradnl" w:eastAsia="es-ES"/>
    </w:rPr>
  </w:style>
  <w:style w:type="character" w:customStyle="1" w:styleId="Ttulo1Car">
    <w:name w:val="Título 1 Car"/>
    <w:basedOn w:val="Fuentedeprrafopredeter"/>
    <w:link w:val="Ttulo1"/>
    <w:uiPriority w:val="9"/>
    <w:rsid w:val="005C229E"/>
    <w:rPr>
      <w:rFonts w:ascii="Arial" w:hAnsi="Arial"/>
      <w:b/>
      <w:sz w:val="24"/>
      <w:lang w:val="es-ES_tradnl" w:eastAsia="es-ES"/>
    </w:rPr>
  </w:style>
  <w:style w:type="table" w:styleId="Tablaconcuadrcula6concolores-nfasis5">
    <w:name w:val="Grid Table 6 Colorful Accent 5"/>
    <w:basedOn w:val="Tablanormal"/>
    <w:uiPriority w:val="51"/>
    <w:rsid w:val="00681B8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1">
    <w:name w:val="Grid Table 7 Colorful Accent 1"/>
    <w:basedOn w:val="Tablanormal"/>
    <w:uiPriority w:val="52"/>
    <w:rsid w:val="00343F8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4-nfasis5">
    <w:name w:val="Grid Table 4 Accent 5"/>
    <w:basedOn w:val="Tablanormal"/>
    <w:uiPriority w:val="49"/>
    <w:rsid w:val="00343F8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1">
    <w:name w:val="Grid Table 5 Dark Accent 1"/>
    <w:basedOn w:val="Tablanormal"/>
    <w:uiPriority w:val="50"/>
    <w:rsid w:val="00343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5">
    <w:name w:val="Grid Table 5 Dark Accent 5"/>
    <w:basedOn w:val="Tablanormal"/>
    <w:uiPriority w:val="50"/>
    <w:rsid w:val="00343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7concolores-nfasis5">
    <w:name w:val="List Table 7 Colorful Accent 5"/>
    <w:basedOn w:val="Tablanormal"/>
    <w:uiPriority w:val="52"/>
    <w:rsid w:val="00343F8F"/>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sutil">
    <w:name w:val="Subtle Reference"/>
    <w:basedOn w:val="Fuentedeprrafopredeter"/>
    <w:uiPriority w:val="31"/>
    <w:qFormat/>
    <w:rsid w:val="00AF02EA"/>
    <w:rPr>
      <w:smallCaps/>
      <w:color w:val="5A5A5A" w:themeColor="text1" w:themeTint="A5"/>
    </w:rPr>
  </w:style>
  <w:style w:type="paragraph" w:customStyle="1" w:styleId="Default">
    <w:name w:val="Default"/>
    <w:rsid w:val="00F609D0"/>
    <w:pPr>
      <w:autoSpaceDE w:val="0"/>
      <w:autoSpaceDN w:val="0"/>
      <w:adjustRightInd w:val="0"/>
    </w:pPr>
    <w:rPr>
      <w:rFonts w:ascii="Arial" w:eastAsia="Calibri" w:hAnsi="Arial" w:cs="Arial"/>
      <w:color w:val="000000"/>
      <w:sz w:val="24"/>
      <w:szCs w:val="24"/>
      <w:lang w:val="es-ES" w:eastAsia="en-US"/>
    </w:rPr>
  </w:style>
  <w:style w:type="table" w:styleId="Tablaconcuadrcula1clara">
    <w:name w:val="Grid Table 1 Light"/>
    <w:basedOn w:val="Tablanormal"/>
    <w:uiPriority w:val="46"/>
    <w:rsid w:val="00F609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609D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Estilo5">
    <w:name w:val="Estilo5"/>
    <w:qFormat/>
    <w:rsid w:val="00F609D0"/>
    <w:pPr>
      <w:keepNext/>
      <w:numPr>
        <w:numId w:val="3"/>
      </w:numPr>
      <w:spacing w:before="240" w:after="60"/>
      <w:jc w:val="both"/>
      <w:outlineLvl w:val="0"/>
    </w:pPr>
    <w:rPr>
      <w:rFonts w:ascii="Arial" w:hAnsi="Arial"/>
      <w:b/>
      <w:kern w:val="28"/>
      <w:sz w:val="22"/>
      <w:szCs w:val="22"/>
      <w:lang w:val="es-ES_tradnl"/>
    </w:rPr>
  </w:style>
  <w:style w:type="table" w:styleId="Tablaconcuadrcula1clara-nfasis1">
    <w:name w:val="Grid Table 1 Light Accent 1"/>
    <w:basedOn w:val="Tablanormal"/>
    <w:uiPriority w:val="46"/>
    <w:rsid w:val="00F609D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Estilo3">
    <w:name w:val="Estilo3"/>
    <w:basedOn w:val="Ttulo"/>
    <w:qFormat/>
    <w:rsid w:val="00F609D0"/>
    <w:pPr>
      <w:contextualSpacing w:val="0"/>
    </w:pPr>
    <w:rPr>
      <w:rFonts w:ascii="Arial" w:eastAsia="Times New Roman" w:hAnsi="Arial" w:cs="Times New Roman"/>
      <w:spacing w:val="0"/>
      <w:kern w:val="0"/>
      <w:sz w:val="22"/>
      <w:szCs w:val="20"/>
      <w:lang w:val="es-ES_tradnl"/>
    </w:rPr>
  </w:style>
  <w:style w:type="paragraph" w:styleId="Ttulo">
    <w:name w:val="Title"/>
    <w:basedOn w:val="Normal"/>
    <w:next w:val="Normal"/>
    <w:link w:val="TtuloCar"/>
    <w:uiPriority w:val="10"/>
    <w:qFormat/>
    <w:rsid w:val="00F609D0"/>
    <w:pPr>
      <w:jc w:val="left"/>
    </w:pPr>
    <w:rPr>
      <w:rFonts w:asciiTheme="majorHAnsi" w:eastAsiaTheme="majorEastAsia" w:hAnsiTheme="majorHAnsi" w:cstheme="majorBidi"/>
      <w:spacing w:val="-10"/>
      <w:kern w:val="28"/>
      <w:sz w:val="56"/>
      <w:szCs w:val="56"/>
      <w:lang w:val="es-CO" w:eastAsia="es-CO"/>
    </w:rPr>
  </w:style>
  <w:style w:type="character" w:customStyle="1" w:styleId="TtuloCar">
    <w:name w:val="Título Car"/>
    <w:basedOn w:val="Fuentedeprrafopredeter"/>
    <w:link w:val="Ttulo"/>
    <w:uiPriority w:val="10"/>
    <w:rsid w:val="00F609D0"/>
    <w:rPr>
      <w:rFonts w:asciiTheme="majorHAnsi" w:eastAsiaTheme="majorEastAsia" w:hAnsiTheme="majorHAnsi" w:cstheme="majorBidi"/>
      <w:spacing w:val="-10"/>
      <w:kern w:val="28"/>
      <w:sz w:val="56"/>
      <w:szCs w:val="56"/>
    </w:rPr>
  </w:style>
  <w:style w:type="paragraph" w:customStyle="1" w:styleId="Artculo">
    <w:name w:val="Artículo"/>
    <w:basedOn w:val="Normal"/>
    <w:link w:val="ArtculoCar"/>
    <w:qFormat/>
    <w:rsid w:val="00F609D0"/>
    <w:pPr>
      <w:numPr>
        <w:numId w:val="4"/>
      </w:numPr>
      <w:spacing w:before="240" w:after="240"/>
    </w:pPr>
    <w:rPr>
      <w:rFonts w:ascii="Bookman Old Style" w:hAnsi="Bookman Old Style" w:cs="Arial"/>
      <w:b/>
      <w:szCs w:val="24"/>
      <w:lang w:val="es-ES"/>
    </w:rPr>
  </w:style>
  <w:style w:type="character" w:customStyle="1" w:styleId="ArtculoCar">
    <w:name w:val="Artículo Car"/>
    <w:link w:val="Artculo"/>
    <w:rsid w:val="00F609D0"/>
    <w:rPr>
      <w:rFonts w:ascii="Bookman Old Style" w:hAnsi="Bookman Old Style" w:cs="Arial"/>
      <w:b/>
      <w:sz w:val="24"/>
      <w:szCs w:val="24"/>
      <w:lang w:val="es-ES" w:eastAsia="es-ES"/>
    </w:rPr>
  </w:style>
  <w:style w:type="paragraph" w:styleId="Textosinformato">
    <w:name w:val="Plain Text"/>
    <w:basedOn w:val="Normal"/>
    <w:link w:val="TextosinformatoCar"/>
    <w:rsid w:val="0095636B"/>
    <w:pPr>
      <w:widowControl w:val="0"/>
      <w:adjustRightInd w:val="0"/>
      <w:spacing w:line="360" w:lineRule="atLeast"/>
      <w:contextualSpacing w:val="0"/>
      <w:textAlignment w:val="baseline"/>
    </w:pPr>
    <w:rPr>
      <w:rFonts w:ascii="Courier New" w:hAnsi="Courier New" w:cs="Courier New"/>
      <w:sz w:val="20"/>
      <w:lang w:val="es-ES"/>
    </w:rPr>
  </w:style>
  <w:style w:type="character" w:customStyle="1" w:styleId="TextosinformatoCar">
    <w:name w:val="Texto sin formato Car"/>
    <w:basedOn w:val="Fuentedeprrafopredeter"/>
    <w:link w:val="Textosinformato"/>
    <w:rsid w:val="0095636B"/>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60">
      <w:bodyDiv w:val="1"/>
      <w:marLeft w:val="0"/>
      <w:marRight w:val="0"/>
      <w:marTop w:val="0"/>
      <w:marBottom w:val="0"/>
      <w:divBdr>
        <w:top w:val="none" w:sz="0" w:space="0" w:color="auto"/>
        <w:left w:val="none" w:sz="0" w:space="0" w:color="auto"/>
        <w:bottom w:val="none" w:sz="0" w:space="0" w:color="auto"/>
        <w:right w:val="none" w:sz="0" w:space="0" w:color="auto"/>
      </w:divBdr>
    </w:div>
    <w:div w:id="15929977">
      <w:bodyDiv w:val="1"/>
      <w:marLeft w:val="0"/>
      <w:marRight w:val="0"/>
      <w:marTop w:val="0"/>
      <w:marBottom w:val="0"/>
      <w:divBdr>
        <w:top w:val="none" w:sz="0" w:space="0" w:color="auto"/>
        <w:left w:val="none" w:sz="0" w:space="0" w:color="auto"/>
        <w:bottom w:val="none" w:sz="0" w:space="0" w:color="auto"/>
        <w:right w:val="none" w:sz="0" w:space="0" w:color="auto"/>
      </w:divBdr>
      <w:divsChild>
        <w:div w:id="81032177">
          <w:marLeft w:val="446"/>
          <w:marRight w:val="0"/>
          <w:marTop w:val="0"/>
          <w:marBottom w:val="0"/>
          <w:divBdr>
            <w:top w:val="none" w:sz="0" w:space="0" w:color="auto"/>
            <w:left w:val="none" w:sz="0" w:space="0" w:color="auto"/>
            <w:bottom w:val="none" w:sz="0" w:space="0" w:color="auto"/>
            <w:right w:val="none" w:sz="0" w:space="0" w:color="auto"/>
          </w:divBdr>
        </w:div>
        <w:div w:id="281349140">
          <w:marLeft w:val="446"/>
          <w:marRight w:val="0"/>
          <w:marTop w:val="0"/>
          <w:marBottom w:val="0"/>
          <w:divBdr>
            <w:top w:val="none" w:sz="0" w:space="0" w:color="auto"/>
            <w:left w:val="none" w:sz="0" w:space="0" w:color="auto"/>
            <w:bottom w:val="none" w:sz="0" w:space="0" w:color="auto"/>
            <w:right w:val="none" w:sz="0" w:space="0" w:color="auto"/>
          </w:divBdr>
        </w:div>
        <w:div w:id="670254085">
          <w:marLeft w:val="446"/>
          <w:marRight w:val="0"/>
          <w:marTop w:val="0"/>
          <w:marBottom w:val="0"/>
          <w:divBdr>
            <w:top w:val="none" w:sz="0" w:space="0" w:color="auto"/>
            <w:left w:val="none" w:sz="0" w:space="0" w:color="auto"/>
            <w:bottom w:val="none" w:sz="0" w:space="0" w:color="auto"/>
            <w:right w:val="none" w:sz="0" w:space="0" w:color="auto"/>
          </w:divBdr>
        </w:div>
        <w:div w:id="699431711">
          <w:marLeft w:val="446"/>
          <w:marRight w:val="0"/>
          <w:marTop w:val="0"/>
          <w:marBottom w:val="0"/>
          <w:divBdr>
            <w:top w:val="none" w:sz="0" w:space="0" w:color="auto"/>
            <w:left w:val="none" w:sz="0" w:space="0" w:color="auto"/>
            <w:bottom w:val="none" w:sz="0" w:space="0" w:color="auto"/>
            <w:right w:val="none" w:sz="0" w:space="0" w:color="auto"/>
          </w:divBdr>
        </w:div>
        <w:div w:id="699934694">
          <w:marLeft w:val="446"/>
          <w:marRight w:val="0"/>
          <w:marTop w:val="0"/>
          <w:marBottom w:val="0"/>
          <w:divBdr>
            <w:top w:val="none" w:sz="0" w:space="0" w:color="auto"/>
            <w:left w:val="none" w:sz="0" w:space="0" w:color="auto"/>
            <w:bottom w:val="none" w:sz="0" w:space="0" w:color="auto"/>
            <w:right w:val="none" w:sz="0" w:space="0" w:color="auto"/>
          </w:divBdr>
        </w:div>
        <w:div w:id="1461848609">
          <w:marLeft w:val="446"/>
          <w:marRight w:val="0"/>
          <w:marTop w:val="0"/>
          <w:marBottom w:val="0"/>
          <w:divBdr>
            <w:top w:val="none" w:sz="0" w:space="0" w:color="auto"/>
            <w:left w:val="none" w:sz="0" w:space="0" w:color="auto"/>
            <w:bottom w:val="none" w:sz="0" w:space="0" w:color="auto"/>
            <w:right w:val="none" w:sz="0" w:space="0" w:color="auto"/>
          </w:divBdr>
        </w:div>
        <w:div w:id="1700231913">
          <w:marLeft w:val="446"/>
          <w:marRight w:val="0"/>
          <w:marTop w:val="0"/>
          <w:marBottom w:val="0"/>
          <w:divBdr>
            <w:top w:val="none" w:sz="0" w:space="0" w:color="auto"/>
            <w:left w:val="none" w:sz="0" w:space="0" w:color="auto"/>
            <w:bottom w:val="none" w:sz="0" w:space="0" w:color="auto"/>
            <w:right w:val="none" w:sz="0" w:space="0" w:color="auto"/>
          </w:divBdr>
        </w:div>
        <w:div w:id="1739746837">
          <w:marLeft w:val="446"/>
          <w:marRight w:val="0"/>
          <w:marTop w:val="0"/>
          <w:marBottom w:val="0"/>
          <w:divBdr>
            <w:top w:val="none" w:sz="0" w:space="0" w:color="auto"/>
            <w:left w:val="none" w:sz="0" w:space="0" w:color="auto"/>
            <w:bottom w:val="none" w:sz="0" w:space="0" w:color="auto"/>
            <w:right w:val="none" w:sz="0" w:space="0" w:color="auto"/>
          </w:divBdr>
        </w:div>
        <w:div w:id="1769152574">
          <w:marLeft w:val="446"/>
          <w:marRight w:val="0"/>
          <w:marTop w:val="0"/>
          <w:marBottom w:val="0"/>
          <w:divBdr>
            <w:top w:val="none" w:sz="0" w:space="0" w:color="auto"/>
            <w:left w:val="none" w:sz="0" w:space="0" w:color="auto"/>
            <w:bottom w:val="none" w:sz="0" w:space="0" w:color="auto"/>
            <w:right w:val="none" w:sz="0" w:space="0" w:color="auto"/>
          </w:divBdr>
        </w:div>
        <w:div w:id="1965114972">
          <w:marLeft w:val="446"/>
          <w:marRight w:val="0"/>
          <w:marTop w:val="0"/>
          <w:marBottom w:val="0"/>
          <w:divBdr>
            <w:top w:val="none" w:sz="0" w:space="0" w:color="auto"/>
            <w:left w:val="none" w:sz="0" w:space="0" w:color="auto"/>
            <w:bottom w:val="none" w:sz="0" w:space="0" w:color="auto"/>
            <w:right w:val="none" w:sz="0" w:space="0" w:color="auto"/>
          </w:divBdr>
        </w:div>
      </w:divsChild>
    </w:div>
    <w:div w:id="61173583">
      <w:bodyDiv w:val="1"/>
      <w:marLeft w:val="0"/>
      <w:marRight w:val="0"/>
      <w:marTop w:val="0"/>
      <w:marBottom w:val="0"/>
      <w:divBdr>
        <w:top w:val="none" w:sz="0" w:space="0" w:color="auto"/>
        <w:left w:val="none" w:sz="0" w:space="0" w:color="auto"/>
        <w:bottom w:val="none" w:sz="0" w:space="0" w:color="auto"/>
        <w:right w:val="none" w:sz="0" w:space="0" w:color="auto"/>
      </w:divBdr>
    </w:div>
    <w:div w:id="82269194">
      <w:bodyDiv w:val="1"/>
      <w:marLeft w:val="0"/>
      <w:marRight w:val="0"/>
      <w:marTop w:val="0"/>
      <w:marBottom w:val="0"/>
      <w:divBdr>
        <w:top w:val="none" w:sz="0" w:space="0" w:color="auto"/>
        <w:left w:val="none" w:sz="0" w:space="0" w:color="auto"/>
        <w:bottom w:val="none" w:sz="0" w:space="0" w:color="auto"/>
        <w:right w:val="none" w:sz="0" w:space="0" w:color="auto"/>
      </w:divBdr>
    </w:div>
    <w:div w:id="129322932">
      <w:bodyDiv w:val="1"/>
      <w:marLeft w:val="0"/>
      <w:marRight w:val="0"/>
      <w:marTop w:val="0"/>
      <w:marBottom w:val="0"/>
      <w:divBdr>
        <w:top w:val="none" w:sz="0" w:space="0" w:color="auto"/>
        <w:left w:val="none" w:sz="0" w:space="0" w:color="auto"/>
        <w:bottom w:val="none" w:sz="0" w:space="0" w:color="auto"/>
        <w:right w:val="none" w:sz="0" w:space="0" w:color="auto"/>
      </w:divBdr>
      <w:divsChild>
        <w:div w:id="343746289">
          <w:marLeft w:val="547"/>
          <w:marRight w:val="0"/>
          <w:marTop w:val="0"/>
          <w:marBottom w:val="0"/>
          <w:divBdr>
            <w:top w:val="none" w:sz="0" w:space="0" w:color="auto"/>
            <w:left w:val="none" w:sz="0" w:space="0" w:color="auto"/>
            <w:bottom w:val="none" w:sz="0" w:space="0" w:color="auto"/>
            <w:right w:val="none" w:sz="0" w:space="0" w:color="auto"/>
          </w:divBdr>
        </w:div>
        <w:div w:id="1859464635">
          <w:marLeft w:val="547"/>
          <w:marRight w:val="0"/>
          <w:marTop w:val="0"/>
          <w:marBottom w:val="0"/>
          <w:divBdr>
            <w:top w:val="none" w:sz="0" w:space="0" w:color="auto"/>
            <w:left w:val="none" w:sz="0" w:space="0" w:color="auto"/>
            <w:bottom w:val="none" w:sz="0" w:space="0" w:color="auto"/>
            <w:right w:val="none" w:sz="0" w:space="0" w:color="auto"/>
          </w:divBdr>
        </w:div>
      </w:divsChild>
    </w:div>
    <w:div w:id="137460289">
      <w:bodyDiv w:val="1"/>
      <w:marLeft w:val="0"/>
      <w:marRight w:val="0"/>
      <w:marTop w:val="0"/>
      <w:marBottom w:val="0"/>
      <w:divBdr>
        <w:top w:val="none" w:sz="0" w:space="0" w:color="auto"/>
        <w:left w:val="none" w:sz="0" w:space="0" w:color="auto"/>
        <w:bottom w:val="none" w:sz="0" w:space="0" w:color="auto"/>
        <w:right w:val="none" w:sz="0" w:space="0" w:color="auto"/>
      </w:divBdr>
    </w:div>
    <w:div w:id="145821345">
      <w:bodyDiv w:val="1"/>
      <w:marLeft w:val="0"/>
      <w:marRight w:val="0"/>
      <w:marTop w:val="0"/>
      <w:marBottom w:val="0"/>
      <w:divBdr>
        <w:top w:val="none" w:sz="0" w:space="0" w:color="auto"/>
        <w:left w:val="none" w:sz="0" w:space="0" w:color="auto"/>
        <w:bottom w:val="none" w:sz="0" w:space="0" w:color="auto"/>
        <w:right w:val="none" w:sz="0" w:space="0" w:color="auto"/>
      </w:divBdr>
    </w:div>
    <w:div w:id="145903125">
      <w:bodyDiv w:val="1"/>
      <w:marLeft w:val="0"/>
      <w:marRight w:val="0"/>
      <w:marTop w:val="0"/>
      <w:marBottom w:val="0"/>
      <w:divBdr>
        <w:top w:val="none" w:sz="0" w:space="0" w:color="auto"/>
        <w:left w:val="none" w:sz="0" w:space="0" w:color="auto"/>
        <w:bottom w:val="none" w:sz="0" w:space="0" w:color="auto"/>
        <w:right w:val="none" w:sz="0" w:space="0" w:color="auto"/>
      </w:divBdr>
    </w:div>
    <w:div w:id="189144576">
      <w:bodyDiv w:val="1"/>
      <w:marLeft w:val="0"/>
      <w:marRight w:val="0"/>
      <w:marTop w:val="0"/>
      <w:marBottom w:val="0"/>
      <w:divBdr>
        <w:top w:val="none" w:sz="0" w:space="0" w:color="auto"/>
        <w:left w:val="none" w:sz="0" w:space="0" w:color="auto"/>
        <w:bottom w:val="none" w:sz="0" w:space="0" w:color="auto"/>
        <w:right w:val="none" w:sz="0" w:space="0" w:color="auto"/>
      </w:divBdr>
    </w:div>
    <w:div w:id="196234136">
      <w:bodyDiv w:val="1"/>
      <w:marLeft w:val="0"/>
      <w:marRight w:val="0"/>
      <w:marTop w:val="0"/>
      <w:marBottom w:val="0"/>
      <w:divBdr>
        <w:top w:val="none" w:sz="0" w:space="0" w:color="auto"/>
        <w:left w:val="none" w:sz="0" w:space="0" w:color="auto"/>
        <w:bottom w:val="none" w:sz="0" w:space="0" w:color="auto"/>
        <w:right w:val="none" w:sz="0" w:space="0" w:color="auto"/>
      </w:divBdr>
    </w:div>
    <w:div w:id="223837780">
      <w:bodyDiv w:val="1"/>
      <w:marLeft w:val="0"/>
      <w:marRight w:val="0"/>
      <w:marTop w:val="0"/>
      <w:marBottom w:val="0"/>
      <w:divBdr>
        <w:top w:val="none" w:sz="0" w:space="0" w:color="auto"/>
        <w:left w:val="none" w:sz="0" w:space="0" w:color="auto"/>
        <w:bottom w:val="none" w:sz="0" w:space="0" w:color="auto"/>
        <w:right w:val="none" w:sz="0" w:space="0" w:color="auto"/>
      </w:divBdr>
      <w:divsChild>
        <w:div w:id="728844827">
          <w:marLeft w:val="547"/>
          <w:marRight w:val="0"/>
          <w:marTop w:val="0"/>
          <w:marBottom w:val="0"/>
          <w:divBdr>
            <w:top w:val="none" w:sz="0" w:space="0" w:color="auto"/>
            <w:left w:val="none" w:sz="0" w:space="0" w:color="auto"/>
            <w:bottom w:val="none" w:sz="0" w:space="0" w:color="auto"/>
            <w:right w:val="none" w:sz="0" w:space="0" w:color="auto"/>
          </w:divBdr>
        </w:div>
      </w:divsChild>
    </w:div>
    <w:div w:id="278610412">
      <w:bodyDiv w:val="1"/>
      <w:marLeft w:val="0"/>
      <w:marRight w:val="0"/>
      <w:marTop w:val="0"/>
      <w:marBottom w:val="0"/>
      <w:divBdr>
        <w:top w:val="none" w:sz="0" w:space="0" w:color="auto"/>
        <w:left w:val="none" w:sz="0" w:space="0" w:color="auto"/>
        <w:bottom w:val="none" w:sz="0" w:space="0" w:color="auto"/>
        <w:right w:val="none" w:sz="0" w:space="0" w:color="auto"/>
      </w:divBdr>
      <w:divsChild>
        <w:div w:id="576746865">
          <w:marLeft w:val="547"/>
          <w:marRight w:val="0"/>
          <w:marTop w:val="0"/>
          <w:marBottom w:val="0"/>
          <w:divBdr>
            <w:top w:val="none" w:sz="0" w:space="0" w:color="auto"/>
            <w:left w:val="none" w:sz="0" w:space="0" w:color="auto"/>
            <w:bottom w:val="none" w:sz="0" w:space="0" w:color="auto"/>
            <w:right w:val="none" w:sz="0" w:space="0" w:color="auto"/>
          </w:divBdr>
        </w:div>
      </w:divsChild>
    </w:div>
    <w:div w:id="288049398">
      <w:bodyDiv w:val="1"/>
      <w:marLeft w:val="0"/>
      <w:marRight w:val="0"/>
      <w:marTop w:val="0"/>
      <w:marBottom w:val="0"/>
      <w:divBdr>
        <w:top w:val="none" w:sz="0" w:space="0" w:color="auto"/>
        <w:left w:val="none" w:sz="0" w:space="0" w:color="auto"/>
        <w:bottom w:val="none" w:sz="0" w:space="0" w:color="auto"/>
        <w:right w:val="none" w:sz="0" w:space="0" w:color="auto"/>
      </w:divBdr>
    </w:div>
    <w:div w:id="298265672">
      <w:bodyDiv w:val="1"/>
      <w:marLeft w:val="0"/>
      <w:marRight w:val="0"/>
      <w:marTop w:val="0"/>
      <w:marBottom w:val="0"/>
      <w:divBdr>
        <w:top w:val="none" w:sz="0" w:space="0" w:color="auto"/>
        <w:left w:val="none" w:sz="0" w:space="0" w:color="auto"/>
        <w:bottom w:val="none" w:sz="0" w:space="0" w:color="auto"/>
        <w:right w:val="none" w:sz="0" w:space="0" w:color="auto"/>
      </w:divBdr>
    </w:div>
    <w:div w:id="324012161">
      <w:bodyDiv w:val="1"/>
      <w:marLeft w:val="0"/>
      <w:marRight w:val="0"/>
      <w:marTop w:val="0"/>
      <w:marBottom w:val="0"/>
      <w:divBdr>
        <w:top w:val="none" w:sz="0" w:space="0" w:color="auto"/>
        <w:left w:val="none" w:sz="0" w:space="0" w:color="auto"/>
        <w:bottom w:val="none" w:sz="0" w:space="0" w:color="auto"/>
        <w:right w:val="none" w:sz="0" w:space="0" w:color="auto"/>
      </w:divBdr>
    </w:div>
    <w:div w:id="333072622">
      <w:bodyDiv w:val="1"/>
      <w:marLeft w:val="0"/>
      <w:marRight w:val="0"/>
      <w:marTop w:val="0"/>
      <w:marBottom w:val="0"/>
      <w:divBdr>
        <w:top w:val="none" w:sz="0" w:space="0" w:color="auto"/>
        <w:left w:val="none" w:sz="0" w:space="0" w:color="auto"/>
        <w:bottom w:val="none" w:sz="0" w:space="0" w:color="auto"/>
        <w:right w:val="none" w:sz="0" w:space="0" w:color="auto"/>
      </w:divBdr>
    </w:div>
    <w:div w:id="336155347">
      <w:bodyDiv w:val="1"/>
      <w:marLeft w:val="0"/>
      <w:marRight w:val="0"/>
      <w:marTop w:val="0"/>
      <w:marBottom w:val="0"/>
      <w:divBdr>
        <w:top w:val="none" w:sz="0" w:space="0" w:color="auto"/>
        <w:left w:val="none" w:sz="0" w:space="0" w:color="auto"/>
        <w:bottom w:val="none" w:sz="0" w:space="0" w:color="auto"/>
        <w:right w:val="none" w:sz="0" w:space="0" w:color="auto"/>
      </w:divBdr>
    </w:div>
    <w:div w:id="380445164">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04575264">
      <w:bodyDiv w:val="1"/>
      <w:marLeft w:val="0"/>
      <w:marRight w:val="0"/>
      <w:marTop w:val="0"/>
      <w:marBottom w:val="0"/>
      <w:divBdr>
        <w:top w:val="none" w:sz="0" w:space="0" w:color="auto"/>
        <w:left w:val="none" w:sz="0" w:space="0" w:color="auto"/>
        <w:bottom w:val="none" w:sz="0" w:space="0" w:color="auto"/>
        <w:right w:val="none" w:sz="0" w:space="0" w:color="auto"/>
      </w:divBdr>
    </w:div>
    <w:div w:id="419644072">
      <w:bodyDiv w:val="1"/>
      <w:marLeft w:val="0"/>
      <w:marRight w:val="0"/>
      <w:marTop w:val="0"/>
      <w:marBottom w:val="0"/>
      <w:divBdr>
        <w:top w:val="none" w:sz="0" w:space="0" w:color="auto"/>
        <w:left w:val="none" w:sz="0" w:space="0" w:color="auto"/>
        <w:bottom w:val="none" w:sz="0" w:space="0" w:color="auto"/>
        <w:right w:val="none" w:sz="0" w:space="0" w:color="auto"/>
      </w:divBdr>
      <w:divsChild>
        <w:div w:id="1211920970">
          <w:marLeft w:val="547"/>
          <w:marRight w:val="0"/>
          <w:marTop w:val="0"/>
          <w:marBottom w:val="0"/>
          <w:divBdr>
            <w:top w:val="none" w:sz="0" w:space="0" w:color="auto"/>
            <w:left w:val="none" w:sz="0" w:space="0" w:color="auto"/>
            <w:bottom w:val="none" w:sz="0" w:space="0" w:color="auto"/>
            <w:right w:val="none" w:sz="0" w:space="0" w:color="auto"/>
          </w:divBdr>
        </w:div>
      </w:divsChild>
    </w:div>
    <w:div w:id="442068683">
      <w:bodyDiv w:val="1"/>
      <w:marLeft w:val="0"/>
      <w:marRight w:val="0"/>
      <w:marTop w:val="0"/>
      <w:marBottom w:val="0"/>
      <w:divBdr>
        <w:top w:val="none" w:sz="0" w:space="0" w:color="auto"/>
        <w:left w:val="none" w:sz="0" w:space="0" w:color="auto"/>
        <w:bottom w:val="none" w:sz="0" w:space="0" w:color="auto"/>
        <w:right w:val="none" w:sz="0" w:space="0" w:color="auto"/>
      </w:divBdr>
    </w:div>
    <w:div w:id="509492357">
      <w:bodyDiv w:val="1"/>
      <w:marLeft w:val="0"/>
      <w:marRight w:val="0"/>
      <w:marTop w:val="0"/>
      <w:marBottom w:val="0"/>
      <w:divBdr>
        <w:top w:val="none" w:sz="0" w:space="0" w:color="auto"/>
        <w:left w:val="none" w:sz="0" w:space="0" w:color="auto"/>
        <w:bottom w:val="none" w:sz="0" w:space="0" w:color="auto"/>
        <w:right w:val="none" w:sz="0" w:space="0" w:color="auto"/>
      </w:divBdr>
    </w:div>
    <w:div w:id="520511138">
      <w:bodyDiv w:val="1"/>
      <w:marLeft w:val="0"/>
      <w:marRight w:val="0"/>
      <w:marTop w:val="0"/>
      <w:marBottom w:val="0"/>
      <w:divBdr>
        <w:top w:val="none" w:sz="0" w:space="0" w:color="auto"/>
        <w:left w:val="none" w:sz="0" w:space="0" w:color="auto"/>
        <w:bottom w:val="none" w:sz="0" w:space="0" w:color="auto"/>
        <w:right w:val="none" w:sz="0" w:space="0" w:color="auto"/>
      </w:divBdr>
    </w:div>
    <w:div w:id="520705924">
      <w:bodyDiv w:val="1"/>
      <w:marLeft w:val="0"/>
      <w:marRight w:val="0"/>
      <w:marTop w:val="0"/>
      <w:marBottom w:val="0"/>
      <w:divBdr>
        <w:top w:val="none" w:sz="0" w:space="0" w:color="auto"/>
        <w:left w:val="none" w:sz="0" w:space="0" w:color="auto"/>
        <w:bottom w:val="none" w:sz="0" w:space="0" w:color="auto"/>
        <w:right w:val="none" w:sz="0" w:space="0" w:color="auto"/>
      </w:divBdr>
      <w:divsChild>
        <w:div w:id="1755126143">
          <w:marLeft w:val="547"/>
          <w:marRight w:val="0"/>
          <w:marTop w:val="0"/>
          <w:marBottom w:val="0"/>
          <w:divBdr>
            <w:top w:val="none" w:sz="0" w:space="0" w:color="auto"/>
            <w:left w:val="none" w:sz="0" w:space="0" w:color="auto"/>
            <w:bottom w:val="none" w:sz="0" w:space="0" w:color="auto"/>
            <w:right w:val="none" w:sz="0" w:space="0" w:color="auto"/>
          </w:divBdr>
        </w:div>
      </w:divsChild>
    </w:div>
    <w:div w:id="522089797">
      <w:bodyDiv w:val="1"/>
      <w:marLeft w:val="0"/>
      <w:marRight w:val="0"/>
      <w:marTop w:val="0"/>
      <w:marBottom w:val="0"/>
      <w:divBdr>
        <w:top w:val="none" w:sz="0" w:space="0" w:color="auto"/>
        <w:left w:val="none" w:sz="0" w:space="0" w:color="auto"/>
        <w:bottom w:val="none" w:sz="0" w:space="0" w:color="auto"/>
        <w:right w:val="none" w:sz="0" w:space="0" w:color="auto"/>
      </w:divBdr>
    </w:div>
    <w:div w:id="528953184">
      <w:bodyDiv w:val="1"/>
      <w:marLeft w:val="0"/>
      <w:marRight w:val="0"/>
      <w:marTop w:val="0"/>
      <w:marBottom w:val="0"/>
      <w:divBdr>
        <w:top w:val="none" w:sz="0" w:space="0" w:color="auto"/>
        <w:left w:val="none" w:sz="0" w:space="0" w:color="auto"/>
        <w:bottom w:val="none" w:sz="0" w:space="0" w:color="auto"/>
        <w:right w:val="none" w:sz="0" w:space="0" w:color="auto"/>
      </w:divBdr>
    </w:div>
    <w:div w:id="543368087">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63414827">
      <w:bodyDiv w:val="1"/>
      <w:marLeft w:val="0"/>
      <w:marRight w:val="0"/>
      <w:marTop w:val="0"/>
      <w:marBottom w:val="0"/>
      <w:divBdr>
        <w:top w:val="none" w:sz="0" w:space="0" w:color="auto"/>
        <w:left w:val="none" w:sz="0" w:space="0" w:color="auto"/>
        <w:bottom w:val="none" w:sz="0" w:space="0" w:color="auto"/>
        <w:right w:val="none" w:sz="0" w:space="0" w:color="auto"/>
      </w:divBdr>
    </w:div>
    <w:div w:id="589631052">
      <w:bodyDiv w:val="1"/>
      <w:marLeft w:val="0"/>
      <w:marRight w:val="0"/>
      <w:marTop w:val="0"/>
      <w:marBottom w:val="0"/>
      <w:divBdr>
        <w:top w:val="none" w:sz="0" w:space="0" w:color="auto"/>
        <w:left w:val="none" w:sz="0" w:space="0" w:color="auto"/>
        <w:bottom w:val="none" w:sz="0" w:space="0" w:color="auto"/>
        <w:right w:val="none" w:sz="0" w:space="0" w:color="auto"/>
      </w:divBdr>
      <w:divsChild>
        <w:div w:id="34235580">
          <w:marLeft w:val="1166"/>
          <w:marRight w:val="0"/>
          <w:marTop w:val="0"/>
          <w:marBottom w:val="0"/>
          <w:divBdr>
            <w:top w:val="none" w:sz="0" w:space="0" w:color="auto"/>
            <w:left w:val="none" w:sz="0" w:space="0" w:color="auto"/>
            <w:bottom w:val="none" w:sz="0" w:space="0" w:color="auto"/>
            <w:right w:val="none" w:sz="0" w:space="0" w:color="auto"/>
          </w:divBdr>
        </w:div>
        <w:div w:id="78869143">
          <w:marLeft w:val="1166"/>
          <w:marRight w:val="0"/>
          <w:marTop w:val="0"/>
          <w:marBottom w:val="0"/>
          <w:divBdr>
            <w:top w:val="none" w:sz="0" w:space="0" w:color="auto"/>
            <w:left w:val="none" w:sz="0" w:space="0" w:color="auto"/>
            <w:bottom w:val="none" w:sz="0" w:space="0" w:color="auto"/>
            <w:right w:val="none" w:sz="0" w:space="0" w:color="auto"/>
          </w:divBdr>
        </w:div>
        <w:div w:id="86465877">
          <w:marLeft w:val="1166"/>
          <w:marRight w:val="0"/>
          <w:marTop w:val="0"/>
          <w:marBottom w:val="0"/>
          <w:divBdr>
            <w:top w:val="none" w:sz="0" w:space="0" w:color="auto"/>
            <w:left w:val="none" w:sz="0" w:space="0" w:color="auto"/>
            <w:bottom w:val="none" w:sz="0" w:space="0" w:color="auto"/>
            <w:right w:val="none" w:sz="0" w:space="0" w:color="auto"/>
          </w:divBdr>
        </w:div>
        <w:div w:id="160507882">
          <w:marLeft w:val="547"/>
          <w:marRight w:val="0"/>
          <w:marTop w:val="0"/>
          <w:marBottom w:val="0"/>
          <w:divBdr>
            <w:top w:val="none" w:sz="0" w:space="0" w:color="auto"/>
            <w:left w:val="none" w:sz="0" w:space="0" w:color="auto"/>
            <w:bottom w:val="none" w:sz="0" w:space="0" w:color="auto"/>
            <w:right w:val="none" w:sz="0" w:space="0" w:color="auto"/>
          </w:divBdr>
        </w:div>
        <w:div w:id="377632607">
          <w:marLeft w:val="547"/>
          <w:marRight w:val="0"/>
          <w:marTop w:val="0"/>
          <w:marBottom w:val="0"/>
          <w:divBdr>
            <w:top w:val="none" w:sz="0" w:space="0" w:color="auto"/>
            <w:left w:val="none" w:sz="0" w:space="0" w:color="auto"/>
            <w:bottom w:val="none" w:sz="0" w:space="0" w:color="auto"/>
            <w:right w:val="none" w:sz="0" w:space="0" w:color="auto"/>
          </w:divBdr>
        </w:div>
        <w:div w:id="559247419">
          <w:marLeft w:val="1166"/>
          <w:marRight w:val="0"/>
          <w:marTop w:val="0"/>
          <w:marBottom w:val="0"/>
          <w:divBdr>
            <w:top w:val="none" w:sz="0" w:space="0" w:color="auto"/>
            <w:left w:val="none" w:sz="0" w:space="0" w:color="auto"/>
            <w:bottom w:val="none" w:sz="0" w:space="0" w:color="auto"/>
            <w:right w:val="none" w:sz="0" w:space="0" w:color="auto"/>
          </w:divBdr>
        </w:div>
        <w:div w:id="580598654">
          <w:marLeft w:val="547"/>
          <w:marRight w:val="0"/>
          <w:marTop w:val="0"/>
          <w:marBottom w:val="0"/>
          <w:divBdr>
            <w:top w:val="none" w:sz="0" w:space="0" w:color="auto"/>
            <w:left w:val="none" w:sz="0" w:space="0" w:color="auto"/>
            <w:bottom w:val="none" w:sz="0" w:space="0" w:color="auto"/>
            <w:right w:val="none" w:sz="0" w:space="0" w:color="auto"/>
          </w:divBdr>
        </w:div>
        <w:div w:id="849949700">
          <w:marLeft w:val="547"/>
          <w:marRight w:val="0"/>
          <w:marTop w:val="0"/>
          <w:marBottom w:val="0"/>
          <w:divBdr>
            <w:top w:val="none" w:sz="0" w:space="0" w:color="auto"/>
            <w:left w:val="none" w:sz="0" w:space="0" w:color="auto"/>
            <w:bottom w:val="none" w:sz="0" w:space="0" w:color="auto"/>
            <w:right w:val="none" w:sz="0" w:space="0" w:color="auto"/>
          </w:divBdr>
        </w:div>
        <w:div w:id="1452165962">
          <w:marLeft w:val="1166"/>
          <w:marRight w:val="0"/>
          <w:marTop w:val="0"/>
          <w:marBottom w:val="0"/>
          <w:divBdr>
            <w:top w:val="none" w:sz="0" w:space="0" w:color="auto"/>
            <w:left w:val="none" w:sz="0" w:space="0" w:color="auto"/>
            <w:bottom w:val="none" w:sz="0" w:space="0" w:color="auto"/>
            <w:right w:val="none" w:sz="0" w:space="0" w:color="auto"/>
          </w:divBdr>
        </w:div>
        <w:div w:id="1842549969">
          <w:marLeft w:val="1166"/>
          <w:marRight w:val="0"/>
          <w:marTop w:val="0"/>
          <w:marBottom w:val="0"/>
          <w:divBdr>
            <w:top w:val="none" w:sz="0" w:space="0" w:color="auto"/>
            <w:left w:val="none" w:sz="0" w:space="0" w:color="auto"/>
            <w:bottom w:val="none" w:sz="0" w:space="0" w:color="auto"/>
            <w:right w:val="none" w:sz="0" w:space="0" w:color="auto"/>
          </w:divBdr>
        </w:div>
        <w:div w:id="1925139135">
          <w:marLeft w:val="1166"/>
          <w:marRight w:val="0"/>
          <w:marTop w:val="0"/>
          <w:marBottom w:val="0"/>
          <w:divBdr>
            <w:top w:val="none" w:sz="0" w:space="0" w:color="auto"/>
            <w:left w:val="none" w:sz="0" w:space="0" w:color="auto"/>
            <w:bottom w:val="none" w:sz="0" w:space="0" w:color="auto"/>
            <w:right w:val="none" w:sz="0" w:space="0" w:color="auto"/>
          </w:divBdr>
        </w:div>
      </w:divsChild>
    </w:div>
    <w:div w:id="590354070">
      <w:bodyDiv w:val="1"/>
      <w:marLeft w:val="0"/>
      <w:marRight w:val="0"/>
      <w:marTop w:val="0"/>
      <w:marBottom w:val="0"/>
      <w:divBdr>
        <w:top w:val="none" w:sz="0" w:space="0" w:color="auto"/>
        <w:left w:val="none" w:sz="0" w:space="0" w:color="auto"/>
        <w:bottom w:val="none" w:sz="0" w:space="0" w:color="auto"/>
        <w:right w:val="none" w:sz="0" w:space="0" w:color="auto"/>
      </w:divBdr>
      <w:divsChild>
        <w:div w:id="65538892">
          <w:marLeft w:val="547"/>
          <w:marRight w:val="0"/>
          <w:marTop w:val="0"/>
          <w:marBottom w:val="0"/>
          <w:divBdr>
            <w:top w:val="none" w:sz="0" w:space="0" w:color="auto"/>
            <w:left w:val="none" w:sz="0" w:space="0" w:color="auto"/>
            <w:bottom w:val="none" w:sz="0" w:space="0" w:color="auto"/>
            <w:right w:val="none" w:sz="0" w:space="0" w:color="auto"/>
          </w:divBdr>
        </w:div>
        <w:div w:id="297801868">
          <w:marLeft w:val="547"/>
          <w:marRight w:val="0"/>
          <w:marTop w:val="0"/>
          <w:marBottom w:val="0"/>
          <w:divBdr>
            <w:top w:val="none" w:sz="0" w:space="0" w:color="auto"/>
            <w:left w:val="none" w:sz="0" w:space="0" w:color="auto"/>
            <w:bottom w:val="none" w:sz="0" w:space="0" w:color="auto"/>
            <w:right w:val="none" w:sz="0" w:space="0" w:color="auto"/>
          </w:divBdr>
        </w:div>
        <w:div w:id="470171266">
          <w:marLeft w:val="1166"/>
          <w:marRight w:val="0"/>
          <w:marTop w:val="0"/>
          <w:marBottom w:val="0"/>
          <w:divBdr>
            <w:top w:val="none" w:sz="0" w:space="0" w:color="auto"/>
            <w:left w:val="none" w:sz="0" w:space="0" w:color="auto"/>
            <w:bottom w:val="none" w:sz="0" w:space="0" w:color="auto"/>
            <w:right w:val="none" w:sz="0" w:space="0" w:color="auto"/>
          </w:divBdr>
        </w:div>
        <w:div w:id="742026209">
          <w:marLeft w:val="1166"/>
          <w:marRight w:val="0"/>
          <w:marTop w:val="0"/>
          <w:marBottom w:val="0"/>
          <w:divBdr>
            <w:top w:val="none" w:sz="0" w:space="0" w:color="auto"/>
            <w:left w:val="none" w:sz="0" w:space="0" w:color="auto"/>
            <w:bottom w:val="none" w:sz="0" w:space="0" w:color="auto"/>
            <w:right w:val="none" w:sz="0" w:space="0" w:color="auto"/>
          </w:divBdr>
        </w:div>
        <w:div w:id="746348408">
          <w:marLeft w:val="547"/>
          <w:marRight w:val="0"/>
          <w:marTop w:val="0"/>
          <w:marBottom w:val="0"/>
          <w:divBdr>
            <w:top w:val="none" w:sz="0" w:space="0" w:color="auto"/>
            <w:left w:val="none" w:sz="0" w:space="0" w:color="auto"/>
            <w:bottom w:val="none" w:sz="0" w:space="0" w:color="auto"/>
            <w:right w:val="none" w:sz="0" w:space="0" w:color="auto"/>
          </w:divBdr>
        </w:div>
        <w:div w:id="1519273805">
          <w:marLeft w:val="1166"/>
          <w:marRight w:val="0"/>
          <w:marTop w:val="0"/>
          <w:marBottom w:val="0"/>
          <w:divBdr>
            <w:top w:val="none" w:sz="0" w:space="0" w:color="auto"/>
            <w:left w:val="none" w:sz="0" w:space="0" w:color="auto"/>
            <w:bottom w:val="none" w:sz="0" w:space="0" w:color="auto"/>
            <w:right w:val="none" w:sz="0" w:space="0" w:color="auto"/>
          </w:divBdr>
        </w:div>
        <w:div w:id="1578590898">
          <w:marLeft w:val="1166"/>
          <w:marRight w:val="0"/>
          <w:marTop w:val="0"/>
          <w:marBottom w:val="0"/>
          <w:divBdr>
            <w:top w:val="none" w:sz="0" w:space="0" w:color="auto"/>
            <w:left w:val="none" w:sz="0" w:space="0" w:color="auto"/>
            <w:bottom w:val="none" w:sz="0" w:space="0" w:color="auto"/>
            <w:right w:val="none" w:sz="0" w:space="0" w:color="auto"/>
          </w:divBdr>
        </w:div>
        <w:div w:id="1737429989">
          <w:marLeft w:val="1166"/>
          <w:marRight w:val="0"/>
          <w:marTop w:val="0"/>
          <w:marBottom w:val="0"/>
          <w:divBdr>
            <w:top w:val="none" w:sz="0" w:space="0" w:color="auto"/>
            <w:left w:val="none" w:sz="0" w:space="0" w:color="auto"/>
            <w:bottom w:val="none" w:sz="0" w:space="0" w:color="auto"/>
            <w:right w:val="none" w:sz="0" w:space="0" w:color="auto"/>
          </w:divBdr>
        </w:div>
        <w:div w:id="1985692513">
          <w:marLeft w:val="547"/>
          <w:marRight w:val="0"/>
          <w:marTop w:val="0"/>
          <w:marBottom w:val="0"/>
          <w:divBdr>
            <w:top w:val="none" w:sz="0" w:space="0" w:color="auto"/>
            <w:left w:val="none" w:sz="0" w:space="0" w:color="auto"/>
            <w:bottom w:val="none" w:sz="0" w:space="0" w:color="auto"/>
            <w:right w:val="none" w:sz="0" w:space="0" w:color="auto"/>
          </w:divBdr>
        </w:div>
        <w:div w:id="2087457057">
          <w:marLeft w:val="1166"/>
          <w:marRight w:val="0"/>
          <w:marTop w:val="0"/>
          <w:marBottom w:val="0"/>
          <w:divBdr>
            <w:top w:val="none" w:sz="0" w:space="0" w:color="auto"/>
            <w:left w:val="none" w:sz="0" w:space="0" w:color="auto"/>
            <w:bottom w:val="none" w:sz="0" w:space="0" w:color="auto"/>
            <w:right w:val="none" w:sz="0" w:space="0" w:color="auto"/>
          </w:divBdr>
        </w:div>
      </w:divsChild>
    </w:div>
    <w:div w:id="596251181">
      <w:bodyDiv w:val="1"/>
      <w:marLeft w:val="0"/>
      <w:marRight w:val="0"/>
      <w:marTop w:val="0"/>
      <w:marBottom w:val="0"/>
      <w:divBdr>
        <w:top w:val="none" w:sz="0" w:space="0" w:color="auto"/>
        <w:left w:val="none" w:sz="0" w:space="0" w:color="auto"/>
        <w:bottom w:val="none" w:sz="0" w:space="0" w:color="auto"/>
        <w:right w:val="none" w:sz="0" w:space="0" w:color="auto"/>
      </w:divBdr>
    </w:div>
    <w:div w:id="598366942">
      <w:bodyDiv w:val="1"/>
      <w:marLeft w:val="0"/>
      <w:marRight w:val="0"/>
      <w:marTop w:val="0"/>
      <w:marBottom w:val="0"/>
      <w:divBdr>
        <w:top w:val="none" w:sz="0" w:space="0" w:color="auto"/>
        <w:left w:val="none" w:sz="0" w:space="0" w:color="auto"/>
        <w:bottom w:val="none" w:sz="0" w:space="0" w:color="auto"/>
        <w:right w:val="none" w:sz="0" w:space="0" w:color="auto"/>
      </w:divBdr>
    </w:div>
    <w:div w:id="611012929">
      <w:bodyDiv w:val="1"/>
      <w:marLeft w:val="0"/>
      <w:marRight w:val="0"/>
      <w:marTop w:val="0"/>
      <w:marBottom w:val="0"/>
      <w:divBdr>
        <w:top w:val="none" w:sz="0" w:space="0" w:color="auto"/>
        <w:left w:val="none" w:sz="0" w:space="0" w:color="auto"/>
        <w:bottom w:val="none" w:sz="0" w:space="0" w:color="auto"/>
        <w:right w:val="none" w:sz="0" w:space="0" w:color="auto"/>
      </w:divBdr>
    </w:div>
    <w:div w:id="625089262">
      <w:bodyDiv w:val="1"/>
      <w:marLeft w:val="0"/>
      <w:marRight w:val="0"/>
      <w:marTop w:val="0"/>
      <w:marBottom w:val="0"/>
      <w:divBdr>
        <w:top w:val="none" w:sz="0" w:space="0" w:color="auto"/>
        <w:left w:val="none" w:sz="0" w:space="0" w:color="auto"/>
        <w:bottom w:val="none" w:sz="0" w:space="0" w:color="auto"/>
        <w:right w:val="none" w:sz="0" w:space="0" w:color="auto"/>
      </w:divBdr>
    </w:div>
    <w:div w:id="636840528">
      <w:bodyDiv w:val="1"/>
      <w:marLeft w:val="0"/>
      <w:marRight w:val="0"/>
      <w:marTop w:val="0"/>
      <w:marBottom w:val="0"/>
      <w:divBdr>
        <w:top w:val="none" w:sz="0" w:space="0" w:color="auto"/>
        <w:left w:val="none" w:sz="0" w:space="0" w:color="auto"/>
        <w:bottom w:val="none" w:sz="0" w:space="0" w:color="auto"/>
        <w:right w:val="none" w:sz="0" w:space="0" w:color="auto"/>
      </w:divBdr>
    </w:div>
    <w:div w:id="637345192">
      <w:bodyDiv w:val="1"/>
      <w:marLeft w:val="0"/>
      <w:marRight w:val="0"/>
      <w:marTop w:val="0"/>
      <w:marBottom w:val="0"/>
      <w:divBdr>
        <w:top w:val="none" w:sz="0" w:space="0" w:color="auto"/>
        <w:left w:val="none" w:sz="0" w:space="0" w:color="auto"/>
        <w:bottom w:val="none" w:sz="0" w:space="0" w:color="auto"/>
        <w:right w:val="none" w:sz="0" w:space="0" w:color="auto"/>
      </w:divBdr>
    </w:div>
    <w:div w:id="644435955">
      <w:bodyDiv w:val="1"/>
      <w:marLeft w:val="0"/>
      <w:marRight w:val="0"/>
      <w:marTop w:val="0"/>
      <w:marBottom w:val="0"/>
      <w:divBdr>
        <w:top w:val="none" w:sz="0" w:space="0" w:color="auto"/>
        <w:left w:val="none" w:sz="0" w:space="0" w:color="auto"/>
        <w:bottom w:val="none" w:sz="0" w:space="0" w:color="auto"/>
        <w:right w:val="none" w:sz="0" w:space="0" w:color="auto"/>
      </w:divBdr>
    </w:div>
    <w:div w:id="649595584">
      <w:bodyDiv w:val="1"/>
      <w:marLeft w:val="0"/>
      <w:marRight w:val="0"/>
      <w:marTop w:val="0"/>
      <w:marBottom w:val="0"/>
      <w:divBdr>
        <w:top w:val="none" w:sz="0" w:space="0" w:color="auto"/>
        <w:left w:val="none" w:sz="0" w:space="0" w:color="auto"/>
        <w:bottom w:val="none" w:sz="0" w:space="0" w:color="auto"/>
        <w:right w:val="none" w:sz="0" w:space="0" w:color="auto"/>
      </w:divBdr>
    </w:div>
    <w:div w:id="673844359">
      <w:bodyDiv w:val="1"/>
      <w:marLeft w:val="0"/>
      <w:marRight w:val="0"/>
      <w:marTop w:val="0"/>
      <w:marBottom w:val="0"/>
      <w:divBdr>
        <w:top w:val="none" w:sz="0" w:space="0" w:color="auto"/>
        <w:left w:val="none" w:sz="0" w:space="0" w:color="auto"/>
        <w:bottom w:val="none" w:sz="0" w:space="0" w:color="auto"/>
        <w:right w:val="none" w:sz="0" w:space="0" w:color="auto"/>
      </w:divBdr>
    </w:div>
    <w:div w:id="682316208">
      <w:bodyDiv w:val="1"/>
      <w:marLeft w:val="0"/>
      <w:marRight w:val="0"/>
      <w:marTop w:val="0"/>
      <w:marBottom w:val="0"/>
      <w:divBdr>
        <w:top w:val="none" w:sz="0" w:space="0" w:color="auto"/>
        <w:left w:val="none" w:sz="0" w:space="0" w:color="auto"/>
        <w:bottom w:val="none" w:sz="0" w:space="0" w:color="auto"/>
        <w:right w:val="none" w:sz="0" w:space="0" w:color="auto"/>
      </w:divBdr>
      <w:divsChild>
        <w:div w:id="928392826">
          <w:marLeft w:val="547"/>
          <w:marRight w:val="0"/>
          <w:marTop w:val="0"/>
          <w:marBottom w:val="0"/>
          <w:divBdr>
            <w:top w:val="none" w:sz="0" w:space="0" w:color="auto"/>
            <w:left w:val="none" w:sz="0" w:space="0" w:color="auto"/>
            <w:bottom w:val="none" w:sz="0" w:space="0" w:color="auto"/>
            <w:right w:val="none" w:sz="0" w:space="0" w:color="auto"/>
          </w:divBdr>
        </w:div>
        <w:div w:id="1640259472">
          <w:marLeft w:val="547"/>
          <w:marRight w:val="0"/>
          <w:marTop w:val="0"/>
          <w:marBottom w:val="0"/>
          <w:divBdr>
            <w:top w:val="none" w:sz="0" w:space="0" w:color="auto"/>
            <w:left w:val="none" w:sz="0" w:space="0" w:color="auto"/>
            <w:bottom w:val="none" w:sz="0" w:space="0" w:color="auto"/>
            <w:right w:val="none" w:sz="0" w:space="0" w:color="auto"/>
          </w:divBdr>
        </w:div>
        <w:div w:id="1698891950">
          <w:marLeft w:val="547"/>
          <w:marRight w:val="0"/>
          <w:marTop w:val="0"/>
          <w:marBottom w:val="0"/>
          <w:divBdr>
            <w:top w:val="none" w:sz="0" w:space="0" w:color="auto"/>
            <w:left w:val="none" w:sz="0" w:space="0" w:color="auto"/>
            <w:bottom w:val="none" w:sz="0" w:space="0" w:color="auto"/>
            <w:right w:val="none" w:sz="0" w:space="0" w:color="auto"/>
          </w:divBdr>
        </w:div>
      </w:divsChild>
    </w:div>
    <w:div w:id="684551280">
      <w:bodyDiv w:val="1"/>
      <w:marLeft w:val="0"/>
      <w:marRight w:val="0"/>
      <w:marTop w:val="0"/>
      <w:marBottom w:val="0"/>
      <w:divBdr>
        <w:top w:val="none" w:sz="0" w:space="0" w:color="auto"/>
        <w:left w:val="none" w:sz="0" w:space="0" w:color="auto"/>
        <w:bottom w:val="none" w:sz="0" w:space="0" w:color="auto"/>
        <w:right w:val="none" w:sz="0" w:space="0" w:color="auto"/>
      </w:divBdr>
      <w:divsChild>
        <w:div w:id="1372800019">
          <w:marLeft w:val="547"/>
          <w:marRight w:val="0"/>
          <w:marTop w:val="0"/>
          <w:marBottom w:val="0"/>
          <w:divBdr>
            <w:top w:val="none" w:sz="0" w:space="0" w:color="auto"/>
            <w:left w:val="none" w:sz="0" w:space="0" w:color="auto"/>
            <w:bottom w:val="none" w:sz="0" w:space="0" w:color="auto"/>
            <w:right w:val="none" w:sz="0" w:space="0" w:color="auto"/>
          </w:divBdr>
        </w:div>
      </w:divsChild>
    </w:div>
    <w:div w:id="734469586">
      <w:bodyDiv w:val="1"/>
      <w:marLeft w:val="0"/>
      <w:marRight w:val="0"/>
      <w:marTop w:val="0"/>
      <w:marBottom w:val="0"/>
      <w:divBdr>
        <w:top w:val="none" w:sz="0" w:space="0" w:color="auto"/>
        <w:left w:val="none" w:sz="0" w:space="0" w:color="auto"/>
        <w:bottom w:val="none" w:sz="0" w:space="0" w:color="auto"/>
        <w:right w:val="none" w:sz="0" w:space="0" w:color="auto"/>
      </w:divBdr>
    </w:div>
    <w:div w:id="746727707">
      <w:bodyDiv w:val="1"/>
      <w:marLeft w:val="0"/>
      <w:marRight w:val="0"/>
      <w:marTop w:val="0"/>
      <w:marBottom w:val="0"/>
      <w:divBdr>
        <w:top w:val="none" w:sz="0" w:space="0" w:color="auto"/>
        <w:left w:val="none" w:sz="0" w:space="0" w:color="auto"/>
        <w:bottom w:val="none" w:sz="0" w:space="0" w:color="auto"/>
        <w:right w:val="none" w:sz="0" w:space="0" w:color="auto"/>
      </w:divBdr>
      <w:divsChild>
        <w:div w:id="244269886">
          <w:marLeft w:val="547"/>
          <w:marRight w:val="0"/>
          <w:marTop w:val="0"/>
          <w:marBottom w:val="0"/>
          <w:divBdr>
            <w:top w:val="none" w:sz="0" w:space="0" w:color="auto"/>
            <w:left w:val="none" w:sz="0" w:space="0" w:color="auto"/>
            <w:bottom w:val="none" w:sz="0" w:space="0" w:color="auto"/>
            <w:right w:val="none" w:sz="0" w:space="0" w:color="auto"/>
          </w:divBdr>
        </w:div>
        <w:div w:id="1418211206">
          <w:marLeft w:val="547"/>
          <w:marRight w:val="0"/>
          <w:marTop w:val="0"/>
          <w:marBottom w:val="0"/>
          <w:divBdr>
            <w:top w:val="none" w:sz="0" w:space="0" w:color="auto"/>
            <w:left w:val="none" w:sz="0" w:space="0" w:color="auto"/>
            <w:bottom w:val="none" w:sz="0" w:space="0" w:color="auto"/>
            <w:right w:val="none" w:sz="0" w:space="0" w:color="auto"/>
          </w:divBdr>
        </w:div>
      </w:divsChild>
    </w:div>
    <w:div w:id="748818335">
      <w:bodyDiv w:val="1"/>
      <w:marLeft w:val="0"/>
      <w:marRight w:val="0"/>
      <w:marTop w:val="0"/>
      <w:marBottom w:val="0"/>
      <w:divBdr>
        <w:top w:val="none" w:sz="0" w:space="0" w:color="auto"/>
        <w:left w:val="none" w:sz="0" w:space="0" w:color="auto"/>
        <w:bottom w:val="none" w:sz="0" w:space="0" w:color="auto"/>
        <w:right w:val="none" w:sz="0" w:space="0" w:color="auto"/>
      </w:divBdr>
    </w:div>
    <w:div w:id="749233624">
      <w:bodyDiv w:val="1"/>
      <w:marLeft w:val="0"/>
      <w:marRight w:val="0"/>
      <w:marTop w:val="0"/>
      <w:marBottom w:val="0"/>
      <w:divBdr>
        <w:top w:val="none" w:sz="0" w:space="0" w:color="auto"/>
        <w:left w:val="none" w:sz="0" w:space="0" w:color="auto"/>
        <w:bottom w:val="none" w:sz="0" w:space="0" w:color="auto"/>
        <w:right w:val="none" w:sz="0" w:space="0" w:color="auto"/>
      </w:divBdr>
    </w:div>
    <w:div w:id="771898576">
      <w:bodyDiv w:val="1"/>
      <w:marLeft w:val="0"/>
      <w:marRight w:val="0"/>
      <w:marTop w:val="0"/>
      <w:marBottom w:val="0"/>
      <w:divBdr>
        <w:top w:val="none" w:sz="0" w:space="0" w:color="auto"/>
        <w:left w:val="none" w:sz="0" w:space="0" w:color="auto"/>
        <w:bottom w:val="none" w:sz="0" w:space="0" w:color="auto"/>
        <w:right w:val="none" w:sz="0" w:space="0" w:color="auto"/>
      </w:divBdr>
    </w:div>
    <w:div w:id="786699339">
      <w:bodyDiv w:val="1"/>
      <w:marLeft w:val="0"/>
      <w:marRight w:val="0"/>
      <w:marTop w:val="0"/>
      <w:marBottom w:val="0"/>
      <w:divBdr>
        <w:top w:val="none" w:sz="0" w:space="0" w:color="auto"/>
        <w:left w:val="none" w:sz="0" w:space="0" w:color="auto"/>
        <w:bottom w:val="none" w:sz="0" w:space="0" w:color="auto"/>
        <w:right w:val="none" w:sz="0" w:space="0" w:color="auto"/>
      </w:divBdr>
    </w:div>
    <w:div w:id="786854477">
      <w:bodyDiv w:val="1"/>
      <w:marLeft w:val="0"/>
      <w:marRight w:val="0"/>
      <w:marTop w:val="0"/>
      <w:marBottom w:val="0"/>
      <w:divBdr>
        <w:top w:val="none" w:sz="0" w:space="0" w:color="auto"/>
        <w:left w:val="none" w:sz="0" w:space="0" w:color="auto"/>
        <w:bottom w:val="none" w:sz="0" w:space="0" w:color="auto"/>
        <w:right w:val="none" w:sz="0" w:space="0" w:color="auto"/>
      </w:divBdr>
    </w:div>
    <w:div w:id="806431677">
      <w:bodyDiv w:val="1"/>
      <w:marLeft w:val="0"/>
      <w:marRight w:val="0"/>
      <w:marTop w:val="0"/>
      <w:marBottom w:val="0"/>
      <w:divBdr>
        <w:top w:val="none" w:sz="0" w:space="0" w:color="auto"/>
        <w:left w:val="none" w:sz="0" w:space="0" w:color="auto"/>
        <w:bottom w:val="none" w:sz="0" w:space="0" w:color="auto"/>
        <w:right w:val="none" w:sz="0" w:space="0" w:color="auto"/>
      </w:divBdr>
    </w:div>
    <w:div w:id="806818376">
      <w:bodyDiv w:val="1"/>
      <w:marLeft w:val="0"/>
      <w:marRight w:val="0"/>
      <w:marTop w:val="0"/>
      <w:marBottom w:val="0"/>
      <w:divBdr>
        <w:top w:val="none" w:sz="0" w:space="0" w:color="auto"/>
        <w:left w:val="none" w:sz="0" w:space="0" w:color="auto"/>
        <w:bottom w:val="none" w:sz="0" w:space="0" w:color="auto"/>
        <w:right w:val="none" w:sz="0" w:space="0" w:color="auto"/>
      </w:divBdr>
      <w:divsChild>
        <w:div w:id="912818136">
          <w:marLeft w:val="547"/>
          <w:marRight w:val="0"/>
          <w:marTop w:val="0"/>
          <w:marBottom w:val="0"/>
          <w:divBdr>
            <w:top w:val="none" w:sz="0" w:space="0" w:color="auto"/>
            <w:left w:val="none" w:sz="0" w:space="0" w:color="auto"/>
            <w:bottom w:val="none" w:sz="0" w:space="0" w:color="auto"/>
            <w:right w:val="none" w:sz="0" w:space="0" w:color="auto"/>
          </w:divBdr>
        </w:div>
      </w:divsChild>
    </w:div>
    <w:div w:id="813185723">
      <w:bodyDiv w:val="1"/>
      <w:marLeft w:val="0"/>
      <w:marRight w:val="0"/>
      <w:marTop w:val="0"/>
      <w:marBottom w:val="0"/>
      <w:divBdr>
        <w:top w:val="none" w:sz="0" w:space="0" w:color="auto"/>
        <w:left w:val="none" w:sz="0" w:space="0" w:color="auto"/>
        <w:bottom w:val="none" w:sz="0" w:space="0" w:color="auto"/>
        <w:right w:val="none" w:sz="0" w:space="0" w:color="auto"/>
      </w:divBdr>
      <w:divsChild>
        <w:div w:id="26175249">
          <w:marLeft w:val="418"/>
          <w:marRight w:val="0"/>
          <w:marTop w:val="120"/>
          <w:marBottom w:val="0"/>
          <w:divBdr>
            <w:top w:val="none" w:sz="0" w:space="0" w:color="auto"/>
            <w:left w:val="none" w:sz="0" w:space="0" w:color="auto"/>
            <w:bottom w:val="none" w:sz="0" w:space="0" w:color="auto"/>
            <w:right w:val="none" w:sz="0" w:space="0" w:color="auto"/>
          </w:divBdr>
        </w:div>
        <w:div w:id="148720105">
          <w:marLeft w:val="418"/>
          <w:marRight w:val="0"/>
          <w:marTop w:val="120"/>
          <w:marBottom w:val="0"/>
          <w:divBdr>
            <w:top w:val="none" w:sz="0" w:space="0" w:color="auto"/>
            <w:left w:val="none" w:sz="0" w:space="0" w:color="auto"/>
            <w:bottom w:val="none" w:sz="0" w:space="0" w:color="auto"/>
            <w:right w:val="none" w:sz="0" w:space="0" w:color="auto"/>
          </w:divBdr>
        </w:div>
        <w:div w:id="318121873">
          <w:marLeft w:val="418"/>
          <w:marRight w:val="0"/>
          <w:marTop w:val="120"/>
          <w:marBottom w:val="0"/>
          <w:divBdr>
            <w:top w:val="none" w:sz="0" w:space="0" w:color="auto"/>
            <w:left w:val="none" w:sz="0" w:space="0" w:color="auto"/>
            <w:bottom w:val="none" w:sz="0" w:space="0" w:color="auto"/>
            <w:right w:val="none" w:sz="0" w:space="0" w:color="auto"/>
          </w:divBdr>
        </w:div>
        <w:div w:id="360319738">
          <w:marLeft w:val="418"/>
          <w:marRight w:val="0"/>
          <w:marTop w:val="120"/>
          <w:marBottom w:val="0"/>
          <w:divBdr>
            <w:top w:val="none" w:sz="0" w:space="0" w:color="auto"/>
            <w:left w:val="none" w:sz="0" w:space="0" w:color="auto"/>
            <w:bottom w:val="none" w:sz="0" w:space="0" w:color="auto"/>
            <w:right w:val="none" w:sz="0" w:space="0" w:color="auto"/>
          </w:divBdr>
        </w:div>
        <w:div w:id="1213033743">
          <w:marLeft w:val="418"/>
          <w:marRight w:val="0"/>
          <w:marTop w:val="120"/>
          <w:marBottom w:val="0"/>
          <w:divBdr>
            <w:top w:val="none" w:sz="0" w:space="0" w:color="auto"/>
            <w:left w:val="none" w:sz="0" w:space="0" w:color="auto"/>
            <w:bottom w:val="none" w:sz="0" w:space="0" w:color="auto"/>
            <w:right w:val="none" w:sz="0" w:space="0" w:color="auto"/>
          </w:divBdr>
        </w:div>
        <w:div w:id="1448113902">
          <w:marLeft w:val="418"/>
          <w:marRight w:val="0"/>
          <w:marTop w:val="120"/>
          <w:marBottom w:val="0"/>
          <w:divBdr>
            <w:top w:val="none" w:sz="0" w:space="0" w:color="auto"/>
            <w:left w:val="none" w:sz="0" w:space="0" w:color="auto"/>
            <w:bottom w:val="none" w:sz="0" w:space="0" w:color="auto"/>
            <w:right w:val="none" w:sz="0" w:space="0" w:color="auto"/>
          </w:divBdr>
        </w:div>
        <w:div w:id="1465006293">
          <w:marLeft w:val="418"/>
          <w:marRight w:val="0"/>
          <w:marTop w:val="120"/>
          <w:marBottom w:val="0"/>
          <w:divBdr>
            <w:top w:val="none" w:sz="0" w:space="0" w:color="auto"/>
            <w:left w:val="none" w:sz="0" w:space="0" w:color="auto"/>
            <w:bottom w:val="none" w:sz="0" w:space="0" w:color="auto"/>
            <w:right w:val="none" w:sz="0" w:space="0" w:color="auto"/>
          </w:divBdr>
        </w:div>
      </w:divsChild>
    </w:div>
    <w:div w:id="852689842">
      <w:bodyDiv w:val="1"/>
      <w:marLeft w:val="0"/>
      <w:marRight w:val="0"/>
      <w:marTop w:val="0"/>
      <w:marBottom w:val="0"/>
      <w:divBdr>
        <w:top w:val="none" w:sz="0" w:space="0" w:color="auto"/>
        <w:left w:val="none" w:sz="0" w:space="0" w:color="auto"/>
        <w:bottom w:val="none" w:sz="0" w:space="0" w:color="auto"/>
        <w:right w:val="none" w:sz="0" w:space="0" w:color="auto"/>
      </w:divBdr>
      <w:divsChild>
        <w:div w:id="681664860">
          <w:marLeft w:val="547"/>
          <w:marRight w:val="0"/>
          <w:marTop w:val="0"/>
          <w:marBottom w:val="0"/>
          <w:divBdr>
            <w:top w:val="none" w:sz="0" w:space="0" w:color="auto"/>
            <w:left w:val="none" w:sz="0" w:space="0" w:color="auto"/>
            <w:bottom w:val="none" w:sz="0" w:space="0" w:color="auto"/>
            <w:right w:val="none" w:sz="0" w:space="0" w:color="auto"/>
          </w:divBdr>
        </w:div>
      </w:divsChild>
    </w:div>
    <w:div w:id="853542019">
      <w:bodyDiv w:val="1"/>
      <w:marLeft w:val="0"/>
      <w:marRight w:val="0"/>
      <w:marTop w:val="0"/>
      <w:marBottom w:val="0"/>
      <w:divBdr>
        <w:top w:val="none" w:sz="0" w:space="0" w:color="auto"/>
        <w:left w:val="none" w:sz="0" w:space="0" w:color="auto"/>
        <w:bottom w:val="none" w:sz="0" w:space="0" w:color="auto"/>
        <w:right w:val="none" w:sz="0" w:space="0" w:color="auto"/>
      </w:divBdr>
    </w:div>
    <w:div w:id="885916916">
      <w:bodyDiv w:val="1"/>
      <w:marLeft w:val="0"/>
      <w:marRight w:val="0"/>
      <w:marTop w:val="0"/>
      <w:marBottom w:val="0"/>
      <w:divBdr>
        <w:top w:val="none" w:sz="0" w:space="0" w:color="auto"/>
        <w:left w:val="none" w:sz="0" w:space="0" w:color="auto"/>
        <w:bottom w:val="none" w:sz="0" w:space="0" w:color="auto"/>
        <w:right w:val="none" w:sz="0" w:space="0" w:color="auto"/>
      </w:divBdr>
      <w:divsChild>
        <w:div w:id="573398995">
          <w:marLeft w:val="547"/>
          <w:marRight w:val="0"/>
          <w:marTop w:val="0"/>
          <w:marBottom w:val="0"/>
          <w:divBdr>
            <w:top w:val="none" w:sz="0" w:space="0" w:color="auto"/>
            <w:left w:val="none" w:sz="0" w:space="0" w:color="auto"/>
            <w:bottom w:val="none" w:sz="0" w:space="0" w:color="auto"/>
            <w:right w:val="none" w:sz="0" w:space="0" w:color="auto"/>
          </w:divBdr>
        </w:div>
      </w:divsChild>
    </w:div>
    <w:div w:id="898786189">
      <w:bodyDiv w:val="1"/>
      <w:marLeft w:val="0"/>
      <w:marRight w:val="0"/>
      <w:marTop w:val="0"/>
      <w:marBottom w:val="0"/>
      <w:divBdr>
        <w:top w:val="none" w:sz="0" w:space="0" w:color="auto"/>
        <w:left w:val="none" w:sz="0" w:space="0" w:color="auto"/>
        <w:bottom w:val="none" w:sz="0" w:space="0" w:color="auto"/>
        <w:right w:val="none" w:sz="0" w:space="0" w:color="auto"/>
      </w:divBdr>
    </w:div>
    <w:div w:id="903763537">
      <w:bodyDiv w:val="1"/>
      <w:marLeft w:val="0"/>
      <w:marRight w:val="0"/>
      <w:marTop w:val="0"/>
      <w:marBottom w:val="0"/>
      <w:divBdr>
        <w:top w:val="none" w:sz="0" w:space="0" w:color="auto"/>
        <w:left w:val="none" w:sz="0" w:space="0" w:color="auto"/>
        <w:bottom w:val="none" w:sz="0" w:space="0" w:color="auto"/>
        <w:right w:val="none" w:sz="0" w:space="0" w:color="auto"/>
      </w:divBdr>
    </w:div>
    <w:div w:id="95093632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62268398">
      <w:bodyDiv w:val="1"/>
      <w:marLeft w:val="0"/>
      <w:marRight w:val="0"/>
      <w:marTop w:val="0"/>
      <w:marBottom w:val="0"/>
      <w:divBdr>
        <w:top w:val="none" w:sz="0" w:space="0" w:color="auto"/>
        <w:left w:val="none" w:sz="0" w:space="0" w:color="auto"/>
        <w:bottom w:val="none" w:sz="0" w:space="0" w:color="auto"/>
        <w:right w:val="none" w:sz="0" w:space="0" w:color="auto"/>
      </w:divBdr>
    </w:div>
    <w:div w:id="964964873">
      <w:bodyDiv w:val="1"/>
      <w:marLeft w:val="0"/>
      <w:marRight w:val="0"/>
      <w:marTop w:val="0"/>
      <w:marBottom w:val="0"/>
      <w:divBdr>
        <w:top w:val="none" w:sz="0" w:space="0" w:color="auto"/>
        <w:left w:val="none" w:sz="0" w:space="0" w:color="auto"/>
        <w:bottom w:val="none" w:sz="0" w:space="0" w:color="auto"/>
        <w:right w:val="none" w:sz="0" w:space="0" w:color="auto"/>
      </w:divBdr>
      <w:divsChild>
        <w:div w:id="34477270">
          <w:marLeft w:val="547"/>
          <w:marRight w:val="0"/>
          <w:marTop w:val="0"/>
          <w:marBottom w:val="0"/>
          <w:divBdr>
            <w:top w:val="none" w:sz="0" w:space="0" w:color="auto"/>
            <w:left w:val="none" w:sz="0" w:space="0" w:color="auto"/>
            <w:bottom w:val="none" w:sz="0" w:space="0" w:color="auto"/>
            <w:right w:val="none" w:sz="0" w:space="0" w:color="auto"/>
          </w:divBdr>
        </w:div>
        <w:div w:id="1186822044">
          <w:marLeft w:val="547"/>
          <w:marRight w:val="0"/>
          <w:marTop w:val="0"/>
          <w:marBottom w:val="0"/>
          <w:divBdr>
            <w:top w:val="none" w:sz="0" w:space="0" w:color="auto"/>
            <w:left w:val="none" w:sz="0" w:space="0" w:color="auto"/>
            <w:bottom w:val="none" w:sz="0" w:space="0" w:color="auto"/>
            <w:right w:val="none" w:sz="0" w:space="0" w:color="auto"/>
          </w:divBdr>
        </w:div>
        <w:div w:id="1823622364">
          <w:marLeft w:val="547"/>
          <w:marRight w:val="0"/>
          <w:marTop w:val="0"/>
          <w:marBottom w:val="0"/>
          <w:divBdr>
            <w:top w:val="none" w:sz="0" w:space="0" w:color="auto"/>
            <w:left w:val="none" w:sz="0" w:space="0" w:color="auto"/>
            <w:bottom w:val="none" w:sz="0" w:space="0" w:color="auto"/>
            <w:right w:val="none" w:sz="0" w:space="0" w:color="auto"/>
          </w:divBdr>
        </w:div>
      </w:divsChild>
    </w:div>
    <w:div w:id="966858220">
      <w:bodyDiv w:val="1"/>
      <w:marLeft w:val="0"/>
      <w:marRight w:val="0"/>
      <w:marTop w:val="0"/>
      <w:marBottom w:val="0"/>
      <w:divBdr>
        <w:top w:val="none" w:sz="0" w:space="0" w:color="auto"/>
        <w:left w:val="none" w:sz="0" w:space="0" w:color="auto"/>
        <w:bottom w:val="none" w:sz="0" w:space="0" w:color="auto"/>
        <w:right w:val="none" w:sz="0" w:space="0" w:color="auto"/>
      </w:divBdr>
    </w:div>
    <w:div w:id="978732292">
      <w:bodyDiv w:val="1"/>
      <w:marLeft w:val="0"/>
      <w:marRight w:val="0"/>
      <w:marTop w:val="0"/>
      <w:marBottom w:val="0"/>
      <w:divBdr>
        <w:top w:val="none" w:sz="0" w:space="0" w:color="auto"/>
        <w:left w:val="none" w:sz="0" w:space="0" w:color="auto"/>
        <w:bottom w:val="none" w:sz="0" w:space="0" w:color="auto"/>
        <w:right w:val="none" w:sz="0" w:space="0" w:color="auto"/>
      </w:divBdr>
    </w:div>
    <w:div w:id="1008409443">
      <w:bodyDiv w:val="1"/>
      <w:marLeft w:val="0"/>
      <w:marRight w:val="0"/>
      <w:marTop w:val="0"/>
      <w:marBottom w:val="0"/>
      <w:divBdr>
        <w:top w:val="none" w:sz="0" w:space="0" w:color="auto"/>
        <w:left w:val="none" w:sz="0" w:space="0" w:color="auto"/>
        <w:bottom w:val="none" w:sz="0" w:space="0" w:color="auto"/>
        <w:right w:val="none" w:sz="0" w:space="0" w:color="auto"/>
      </w:divBdr>
    </w:div>
    <w:div w:id="1066953525">
      <w:bodyDiv w:val="1"/>
      <w:marLeft w:val="0"/>
      <w:marRight w:val="0"/>
      <w:marTop w:val="0"/>
      <w:marBottom w:val="0"/>
      <w:divBdr>
        <w:top w:val="none" w:sz="0" w:space="0" w:color="auto"/>
        <w:left w:val="none" w:sz="0" w:space="0" w:color="auto"/>
        <w:bottom w:val="none" w:sz="0" w:space="0" w:color="auto"/>
        <w:right w:val="none" w:sz="0" w:space="0" w:color="auto"/>
      </w:divBdr>
    </w:div>
    <w:div w:id="1088620895">
      <w:bodyDiv w:val="1"/>
      <w:marLeft w:val="0"/>
      <w:marRight w:val="0"/>
      <w:marTop w:val="0"/>
      <w:marBottom w:val="0"/>
      <w:divBdr>
        <w:top w:val="none" w:sz="0" w:space="0" w:color="auto"/>
        <w:left w:val="none" w:sz="0" w:space="0" w:color="auto"/>
        <w:bottom w:val="none" w:sz="0" w:space="0" w:color="auto"/>
        <w:right w:val="none" w:sz="0" w:space="0" w:color="auto"/>
      </w:divBdr>
      <w:divsChild>
        <w:div w:id="225343161">
          <w:marLeft w:val="547"/>
          <w:marRight w:val="0"/>
          <w:marTop w:val="0"/>
          <w:marBottom w:val="0"/>
          <w:divBdr>
            <w:top w:val="none" w:sz="0" w:space="0" w:color="auto"/>
            <w:left w:val="none" w:sz="0" w:space="0" w:color="auto"/>
            <w:bottom w:val="none" w:sz="0" w:space="0" w:color="auto"/>
            <w:right w:val="none" w:sz="0" w:space="0" w:color="auto"/>
          </w:divBdr>
        </w:div>
        <w:div w:id="227225527">
          <w:marLeft w:val="547"/>
          <w:marRight w:val="0"/>
          <w:marTop w:val="0"/>
          <w:marBottom w:val="0"/>
          <w:divBdr>
            <w:top w:val="none" w:sz="0" w:space="0" w:color="auto"/>
            <w:left w:val="none" w:sz="0" w:space="0" w:color="auto"/>
            <w:bottom w:val="none" w:sz="0" w:space="0" w:color="auto"/>
            <w:right w:val="none" w:sz="0" w:space="0" w:color="auto"/>
          </w:divBdr>
        </w:div>
        <w:div w:id="1886209065">
          <w:marLeft w:val="547"/>
          <w:marRight w:val="0"/>
          <w:marTop w:val="0"/>
          <w:marBottom w:val="0"/>
          <w:divBdr>
            <w:top w:val="none" w:sz="0" w:space="0" w:color="auto"/>
            <w:left w:val="none" w:sz="0" w:space="0" w:color="auto"/>
            <w:bottom w:val="none" w:sz="0" w:space="0" w:color="auto"/>
            <w:right w:val="none" w:sz="0" w:space="0" w:color="auto"/>
          </w:divBdr>
        </w:div>
      </w:divsChild>
    </w:div>
    <w:div w:id="1090588842">
      <w:bodyDiv w:val="1"/>
      <w:marLeft w:val="0"/>
      <w:marRight w:val="0"/>
      <w:marTop w:val="0"/>
      <w:marBottom w:val="0"/>
      <w:divBdr>
        <w:top w:val="none" w:sz="0" w:space="0" w:color="auto"/>
        <w:left w:val="none" w:sz="0" w:space="0" w:color="auto"/>
        <w:bottom w:val="none" w:sz="0" w:space="0" w:color="auto"/>
        <w:right w:val="none" w:sz="0" w:space="0" w:color="auto"/>
      </w:divBdr>
    </w:div>
    <w:div w:id="1103068812">
      <w:bodyDiv w:val="1"/>
      <w:marLeft w:val="0"/>
      <w:marRight w:val="0"/>
      <w:marTop w:val="0"/>
      <w:marBottom w:val="0"/>
      <w:divBdr>
        <w:top w:val="none" w:sz="0" w:space="0" w:color="auto"/>
        <w:left w:val="none" w:sz="0" w:space="0" w:color="auto"/>
        <w:bottom w:val="none" w:sz="0" w:space="0" w:color="auto"/>
        <w:right w:val="none" w:sz="0" w:space="0" w:color="auto"/>
      </w:divBdr>
      <w:divsChild>
        <w:div w:id="172689951">
          <w:marLeft w:val="720"/>
          <w:marRight w:val="0"/>
          <w:marTop w:val="0"/>
          <w:marBottom w:val="120"/>
          <w:divBdr>
            <w:top w:val="none" w:sz="0" w:space="0" w:color="auto"/>
            <w:left w:val="none" w:sz="0" w:space="0" w:color="auto"/>
            <w:bottom w:val="none" w:sz="0" w:space="0" w:color="auto"/>
            <w:right w:val="none" w:sz="0" w:space="0" w:color="auto"/>
          </w:divBdr>
        </w:div>
        <w:div w:id="1192450318">
          <w:marLeft w:val="720"/>
          <w:marRight w:val="0"/>
          <w:marTop w:val="0"/>
          <w:marBottom w:val="120"/>
          <w:divBdr>
            <w:top w:val="none" w:sz="0" w:space="0" w:color="auto"/>
            <w:left w:val="none" w:sz="0" w:space="0" w:color="auto"/>
            <w:bottom w:val="none" w:sz="0" w:space="0" w:color="auto"/>
            <w:right w:val="none" w:sz="0" w:space="0" w:color="auto"/>
          </w:divBdr>
        </w:div>
        <w:div w:id="2094738567">
          <w:marLeft w:val="720"/>
          <w:marRight w:val="0"/>
          <w:marTop w:val="0"/>
          <w:marBottom w:val="120"/>
          <w:divBdr>
            <w:top w:val="none" w:sz="0" w:space="0" w:color="auto"/>
            <w:left w:val="none" w:sz="0" w:space="0" w:color="auto"/>
            <w:bottom w:val="none" w:sz="0" w:space="0" w:color="auto"/>
            <w:right w:val="none" w:sz="0" w:space="0" w:color="auto"/>
          </w:divBdr>
        </w:div>
        <w:div w:id="2144695761">
          <w:marLeft w:val="720"/>
          <w:marRight w:val="0"/>
          <w:marTop w:val="0"/>
          <w:marBottom w:val="120"/>
          <w:divBdr>
            <w:top w:val="none" w:sz="0" w:space="0" w:color="auto"/>
            <w:left w:val="none" w:sz="0" w:space="0" w:color="auto"/>
            <w:bottom w:val="none" w:sz="0" w:space="0" w:color="auto"/>
            <w:right w:val="none" w:sz="0" w:space="0" w:color="auto"/>
          </w:divBdr>
        </w:div>
      </w:divsChild>
    </w:div>
    <w:div w:id="1112743075">
      <w:bodyDiv w:val="1"/>
      <w:marLeft w:val="0"/>
      <w:marRight w:val="0"/>
      <w:marTop w:val="0"/>
      <w:marBottom w:val="0"/>
      <w:divBdr>
        <w:top w:val="none" w:sz="0" w:space="0" w:color="auto"/>
        <w:left w:val="none" w:sz="0" w:space="0" w:color="auto"/>
        <w:bottom w:val="none" w:sz="0" w:space="0" w:color="auto"/>
        <w:right w:val="none" w:sz="0" w:space="0" w:color="auto"/>
      </w:divBdr>
    </w:div>
    <w:div w:id="1113129518">
      <w:bodyDiv w:val="1"/>
      <w:marLeft w:val="0"/>
      <w:marRight w:val="0"/>
      <w:marTop w:val="0"/>
      <w:marBottom w:val="0"/>
      <w:divBdr>
        <w:top w:val="none" w:sz="0" w:space="0" w:color="auto"/>
        <w:left w:val="none" w:sz="0" w:space="0" w:color="auto"/>
        <w:bottom w:val="none" w:sz="0" w:space="0" w:color="auto"/>
        <w:right w:val="none" w:sz="0" w:space="0" w:color="auto"/>
      </w:divBdr>
    </w:div>
    <w:div w:id="1116407533">
      <w:bodyDiv w:val="1"/>
      <w:marLeft w:val="0"/>
      <w:marRight w:val="0"/>
      <w:marTop w:val="0"/>
      <w:marBottom w:val="0"/>
      <w:divBdr>
        <w:top w:val="none" w:sz="0" w:space="0" w:color="auto"/>
        <w:left w:val="none" w:sz="0" w:space="0" w:color="auto"/>
        <w:bottom w:val="none" w:sz="0" w:space="0" w:color="auto"/>
        <w:right w:val="none" w:sz="0" w:space="0" w:color="auto"/>
      </w:divBdr>
      <w:divsChild>
        <w:div w:id="1434059558">
          <w:marLeft w:val="547"/>
          <w:marRight w:val="0"/>
          <w:marTop w:val="0"/>
          <w:marBottom w:val="0"/>
          <w:divBdr>
            <w:top w:val="none" w:sz="0" w:space="0" w:color="auto"/>
            <w:left w:val="none" w:sz="0" w:space="0" w:color="auto"/>
            <w:bottom w:val="none" w:sz="0" w:space="0" w:color="auto"/>
            <w:right w:val="none" w:sz="0" w:space="0" w:color="auto"/>
          </w:divBdr>
        </w:div>
      </w:divsChild>
    </w:div>
    <w:div w:id="1119027250">
      <w:bodyDiv w:val="1"/>
      <w:marLeft w:val="0"/>
      <w:marRight w:val="0"/>
      <w:marTop w:val="0"/>
      <w:marBottom w:val="0"/>
      <w:divBdr>
        <w:top w:val="none" w:sz="0" w:space="0" w:color="auto"/>
        <w:left w:val="none" w:sz="0" w:space="0" w:color="auto"/>
        <w:bottom w:val="none" w:sz="0" w:space="0" w:color="auto"/>
        <w:right w:val="none" w:sz="0" w:space="0" w:color="auto"/>
      </w:divBdr>
    </w:div>
    <w:div w:id="1142039087">
      <w:bodyDiv w:val="1"/>
      <w:marLeft w:val="0"/>
      <w:marRight w:val="0"/>
      <w:marTop w:val="0"/>
      <w:marBottom w:val="0"/>
      <w:divBdr>
        <w:top w:val="none" w:sz="0" w:space="0" w:color="auto"/>
        <w:left w:val="none" w:sz="0" w:space="0" w:color="auto"/>
        <w:bottom w:val="none" w:sz="0" w:space="0" w:color="auto"/>
        <w:right w:val="none" w:sz="0" w:space="0" w:color="auto"/>
      </w:divBdr>
    </w:div>
    <w:div w:id="1144346398">
      <w:bodyDiv w:val="1"/>
      <w:marLeft w:val="0"/>
      <w:marRight w:val="0"/>
      <w:marTop w:val="0"/>
      <w:marBottom w:val="0"/>
      <w:divBdr>
        <w:top w:val="none" w:sz="0" w:space="0" w:color="auto"/>
        <w:left w:val="none" w:sz="0" w:space="0" w:color="auto"/>
        <w:bottom w:val="none" w:sz="0" w:space="0" w:color="auto"/>
        <w:right w:val="none" w:sz="0" w:space="0" w:color="auto"/>
      </w:divBdr>
    </w:div>
    <w:div w:id="1156460817">
      <w:bodyDiv w:val="1"/>
      <w:marLeft w:val="0"/>
      <w:marRight w:val="0"/>
      <w:marTop w:val="0"/>
      <w:marBottom w:val="0"/>
      <w:divBdr>
        <w:top w:val="none" w:sz="0" w:space="0" w:color="auto"/>
        <w:left w:val="none" w:sz="0" w:space="0" w:color="auto"/>
        <w:bottom w:val="none" w:sz="0" w:space="0" w:color="auto"/>
        <w:right w:val="none" w:sz="0" w:space="0" w:color="auto"/>
      </w:divBdr>
    </w:div>
    <w:div w:id="1178037262">
      <w:bodyDiv w:val="1"/>
      <w:marLeft w:val="0"/>
      <w:marRight w:val="0"/>
      <w:marTop w:val="0"/>
      <w:marBottom w:val="0"/>
      <w:divBdr>
        <w:top w:val="none" w:sz="0" w:space="0" w:color="auto"/>
        <w:left w:val="none" w:sz="0" w:space="0" w:color="auto"/>
        <w:bottom w:val="none" w:sz="0" w:space="0" w:color="auto"/>
        <w:right w:val="none" w:sz="0" w:space="0" w:color="auto"/>
      </w:divBdr>
    </w:div>
    <w:div w:id="1192956645">
      <w:bodyDiv w:val="1"/>
      <w:marLeft w:val="0"/>
      <w:marRight w:val="0"/>
      <w:marTop w:val="0"/>
      <w:marBottom w:val="0"/>
      <w:divBdr>
        <w:top w:val="none" w:sz="0" w:space="0" w:color="auto"/>
        <w:left w:val="none" w:sz="0" w:space="0" w:color="auto"/>
        <w:bottom w:val="none" w:sz="0" w:space="0" w:color="auto"/>
        <w:right w:val="none" w:sz="0" w:space="0" w:color="auto"/>
      </w:divBdr>
      <w:divsChild>
        <w:div w:id="1123428266">
          <w:marLeft w:val="446"/>
          <w:marRight w:val="0"/>
          <w:marTop w:val="0"/>
          <w:marBottom w:val="0"/>
          <w:divBdr>
            <w:top w:val="none" w:sz="0" w:space="0" w:color="auto"/>
            <w:left w:val="none" w:sz="0" w:space="0" w:color="auto"/>
            <w:bottom w:val="none" w:sz="0" w:space="0" w:color="auto"/>
            <w:right w:val="none" w:sz="0" w:space="0" w:color="auto"/>
          </w:divBdr>
        </w:div>
        <w:div w:id="1240675259">
          <w:marLeft w:val="446"/>
          <w:marRight w:val="0"/>
          <w:marTop w:val="0"/>
          <w:marBottom w:val="0"/>
          <w:divBdr>
            <w:top w:val="none" w:sz="0" w:space="0" w:color="auto"/>
            <w:left w:val="none" w:sz="0" w:space="0" w:color="auto"/>
            <w:bottom w:val="none" w:sz="0" w:space="0" w:color="auto"/>
            <w:right w:val="none" w:sz="0" w:space="0" w:color="auto"/>
          </w:divBdr>
        </w:div>
        <w:div w:id="1468934272">
          <w:marLeft w:val="446"/>
          <w:marRight w:val="0"/>
          <w:marTop w:val="0"/>
          <w:marBottom w:val="0"/>
          <w:divBdr>
            <w:top w:val="none" w:sz="0" w:space="0" w:color="auto"/>
            <w:left w:val="none" w:sz="0" w:space="0" w:color="auto"/>
            <w:bottom w:val="none" w:sz="0" w:space="0" w:color="auto"/>
            <w:right w:val="none" w:sz="0" w:space="0" w:color="auto"/>
          </w:divBdr>
        </w:div>
      </w:divsChild>
    </w:div>
    <w:div w:id="1219317566">
      <w:bodyDiv w:val="1"/>
      <w:marLeft w:val="0"/>
      <w:marRight w:val="0"/>
      <w:marTop w:val="0"/>
      <w:marBottom w:val="0"/>
      <w:divBdr>
        <w:top w:val="none" w:sz="0" w:space="0" w:color="auto"/>
        <w:left w:val="none" w:sz="0" w:space="0" w:color="auto"/>
        <w:bottom w:val="none" w:sz="0" w:space="0" w:color="auto"/>
        <w:right w:val="none" w:sz="0" w:space="0" w:color="auto"/>
      </w:divBdr>
      <w:divsChild>
        <w:div w:id="1223326193">
          <w:marLeft w:val="547"/>
          <w:marRight w:val="0"/>
          <w:marTop w:val="0"/>
          <w:marBottom w:val="0"/>
          <w:divBdr>
            <w:top w:val="none" w:sz="0" w:space="0" w:color="auto"/>
            <w:left w:val="none" w:sz="0" w:space="0" w:color="auto"/>
            <w:bottom w:val="none" w:sz="0" w:space="0" w:color="auto"/>
            <w:right w:val="none" w:sz="0" w:space="0" w:color="auto"/>
          </w:divBdr>
        </w:div>
      </w:divsChild>
    </w:div>
    <w:div w:id="1253515646">
      <w:bodyDiv w:val="1"/>
      <w:marLeft w:val="0"/>
      <w:marRight w:val="0"/>
      <w:marTop w:val="0"/>
      <w:marBottom w:val="0"/>
      <w:divBdr>
        <w:top w:val="none" w:sz="0" w:space="0" w:color="auto"/>
        <w:left w:val="none" w:sz="0" w:space="0" w:color="auto"/>
        <w:bottom w:val="none" w:sz="0" w:space="0" w:color="auto"/>
        <w:right w:val="none" w:sz="0" w:space="0" w:color="auto"/>
      </w:divBdr>
    </w:div>
    <w:div w:id="1316496659">
      <w:bodyDiv w:val="1"/>
      <w:marLeft w:val="0"/>
      <w:marRight w:val="0"/>
      <w:marTop w:val="0"/>
      <w:marBottom w:val="0"/>
      <w:divBdr>
        <w:top w:val="none" w:sz="0" w:space="0" w:color="auto"/>
        <w:left w:val="none" w:sz="0" w:space="0" w:color="auto"/>
        <w:bottom w:val="none" w:sz="0" w:space="0" w:color="auto"/>
        <w:right w:val="none" w:sz="0" w:space="0" w:color="auto"/>
      </w:divBdr>
    </w:div>
    <w:div w:id="1317995982">
      <w:bodyDiv w:val="1"/>
      <w:marLeft w:val="0"/>
      <w:marRight w:val="0"/>
      <w:marTop w:val="0"/>
      <w:marBottom w:val="0"/>
      <w:divBdr>
        <w:top w:val="none" w:sz="0" w:space="0" w:color="auto"/>
        <w:left w:val="none" w:sz="0" w:space="0" w:color="auto"/>
        <w:bottom w:val="none" w:sz="0" w:space="0" w:color="auto"/>
        <w:right w:val="none" w:sz="0" w:space="0" w:color="auto"/>
      </w:divBdr>
    </w:div>
    <w:div w:id="1318151023">
      <w:bodyDiv w:val="1"/>
      <w:marLeft w:val="0"/>
      <w:marRight w:val="0"/>
      <w:marTop w:val="0"/>
      <w:marBottom w:val="0"/>
      <w:divBdr>
        <w:top w:val="none" w:sz="0" w:space="0" w:color="auto"/>
        <w:left w:val="none" w:sz="0" w:space="0" w:color="auto"/>
        <w:bottom w:val="none" w:sz="0" w:space="0" w:color="auto"/>
        <w:right w:val="none" w:sz="0" w:space="0" w:color="auto"/>
      </w:divBdr>
    </w:div>
    <w:div w:id="1332560178">
      <w:bodyDiv w:val="1"/>
      <w:marLeft w:val="0"/>
      <w:marRight w:val="0"/>
      <w:marTop w:val="0"/>
      <w:marBottom w:val="0"/>
      <w:divBdr>
        <w:top w:val="none" w:sz="0" w:space="0" w:color="auto"/>
        <w:left w:val="none" w:sz="0" w:space="0" w:color="auto"/>
        <w:bottom w:val="none" w:sz="0" w:space="0" w:color="auto"/>
        <w:right w:val="none" w:sz="0" w:space="0" w:color="auto"/>
      </w:divBdr>
    </w:div>
    <w:div w:id="1337466219">
      <w:bodyDiv w:val="1"/>
      <w:marLeft w:val="0"/>
      <w:marRight w:val="0"/>
      <w:marTop w:val="0"/>
      <w:marBottom w:val="0"/>
      <w:divBdr>
        <w:top w:val="none" w:sz="0" w:space="0" w:color="auto"/>
        <w:left w:val="none" w:sz="0" w:space="0" w:color="auto"/>
        <w:bottom w:val="none" w:sz="0" w:space="0" w:color="auto"/>
        <w:right w:val="none" w:sz="0" w:space="0" w:color="auto"/>
      </w:divBdr>
    </w:div>
    <w:div w:id="1346207162">
      <w:bodyDiv w:val="1"/>
      <w:marLeft w:val="0"/>
      <w:marRight w:val="0"/>
      <w:marTop w:val="0"/>
      <w:marBottom w:val="0"/>
      <w:divBdr>
        <w:top w:val="none" w:sz="0" w:space="0" w:color="auto"/>
        <w:left w:val="none" w:sz="0" w:space="0" w:color="auto"/>
        <w:bottom w:val="none" w:sz="0" w:space="0" w:color="auto"/>
        <w:right w:val="none" w:sz="0" w:space="0" w:color="auto"/>
      </w:divBdr>
      <w:divsChild>
        <w:div w:id="554778514">
          <w:marLeft w:val="360"/>
          <w:marRight w:val="0"/>
          <w:marTop w:val="200"/>
          <w:marBottom w:val="0"/>
          <w:divBdr>
            <w:top w:val="none" w:sz="0" w:space="0" w:color="auto"/>
            <w:left w:val="none" w:sz="0" w:space="0" w:color="auto"/>
            <w:bottom w:val="none" w:sz="0" w:space="0" w:color="auto"/>
            <w:right w:val="none" w:sz="0" w:space="0" w:color="auto"/>
          </w:divBdr>
        </w:div>
        <w:div w:id="888034332">
          <w:marLeft w:val="360"/>
          <w:marRight w:val="0"/>
          <w:marTop w:val="200"/>
          <w:marBottom w:val="0"/>
          <w:divBdr>
            <w:top w:val="none" w:sz="0" w:space="0" w:color="auto"/>
            <w:left w:val="none" w:sz="0" w:space="0" w:color="auto"/>
            <w:bottom w:val="none" w:sz="0" w:space="0" w:color="auto"/>
            <w:right w:val="none" w:sz="0" w:space="0" w:color="auto"/>
          </w:divBdr>
        </w:div>
        <w:div w:id="978073209">
          <w:marLeft w:val="360"/>
          <w:marRight w:val="0"/>
          <w:marTop w:val="200"/>
          <w:marBottom w:val="0"/>
          <w:divBdr>
            <w:top w:val="none" w:sz="0" w:space="0" w:color="auto"/>
            <w:left w:val="none" w:sz="0" w:space="0" w:color="auto"/>
            <w:bottom w:val="none" w:sz="0" w:space="0" w:color="auto"/>
            <w:right w:val="none" w:sz="0" w:space="0" w:color="auto"/>
          </w:divBdr>
        </w:div>
        <w:div w:id="1347094909">
          <w:marLeft w:val="360"/>
          <w:marRight w:val="0"/>
          <w:marTop w:val="200"/>
          <w:marBottom w:val="0"/>
          <w:divBdr>
            <w:top w:val="none" w:sz="0" w:space="0" w:color="auto"/>
            <w:left w:val="none" w:sz="0" w:space="0" w:color="auto"/>
            <w:bottom w:val="none" w:sz="0" w:space="0" w:color="auto"/>
            <w:right w:val="none" w:sz="0" w:space="0" w:color="auto"/>
          </w:divBdr>
        </w:div>
      </w:divsChild>
    </w:div>
    <w:div w:id="1353188048">
      <w:bodyDiv w:val="1"/>
      <w:marLeft w:val="0"/>
      <w:marRight w:val="0"/>
      <w:marTop w:val="0"/>
      <w:marBottom w:val="0"/>
      <w:divBdr>
        <w:top w:val="none" w:sz="0" w:space="0" w:color="auto"/>
        <w:left w:val="none" w:sz="0" w:space="0" w:color="auto"/>
        <w:bottom w:val="none" w:sz="0" w:space="0" w:color="auto"/>
        <w:right w:val="none" w:sz="0" w:space="0" w:color="auto"/>
      </w:divBdr>
      <w:divsChild>
        <w:div w:id="769930950">
          <w:marLeft w:val="576"/>
          <w:marRight w:val="0"/>
          <w:marTop w:val="0"/>
          <w:marBottom w:val="0"/>
          <w:divBdr>
            <w:top w:val="none" w:sz="0" w:space="0" w:color="auto"/>
            <w:left w:val="none" w:sz="0" w:space="0" w:color="auto"/>
            <w:bottom w:val="none" w:sz="0" w:space="0" w:color="auto"/>
            <w:right w:val="none" w:sz="0" w:space="0" w:color="auto"/>
          </w:divBdr>
        </w:div>
        <w:div w:id="1818720970">
          <w:marLeft w:val="576"/>
          <w:marRight w:val="0"/>
          <w:marTop w:val="0"/>
          <w:marBottom w:val="0"/>
          <w:divBdr>
            <w:top w:val="none" w:sz="0" w:space="0" w:color="auto"/>
            <w:left w:val="none" w:sz="0" w:space="0" w:color="auto"/>
            <w:bottom w:val="none" w:sz="0" w:space="0" w:color="auto"/>
            <w:right w:val="none" w:sz="0" w:space="0" w:color="auto"/>
          </w:divBdr>
        </w:div>
        <w:div w:id="1918904512">
          <w:marLeft w:val="576"/>
          <w:marRight w:val="0"/>
          <w:marTop w:val="0"/>
          <w:marBottom w:val="0"/>
          <w:divBdr>
            <w:top w:val="none" w:sz="0" w:space="0" w:color="auto"/>
            <w:left w:val="none" w:sz="0" w:space="0" w:color="auto"/>
            <w:bottom w:val="none" w:sz="0" w:space="0" w:color="auto"/>
            <w:right w:val="none" w:sz="0" w:space="0" w:color="auto"/>
          </w:divBdr>
        </w:div>
      </w:divsChild>
    </w:div>
    <w:div w:id="1390303352">
      <w:bodyDiv w:val="1"/>
      <w:marLeft w:val="0"/>
      <w:marRight w:val="0"/>
      <w:marTop w:val="0"/>
      <w:marBottom w:val="0"/>
      <w:divBdr>
        <w:top w:val="none" w:sz="0" w:space="0" w:color="auto"/>
        <w:left w:val="none" w:sz="0" w:space="0" w:color="auto"/>
        <w:bottom w:val="none" w:sz="0" w:space="0" w:color="auto"/>
        <w:right w:val="none" w:sz="0" w:space="0" w:color="auto"/>
      </w:divBdr>
    </w:div>
    <w:div w:id="1396856724">
      <w:bodyDiv w:val="1"/>
      <w:marLeft w:val="0"/>
      <w:marRight w:val="0"/>
      <w:marTop w:val="0"/>
      <w:marBottom w:val="0"/>
      <w:divBdr>
        <w:top w:val="none" w:sz="0" w:space="0" w:color="auto"/>
        <w:left w:val="none" w:sz="0" w:space="0" w:color="auto"/>
        <w:bottom w:val="none" w:sz="0" w:space="0" w:color="auto"/>
        <w:right w:val="none" w:sz="0" w:space="0" w:color="auto"/>
      </w:divBdr>
    </w:div>
    <w:div w:id="1409957956">
      <w:bodyDiv w:val="1"/>
      <w:marLeft w:val="0"/>
      <w:marRight w:val="0"/>
      <w:marTop w:val="0"/>
      <w:marBottom w:val="0"/>
      <w:divBdr>
        <w:top w:val="none" w:sz="0" w:space="0" w:color="auto"/>
        <w:left w:val="none" w:sz="0" w:space="0" w:color="auto"/>
        <w:bottom w:val="none" w:sz="0" w:space="0" w:color="auto"/>
        <w:right w:val="none" w:sz="0" w:space="0" w:color="auto"/>
      </w:divBdr>
    </w:div>
    <w:div w:id="1418090499">
      <w:bodyDiv w:val="1"/>
      <w:marLeft w:val="0"/>
      <w:marRight w:val="0"/>
      <w:marTop w:val="0"/>
      <w:marBottom w:val="0"/>
      <w:divBdr>
        <w:top w:val="none" w:sz="0" w:space="0" w:color="auto"/>
        <w:left w:val="none" w:sz="0" w:space="0" w:color="auto"/>
        <w:bottom w:val="none" w:sz="0" w:space="0" w:color="auto"/>
        <w:right w:val="none" w:sz="0" w:space="0" w:color="auto"/>
      </w:divBdr>
    </w:div>
    <w:div w:id="1428191879">
      <w:bodyDiv w:val="1"/>
      <w:marLeft w:val="0"/>
      <w:marRight w:val="0"/>
      <w:marTop w:val="0"/>
      <w:marBottom w:val="0"/>
      <w:divBdr>
        <w:top w:val="none" w:sz="0" w:space="0" w:color="auto"/>
        <w:left w:val="none" w:sz="0" w:space="0" w:color="auto"/>
        <w:bottom w:val="none" w:sz="0" w:space="0" w:color="auto"/>
        <w:right w:val="none" w:sz="0" w:space="0" w:color="auto"/>
      </w:divBdr>
    </w:div>
    <w:div w:id="1441103666">
      <w:bodyDiv w:val="1"/>
      <w:marLeft w:val="0"/>
      <w:marRight w:val="0"/>
      <w:marTop w:val="0"/>
      <w:marBottom w:val="0"/>
      <w:divBdr>
        <w:top w:val="none" w:sz="0" w:space="0" w:color="auto"/>
        <w:left w:val="none" w:sz="0" w:space="0" w:color="auto"/>
        <w:bottom w:val="none" w:sz="0" w:space="0" w:color="auto"/>
        <w:right w:val="none" w:sz="0" w:space="0" w:color="auto"/>
      </w:divBdr>
    </w:div>
    <w:div w:id="1444573802">
      <w:bodyDiv w:val="1"/>
      <w:marLeft w:val="0"/>
      <w:marRight w:val="0"/>
      <w:marTop w:val="0"/>
      <w:marBottom w:val="0"/>
      <w:divBdr>
        <w:top w:val="none" w:sz="0" w:space="0" w:color="auto"/>
        <w:left w:val="none" w:sz="0" w:space="0" w:color="auto"/>
        <w:bottom w:val="none" w:sz="0" w:space="0" w:color="auto"/>
        <w:right w:val="none" w:sz="0" w:space="0" w:color="auto"/>
      </w:divBdr>
    </w:div>
    <w:div w:id="1452090419">
      <w:bodyDiv w:val="1"/>
      <w:marLeft w:val="0"/>
      <w:marRight w:val="0"/>
      <w:marTop w:val="0"/>
      <w:marBottom w:val="0"/>
      <w:divBdr>
        <w:top w:val="none" w:sz="0" w:space="0" w:color="auto"/>
        <w:left w:val="none" w:sz="0" w:space="0" w:color="auto"/>
        <w:bottom w:val="none" w:sz="0" w:space="0" w:color="auto"/>
        <w:right w:val="none" w:sz="0" w:space="0" w:color="auto"/>
      </w:divBdr>
    </w:div>
    <w:div w:id="1503163521">
      <w:bodyDiv w:val="1"/>
      <w:marLeft w:val="0"/>
      <w:marRight w:val="0"/>
      <w:marTop w:val="0"/>
      <w:marBottom w:val="0"/>
      <w:divBdr>
        <w:top w:val="none" w:sz="0" w:space="0" w:color="auto"/>
        <w:left w:val="none" w:sz="0" w:space="0" w:color="auto"/>
        <w:bottom w:val="none" w:sz="0" w:space="0" w:color="auto"/>
        <w:right w:val="none" w:sz="0" w:space="0" w:color="auto"/>
      </w:divBdr>
    </w:div>
    <w:div w:id="1509448141">
      <w:bodyDiv w:val="1"/>
      <w:marLeft w:val="0"/>
      <w:marRight w:val="0"/>
      <w:marTop w:val="0"/>
      <w:marBottom w:val="0"/>
      <w:divBdr>
        <w:top w:val="none" w:sz="0" w:space="0" w:color="auto"/>
        <w:left w:val="none" w:sz="0" w:space="0" w:color="auto"/>
        <w:bottom w:val="none" w:sz="0" w:space="0" w:color="auto"/>
        <w:right w:val="none" w:sz="0" w:space="0" w:color="auto"/>
      </w:divBdr>
    </w:div>
    <w:div w:id="1537548276">
      <w:bodyDiv w:val="1"/>
      <w:marLeft w:val="0"/>
      <w:marRight w:val="0"/>
      <w:marTop w:val="0"/>
      <w:marBottom w:val="0"/>
      <w:divBdr>
        <w:top w:val="none" w:sz="0" w:space="0" w:color="auto"/>
        <w:left w:val="none" w:sz="0" w:space="0" w:color="auto"/>
        <w:bottom w:val="none" w:sz="0" w:space="0" w:color="auto"/>
        <w:right w:val="none" w:sz="0" w:space="0" w:color="auto"/>
      </w:divBdr>
    </w:div>
    <w:div w:id="1555891080">
      <w:bodyDiv w:val="1"/>
      <w:marLeft w:val="0"/>
      <w:marRight w:val="0"/>
      <w:marTop w:val="0"/>
      <w:marBottom w:val="0"/>
      <w:divBdr>
        <w:top w:val="none" w:sz="0" w:space="0" w:color="auto"/>
        <w:left w:val="none" w:sz="0" w:space="0" w:color="auto"/>
        <w:bottom w:val="none" w:sz="0" w:space="0" w:color="auto"/>
        <w:right w:val="none" w:sz="0" w:space="0" w:color="auto"/>
      </w:divBdr>
    </w:div>
    <w:div w:id="1595750527">
      <w:bodyDiv w:val="1"/>
      <w:marLeft w:val="0"/>
      <w:marRight w:val="0"/>
      <w:marTop w:val="0"/>
      <w:marBottom w:val="0"/>
      <w:divBdr>
        <w:top w:val="none" w:sz="0" w:space="0" w:color="auto"/>
        <w:left w:val="none" w:sz="0" w:space="0" w:color="auto"/>
        <w:bottom w:val="none" w:sz="0" w:space="0" w:color="auto"/>
        <w:right w:val="none" w:sz="0" w:space="0" w:color="auto"/>
      </w:divBdr>
    </w:div>
    <w:div w:id="1613511959">
      <w:bodyDiv w:val="1"/>
      <w:marLeft w:val="0"/>
      <w:marRight w:val="0"/>
      <w:marTop w:val="0"/>
      <w:marBottom w:val="0"/>
      <w:divBdr>
        <w:top w:val="none" w:sz="0" w:space="0" w:color="auto"/>
        <w:left w:val="none" w:sz="0" w:space="0" w:color="auto"/>
        <w:bottom w:val="none" w:sz="0" w:space="0" w:color="auto"/>
        <w:right w:val="none" w:sz="0" w:space="0" w:color="auto"/>
      </w:divBdr>
    </w:div>
    <w:div w:id="1613853029">
      <w:bodyDiv w:val="1"/>
      <w:marLeft w:val="0"/>
      <w:marRight w:val="0"/>
      <w:marTop w:val="0"/>
      <w:marBottom w:val="0"/>
      <w:divBdr>
        <w:top w:val="none" w:sz="0" w:space="0" w:color="auto"/>
        <w:left w:val="none" w:sz="0" w:space="0" w:color="auto"/>
        <w:bottom w:val="none" w:sz="0" w:space="0" w:color="auto"/>
        <w:right w:val="none" w:sz="0" w:space="0" w:color="auto"/>
      </w:divBdr>
    </w:div>
    <w:div w:id="1662125522">
      <w:bodyDiv w:val="1"/>
      <w:marLeft w:val="0"/>
      <w:marRight w:val="0"/>
      <w:marTop w:val="0"/>
      <w:marBottom w:val="0"/>
      <w:divBdr>
        <w:top w:val="none" w:sz="0" w:space="0" w:color="auto"/>
        <w:left w:val="none" w:sz="0" w:space="0" w:color="auto"/>
        <w:bottom w:val="none" w:sz="0" w:space="0" w:color="auto"/>
        <w:right w:val="none" w:sz="0" w:space="0" w:color="auto"/>
      </w:divBdr>
      <w:divsChild>
        <w:div w:id="198008711">
          <w:marLeft w:val="547"/>
          <w:marRight w:val="0"/>
          <w:marTop w:val="0"/>
          <w:marBottom w:val="0"/>
          <w:divBdr>
            <w:top w:val="none" w:sz="0" w:space="0" w:color="auto"/>
            <w:left w:val="none" w:sz="0" w:space="0" w:color="auto"/>
            <w:bottom w:val="none" w:sz="0" w:space="0" w:color="auto"/>
            <w:right w:val="none" w:sz="0" w:space="0" w:color="auto"/>
          </w:divBdr>
        </w:div>
      </w:divsChild>
    </w:div>
    <w:div w:id="1675648992">
      <w:bodyDiv w:val="1"/>
      <w:marLeft w:val="0"/>
      <w:marRight w:val="0"/>
      <w:marTop w:val="0"/>
      <w:marBottom w:val="0"/>
      <w:divBdr>
        <w:top w:val="none" w:sz="0" w:space="0" w:color="auto"/>
        <w:left w:val="none" w:sz="0" w:space="0" w:color="auto"/>
        <w:bottom w:val="none" w:sz="0" w:space="0" w:color="auto"/>
        <w:right w:val="none" w:sz="0" w:space="0" w:color="auto"/>
      </w:divBdr>
    </w:div>
    <w:div w:id="1679195068">
      <w:bodyDiv w:val="1"/>
      <w:marLeft w:val="0"/>
      <w:marRight w:val="0"/>
      <w:marTop w:val="0"/>
      <w:marBottom w:val="0"/>
      <w:divBdr>
        <w:top w:val="none" w:sz="0" w:space="0" w:color="auto"/>
        <w:left w:val="none" w:sz="0" w:space="0" w:color="auto"/>
        <w:bottom w:val="none" w:sz="0" w:space="0" w:color="auto"/>
        <w:right w:val="none" w:sz="0" w:space="0" w:color="auto"/>
      </w:divBdr>
      <w:divsChild>
        <w:div w:id="607393547">
          <w:marLeft w:val="1800"/>
          <w:marRight w:val="0"/>
          <w:marTop w:val="0"/>
          <w:marBottom w:val="0"/>
          <w:divBdr>
            <w:top w:val="none" w:sz="0" w:space="0" w:color="auto"/>
            <w:left w:val="none" w:sz="0" w:space="0" w:color="auto"/>
            <w:bottom w:val="none" w:sz="0" w:space="0" w:color="auto"/>
            <w:right w:val="none" w:sz="0" w:space="0" w:color="auto"/>
          </w:divBdr>
        </w:div>
        <w:div w:id="624969542">
          <w:marLeft w:val="1166"/>
          <w:marRight w:val="0"/>
          <w:marTop w:val="0"/>
          <w:marBottom w:val="0"/>
          <w:divBdr>
            <w:top w:val="none" w:sz="0" w:space="0" w:color="auto"/>
            <w:left w:val="none" w:sz="0" w:space="0" w:color="auto"/>
            <w:bottom w:val="none" w:sz="0" w:space="0" w:color="auto"/>
            <w:right w:val="none" w:sz="0" w:space="0" w:color="auto"/>
          </w:divBdr>
        </w:div>
        <w:div w:id="786658117">
          <w:marLeft w:val="1166"/>
          <w:marRight w:val="0"/>
          <w:marTop w:val="0"/>
          <w:marBottom w:val="0"/>
          <w:divBdr>
            <w:top w:val="none" w:sz="0" w:space="0" w:color="auto"/>
            <w:left w:val="none" w:sz="0" w:space="0" w:color="auto"/>
            <w:bottom w:val="none" w:sz="0" w:space="0" w:color="auto"/>
            <w:right w:val="none" w:sz="0" w:space="0" w:color="auto"/>
          </w:divBdr>
        </w:div>
        <w:div w:id="840854445">
          <w:marLeft w:val="1800"/>
          <w:marRight w:val="0"/>
          <w:marTop w:val="0"/>
          <w:marBottom w:val="0"/>
          <w:divBdr>
            <w:top w:val="none" w:sz="0" w:space="0" w:color="auto"/>
            <w:left w:val="none" w:sz="0" w:space="0" w:color="auto"/>
            <w:bottom w:val="none" w:sz="0" w:space="0" w:color="auto"/>
            <w:right w:val="none" w:sz="0" w:space="0" w:color="auto"/>
          </w:divBdr>
        </w:div>
        <w:div w:id="949241727">
          <w:marLeft w:val="547"/>
          <w:marRight w:val="0"/>
          <w:marTop w:val="0"/>
          <w:marBottom w:val="0"/>
          <w:divBdr>
            <w:top w:val="none" w:sz="0" w:space="0" w:color="auto"/>
            <w:left w:val="none" w:sz="0" w:space="0" w:color="auto"/>
            <w:bottom w:val="none" w:sz="0" w:space="0" w:color="auto"/>
            <w:right w:val="none" w:sz="0" w:space="0" w:color="auto"/>
          </w:divBdr>
        </w:div>
        <w:div w:id="1377389184">
          <w:marLeft w:val="1166"/>
          <w:marRight w:val="0"/>
          <w:marTop w:val="0"/>
          <w:marBottom w:val="0"/>
          <w:divBdr>
            <w:top w:val="none" w:sz="0" w:space="0" w:color="auto"/>
            <w:left w:val="none" w:sz="0" w:space="0" w:color="auto"/>
            <w:bottom w:val="none" w:sz="0" w:space="0" w:color="auto"/>
            <w:right w:val="none" w:sz="0" w:space="0" w:color="auto"/>
          </w:divBdr>
        </w:div>
        <w:div w:id="1736900690">
          <w:marLeft w:val="1800"/>
          <w:marRight w:val="0"/>
          <w:marTop w:val="0"/>
          <w:marBottom w:val="0"/>
          <w:divBdr>
            <w:top w:val="none" w:sz="0" w:space="0" w:color="auto"/>
            <w:left w:val="none" w:sz="0" w:space="0" w:color="auto"/>
            <w:bottom w:val="none" w:sz="0" w:space="0" w:color="auto"/>
            <w:right w:val="none" w:sz="0" w:space="0" w:color="auto"/>
          </w:divBdr>
        </w:div>
        <w:div w:id="1763649267">
          <w:marLeft w:val="1166"/>
          <w:marRight w:val="0"/>
          <w:marTop w:val="0"/>
          <w:marBottom w:val="0"/>
          <w:divBdr>
            <w:top w:val="none" w:sz="0" w:space="0" w:color="auto"/>
            <w:left w:val="none" w:sz="0" w:space="0" w:color="auto"/>
            <w:bottom w:val="none" w:sz="0" w:space="0" w:color="auto"/>
            <w:right w:val="none" w:sz="0" w:space="0" w:color="auto"/>
          </w:divBdr>
        </w:div>
        <w:div w:id="2022510666">
          <w:marLeft w:val="1800"/>
          <w:marRight w:val="0"/>
          <w:marTop w:val="0"/>
          <w:marBottom w:val="0"/>
          <w:divBdr>
            <w:top w:val="none" w:sz="0" w:space="0" w:color="auto"/>
            <w:left w:val="none" w:sz="0" w:space="0" w:color="auto"/>
            <w:bottom w:val="none" w:sz="0" w:space="0" w:color="auto"/>
            <w:right w:val="none" w:sz="0" w:space="0" w:color="auto"/>
          </w:divBdr>
        </w:div>
      </w:divsChild>
    </w:div>
    <w:div w:id="1707752397">
      <w:bodyDiv w:val="1"/>
      <w:marLeft w:val="0"/>
      <w:marRight w:val="0"/>
      <w:marTop w:val="0"/>
      <w:marBottom w:val="0"/>
      <w:divBdr>
        <w:top w:val="none" w:sz="0" w:space="0" w:color="auto"/>
        <w:left w:val="none" w:sz="0" w:space="0" w:color="auto"/>
        <w:bottom w:val="none" w:sz="0" w:space="0" w:color="auto"/>
        <w:right w:val="none" w:sz="0" w:space="0" w:color="auto"/>
      </w:divBdr>
      <w:divsChild>
        <w:div w:id="1804885675">
          <w:marLeft w:val="547"/>
          <w:marRight w:val="0"/>
          <w:marTop w:val="0"/>
          <w:marBottom w:val="0"/>
          <w:divBdr>
            <w:top w:val="none" w:sz="0" w:space="0" w:color="auto"/>
            <w:left w:val="none" w:sz="0" w:space="0" w:color="auto"/>
            <w:bottom w:val="none" w:sz="0" w:space="0" w:color="auto"/>
            <w:right w:val="none" w:sz="0" w:space="0" w:color="auto"/>
          </w:divBdr>
        </w:div>
      </w:divsChild>
    </w:div>
    <w:div w:id="1727071791">
      <w:bodyDiv w:val="1"/>
      <w:marLeft w:val="0"/>
      <w:marRight w:val="0"/>
      <w:marTop w:val="0"/>
      <w:marBottom w:val="0"/>
      <w:divBdr>
        <w:top w:val="none" w:sz="0" w:space="0" w:color="auto"/>
        <w:left w:val="none" w:sz="0" w:space="0" w:color="auto"/>
        <w:bottom w:val="none" w:sz="0" w:space="0" w:color="auto"/>
        <w:right w:val="none" w:sz="0" w:space="0" w:color="auto"/>
      </w:divBdr>
    </w:div>
    <w:div w:id="1738016460">
      <w:bodyDiv w:val="1"/>
      <w:marLeft w:val="0"/>
      <w:marRight w:val="0"/>
      <w:marTop w:val="0"/>
      <w:marBottom w:val="0"/>
      <w:divBdr>
        <w:top w:val="none" w:sz="0" w:space="0" w:color="auto"/>
        <w:left w:val="none" w:sz="0" w:space="0" w:color="auto"/>
        <w:bottom w:val="none" w:sz="0" w:space="0" w:color="auto"/>
        <w:right w:val="none" w:sz="0" w:space="0" w:color="auto"/>
      </w:divBdr>
    </w:div>
    <w:div w:id="1775243221">
      <w:bodyDiv w:val="1"/>
      <w:marLeft w:val="0"/>
      <w:marRight w:val="0"/>
      <w:marTop w:val="0"/>
      <w:marBottom w:val="0"/>
      <w:divBdr>
        <w:top w:val="none" w:sz="0" w:space="0" w:color="auto"/>
        <w:left w:val="none" w:sz="0" w:space="0" w:color="auto"/>
        <w:bottom w:val="none" w:sz="0" w:space="0" w:color="auto"/>
        <w:right w:val="none" w:sz="0" w:space="0" w:color="auto"/>
      </w:divBdr>
    </w:div>
    <w:div w:id="1801459247">
      <w:bodyDiv w:val="1"/>
      <w:marLeft w:val="0"/>
      <w:marRight w:val="0"/>
      <w:marTop w:val="0"/>
      <w:marBottom w:val="0"/>
      <w:divBdr>
        <w:top w:val="none" w:sz="0" w:space="0" w:color="auto"/>
        <w:left w:val="none" w:sz="0" w:space="0" w:color="auto"/>
        <w:bottom w:val="none" w:sz="0" w:space="0" w:color="auto"/>
        <w:right w:val="none" w:sz="0" w:space="0" w:color="auto"/>
      </w:divBdr>
      <w:divsChild>
        <w:div w:id="298149084">
          <w:marLeft w:val="547"/>
          <w:marRight w:val="0"/>
          <w:marTop w:val="0"/>
          <w:marBottom w:val="0"/>
          <w:divBdr>
            <w:top w:val="none" w:sz="0" w:space="0" w:color="auto"/>
            <w:left w:val="none" w:sz="0" w:space="0" w:color="auto"/>
            <w:bottom w:val="none" w:sz="0" w:space="0" w:color="auto"/>
            <w:right w:val="none" w:sz="0" w:space="0" w:color="auto"/>
          </w:divBdr>
        </w:div>
      </w:divsChild>
    </w:div>
    <w:div w:id="1820422290">
      <w:bodyDiv w:val="1"/>
      <w:marLeft w:val="0"/>
      <w:marRight w:val="0"/>
      <w:marTop w:val="0"/>
      <w:marBottom w:val="0"/>
      <w:divBdr>
        <w:top w:val="none" w:sz="0" w:space="0" w:color="auto"/>
        <w:left w:val="none" w:sz="0" w:space="0" w:color="auto"/>
        <w:bottom w:val="none" w:sz="0" w:space="0" w:color="auto"/>
        <w:right w:val="none" w:sz="0" w:space="0" w:color="auto"/>
      </w:divBdr>
    </w:div>
    <w:div w:id="1846701967">
      <w:bodyDiv w:val="1"/>
      <w:marLeft w:val="0"/>
      <w:marRight w:val="0"/>
      <w:marTop w:val="0"/>
      <w:marBottom w:val="0"/>
      <w:divBdr>
        <w:top w:val="none" w:sz="0" w:space="0" w:color="auto"/>
        <w:left w:val="none" w:sz="0" w:space="0" w:color="auto"/>
        <w:bottom w:val="none" w:sz="0" w:space="0" w:color="auto"/>
        <w:right w:val="none" w:sz="0" w:space="0" w:color="auto"/>
      </w:divBdr>
    </w:div>
    <w:div w:id="1857305672">
      <w:bodyDiv w:val="1"/>
      <w:marLeft w:val="0"/>
      <w:marRight w:val="0"/>
      <w:marTop w:val="0"/>
      <w:marBottom w:val="0"/>
      <w:divBdr>
        <w:top w:val="none" w:sz="0" w:space="0" w:color="auto"/>
        <w:left w:val="none" w:sz="0" w:space="0" w:color="auto"/>
        <w:bottom w:val="none" w:sz="0" w:space="0" w:color="auto"/>
        <w:right w:val="none" w:sz="0" w:space="0" w:color="auto"/>
      </w:divBdr>
      <w:divsChild>
        <w:div w:id="227225983">
          <w:marLeft w:val="547"/>
          <w:marRight w:val="0"/>
          <w:marTop w:val="0"/>
          <w:marBottom w:val="0"/>
          <w:divBdr>
            <w:top w:val="none" w:sz="0" w:space="0" w:color="auto"/>
            <w:left w:val="none" w:sz="0" w:space="0" w:color="auto"/>
            <w:bottom w:val="none" w:sz="0" w:space="0" w:color="auto"/>
            <w:right w:val="none" w:sz="0" w:space="0" w:color="auto"/>
          </w:divBdr>
        </w:div>
      </w:divsChild>
    </w:div>
    <w:div w:id="1875069728">
      <w:bodyDiv w:val="1"/>
      <w:marLeft w:val="0"/>
      <w:marRight w:val="0"/>
      <w:marTop w:val="0"/>
      <w:marBottom w:val="0"/>
      <w:divBdr>
        <w:top w:val="none" w:sz="0" w:space="0" w:color="auto"/>
        <w:left w:val="none" w:sz="0" w:space="0" w:color="auto"/>
        <w:bottom w:val="none" w:sz="0" w:space="0" w:color="auto"/>
        <w:right w:val="none" w:sz="0" w:space="0" w:color="auto"/>
      </w:divBdr>
      <w:divsChild>
        <w:div w:id="1638878386">
          <w:marLeft w:val="547"/>
          <w:marRight w:val="0"/>
          <w:marTop w:val="0"/>
          <w:marBottom w:val="0"/>
          <w:divBdr>
            <w:top w:val="none" w:sz="0" w:space="0" w:color="auto"/>
            <w:left w:val="none" w:sz="0" w:space="0" w:color="auto"/>
            <w:bottom w:val="none" w:sz="0" w:space="0" w:color="auto"/>
            <w:right w:val="none" w:sz="0" w:space="0" w:color="auto"/>
          </w:divBdr>
        </w:div>
      </w:divsChild>
    </w:div>
    <w:div w:id="1904287719">
      <w:bodyDiv w:val="1"/>
      <w:marLeft w:val="0"/>
      <w:marRight w:val="0"/>
      <w:marTop w:val="0"/>
      <w:marBottom w:val="0"/>
      <w:divBdr>
        <w:top w:val="none" w:sz="0" w:space="0" w:color="auto"/>
        <w:left w:val="none" w:sz="0" w:space="0" w:color="auto"/>
        <w:bottom w:val="none" w:sz="0" w:space="0" w:color="auto"/>
        <w:right w:val="none" w:sz="0" w:space="0" w:color="auto"/>
      </w:divBdr>
    </w:div>
    <w:div w:id="1949043753">
      <w:bodyDiv w:val="1"/>
      <w:marLeft w:val="0"/>
      <w:marRight w:val="0"/>
      <w:marTop w:val="0"/>
      <w:marBottom w:val="0"/>
      <w:divBdr>
        <w:top w:val="none" w:sz="0" w:space="0" w:color="auto"/>
        <w:left w:val="none" w:sz="0" w:space="0" w:color="auto"/>
        <w:bottom w:val="none" w:sz="0" w:space="0" w:color="auto"/>
        <w:right w:val="none" w:sz="0" w:space="0" w:color="auto"/>
      </w:divBdr>
    </w:div>
    <w:div w:id="1964114996">
      <w:bodyDiv w:val="1"/>
      <w:marLeft w:val="0"/>
      <w:marRight w:val="0"/>
      <w:marTop w:val="0"/>
      <w:marBottom w:val="0"/>
      <w:divBdr>
        <w:top w:val="none" w:sz="0" w:space="0" w:color="auto"/>
        <w:left w:val="none" w:sz="0" w:space="0" w:color="auto"/>
        <w:bottom w:val="none" w:sz="0" w:space="0" w:color="auto"/>
        <w:right w:val="none" w:sz="0" w:space="0" w:color="auto"/>
      </w:divBdr>
      <w:divsChild>
        <w:div w:id="439032360">
          <w:marLeft w:val="0"/>
          <w:marRight w:val="0"/>
          <w:marTop w:val="0"/>
          <w:marBottom w:val="0"/>
          <w:divBdr>
            <w:top w:val="none" w:sz="0" w:space="0" w:color="auto"/>
            <w:left w:val="none" w:sz="0" w:space="0" w:color="auto"/>
            <w:bottom w:val="none" w:sz="0" w:space="0" w:color="auto"/>
            <w:right w:val="none" w:sz="0" w:space="0" w:color="auto"/>
          </w:divBdr>
        </w:div>
      </w:divsChild>
    </w:div>
    <w:div w:id="1983925219">
      <w:bodyDiv w:val="1"/>
      <w:marLeft w:val="0"/>
      <w:marRight w:val="0"/>
      <w:marTop w:val="0"/>
      <w:marBottom w:val="0"/>
      <w:divBdr>
        <w:top w:val="none" w:sz="0" w:space="0" w:color="auto"/>
        <w:left w:val="none" w:sz="0" w:space="0" w:color="auto"/>
        <w:bottom w:val="none" w:sz="0" w:space="0" w:color="auto"/>
        <w:right w:val="none" w:sz="0" w:space="0" w:color="auto"/>
      </w:divBdr>
    </w:div>
    <w:div w:id="1984843457">
      <w:bodyDiv w:val="1"/>
      <w:marLeft w:val="0"/>
      <w:marRight w:val="0"/>
      <w:marTop w:val="0"/>
      <w:marBottom w:val="0"/>
      <w:divBdr>
        <w:top w:val="none" w:sz="0" w:space="0" w:color="auto"/>
        <w:left w:val="none" w:sz="0" w:space="0" w:color="auto"/>
        <w:bottom w:val="none" w:sz="0" w:space="0" w:color="auto"/>
        <w:right w:val="none" w:sz="0" w:space="0" w:color="auto"/>
      </w:divBdr>
      <w:divsChild>
        <w:div w:id="68430951">
          <w:marLeft w:val="547"/>
          <w:marRight w:val="0"/>
          <w:marTop w:val="0"/>
          <w:marBottom w:val="0"/>
          <w:divBdr>
            <w:top w:val="none" w:sz="0" w:space="0" w:color="auto"/>
            <w:left w:val="none" w:sz="0" w:space="0" w:color="auto"/>
            <w:bottom w:val="none" w:sz="0" w:space="0" w:color="auto"/>
            <w:right w:val="none" w:sz="0" w:space="0" w:color="auto"/>
          </w:divBdr>
        </w:div>
        <w:div w:id="382756645">
          <w:marLeft w:val="547"/>
          <w:marRight w:val="0"/>
          <w:marTop w:val="0"/>
          <w:marBottom w:val="0"/>
          <w:divBdr>
            <w:top w:val="none" w:sz="0" w:space="0" w:color="auto"/>
            <w:left w:val="none" w:sz="0" w:space="0" w:color="auto"/>
            <w:bottom w:val="none" w:sz="0" w:space="0" w:color="auto"/>
            <w:right w:val="none" w:sz="0" w:space="0" w:color="auto"/>
          </w:divBdr>
        </w:div>
        <w:div w:id="1385761664">
          <w:marLeft w:val="547"/>
          <w:marRight w:val="0"/>
          <w:marTop w:val="0"/>
          <w:marBottom w:val="0"/>
          <w:divBdr>
            <w:top w:val="none" w:sz="0" w:space="0" w:color="auto"/>
            <w:left w:val="none" w:sz="0" w:space="0" w:color="auto"/>
            <w:bottom w:val="none" w:sz="0" w:space="0" w:color="auto"/>
            <w:right w:val="none" w:sz="0" w:space="0" w:color="auto"/>
          </w:divBdr>
        </w:div>
      </w:divsChild>
    </w:div>
    <w:div w:id="1985503071">
      <w:bodyDiv w:val="1"/>
      <w:marLeft w:val="0"/>
      <w:marRight w:val="0"/>
      <w:marTop w:val="0"/>
      <w:marBottom w:val="0"/>
      <w:divBdr>
        <w:top w:val="none" w:sz="0" w:space="0" w:color="auto"/>
        <w:left w:val="none" w:sz="0" w:space="0" w:color="auto"/>
        <w:bottom w:val="none" w:sz="0" w:space="0" w:color="auto"/>
        <w:right w:val="none" w:sz="0" w:space="0" w:color="auto"/>
      </w:divBdr>
      <w:divsChild>
        <w:div w:id="1098139419">
          <w:marLeft w:val="360"/>
          <w:marRight w:val="0"/>
          <w:marTop w:val="200"/>
          <w:marBottom w:val="0"/>
          <w:divBdr>
            <w:top w:val="none" w:sz="0" w:space="0" w:color="auto"/>
            <w:left w:val="none" w:sz="0" w:space="0" w:color="auto"/>
            <w:bottom w:val="none" w:sz="0" w:space="0" w:color="auto"/>
            <w:right w:val="none" w:sz="0" w:space="0" w:color="auto"/>
          </w:divBdr>
        </w:div>
      </w:divsChild>
    </w:div>
    <w:div w:id="1997299213">
      <w:bodyDiv w:val="1"/>
      <w:marLeft w:val="0"/>
      <w:marRight w:val="0"/>
      <w:marTop w:val="0"/>
      <w:marBottom w:val="0"/>
      <w:divBdr>
        <w:top w:val="none" w:sz="0" w:space="0" w:color="auto"/>
        <w:left w:val="none" w:sz="0" w:space="0" w:color="auto"/>
        <w:bottom w:val="none" w:sz="0" w:space="0" w:color="auto"/>
        <w:right w:val="none" w:sz="0" w:space="0" w:color="auto"/>
      </w:divBdr>
      <w:divsChild>
        <w:div w:id="1861384117">
          <w:marLeft w:val="547"/>
          <w:marRight w:val="0"/>
          <w:marTop w:val="0"/>
          <w:marBottom w:val="0"/>
          <w:divBdr>
            <w:top w:val="none" w:sz="0" w:space="0" w:color="auto"/>
            <w:left w:val="none" w:sz="0" w:space="0" w:color="auto"/>
            <w:bottom w:val="none" w:sz="0" w:space="0" w:color="auto"/>
            <w:right w:val="none" w:sz="0" w:space="0" w:color="auto"/>
          </w:divBdr>
        </w:div>
      </w:divsChild>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48212575">
      <w:bodyDiv w:val="1"/>
      <w:marLeft w:val="0"/>
      <w:marRight w:val="0"/>
      <w:marTop w:val="0"/>
      <w:marBottom w:val="0"/>
      <w:divBdr>
        <w:top w:val="none" w:sz="0" w:space="0" w:color="auto"/>
        <w:left w:val="none" w:sz="0" w:space="0" w:color="auto"/>
        <w:bottom w:val="none" w:sz="0" w:space="0" w:color="auto"/>
        <w:right w:val="none" w:sz="0" w:space="0" w:color="auto"/>
      </w:divBdr>
      <w:divsChild>
        <w:div w:id="2135633583">
          <w:marLeft w:val="547"/>
          <w:marRight w:val="0"/>
          <w:marTop w:val="0"/>
          <w:marBottom w:val="0"/>
          <w:divBdr>
            <w:top w:val="none" w:sz="0" w:space="0" w:color="auto"/>
            <w:left w:val="none" w:sz="0" w:space="0" w:color="auto"/>
            <w:bottom w:val="none" w:sz="0" w:space="0" w:color="auto"/>
            <w:right w:val="none" w:sz="0" w:space="0" w:color="auto"/>
          </w:divBdr>
        </w:div>
      </w:divsChild>
    </w:div>
    <w:div w:id="2081751960">
      <w:bodyDiv w:val="1"/>
      <w:marLeft w:val="0"/>
      <w:marRight w:val="0"/>
      <w:marTop w:val="0"/>
      <w:marBottom w:val="0"/>
      <w:divBdr>
        <w:top w:val="none" w:sz="0" w:space="0" w:color="auto"/>
        <w:left w:val="none" w:sz="0" w:space="0" w:color="auto"/>
        <w:bottom w:val="none" w:sz="0" w:space="0" w:color="auto"/>
        <w:right w:val="none" w:sz="0" w:space="0" w:color="auto"/>
      </w:divBdr>
      <w:divsChild>
        <w:div w:id="452407749">
          <w:marLeft w:val="547"/>
          <w:marRight w:val="0"/>
          <w:marTop w:val="0"/>
          <w:marBottom w:val="0"/>
          <w:divBdr>
            <w:top w:val="none" w:sz="0" w:space="0" w:color="auto"/>
            <w:left w:val="none" w:sz="0" w:space="0" w:color="auto"/>
            <w:bottom w:val="none" w:sz="0" w:space="0" w:color="auto"/>
            <w:right w:val="none" w:sz="0" w:space="0" w:color="auto"/>
          </w:divBdr>
        </w:div>
      </w:divsChild>
    </w:div>
    <w:div w:id="2129545269">
      <w:bodyDiv w:val="1"/>
      <w:marLeft w:val="0"/>
      <w:marRight w:val="0"/>
      <w:marTop w:val="0"/>
      <w:marBottom w:val="0"/>
      <w:divBdr>
        <w:top w:val="none" w:sz="0" w:space="0" w:color="auto"/>
        <w:left w:val="none" w:sz="0" w:space="0" w:color="auto"/>
        <w:bottom w:val="none" w:sz="0" w:space="0" w:color="auto"/>
        <w:right w:val="none" w:sz="0" w:space="0" w:color="auto"/>
      </w:divBdr>
    </w:div>
    <w:div w:id="2129929528">
      <w:bodyDiv w:val="1"/>
      <w:marLeft w:val="0"/>
      <w:marRight w:val="0"/>
      <w:marTop w:val="0"/>
      <w:marBottom w:val="0"/>
      <w:divBdr>
        <w:top w:val="none" w:sz="0" w:space="0" w:color="auto"/>
        <w:left w:val="none" w:sz="0" w:space="0" w:color="auto"/>
        <w:bottom w:val="none" w:sz="0" w:space="0" w:color="auto"/>
        <w:right w:val="none" w:sz="0" w:space="0" w:color="auto"/>
      </w:divBdr>
      <w:divsChild>
        <w:div w:id="500045699">
          <w:marLeft w:val="547"/>
          <w:marRight w:val="0"/>
          <w:marTop w:val="0"/>
          <w:marBottom w:val="0"/>
          <w:divBdr>
            <w:top w:val="none" w:sz="0" w:space="0" w:color="auto"/>
            <w:left w:val="none" w:sz="0" w:space="0" w:color="auto"/>
            <w:bottom w:val="none" w:sz="0" w:space="0" w:color="auto"/>
            <w:right w:val="none" w:sz="0" w:space="0" w:color="auto"/>
          </w:divBdr>
        </w:div>
      </w:divsChild>
    </w:div>
    <w:div w:id="21331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2751cd-85a6-4d9f-a3da-9ea20e9e0a20">
      <Terms xmlns="http://schemas.microsoft.com/office/infopath/2007/PartnerControls"/>
    </lcf76f155ced4ddcb4097134ff3c332f>
    <TaxCatchAll xmlns="bbe900ca-133d-4e71-bf25-4fa3d6075698" xsi:nil="true"/>
    <SharedWithUsers xmlns="bbe900ca-133d-4e71-bf25-4fa3d607569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E537-9601-41FD-811A-2A64074E677B}">
  <ds:schemaRefs>
    <ds:schemaRef ds:uri="http://schemas.microsoft.com/sharepoint/v3/contenttype/forms"/>
  </ds:schemaRefs>
</ds:datastoreItem>
</file>

<file path=customXml/itemProps2.xml><?xml version="1.0" encoding="utf-8"?>
<ds:datastoreItem xmlns:ds="http://schemas.openxmlformats.org/officeDocument/2006/customXml" ds:itemID="{9A9A6424-41C2-4C48-9DED-8CD508C45B5E}">
  <ds:schemaRefs>
    <ds:schemaRef ds:uri="http://schemas.microsoft.com/office/2006/metadata/properties"/>
    <ds:schemaRef ds:uri="http://schemas.microsoft.com/office/infopath/2007/PartnerControls"/>
    <ds:schemaRef ds:uri="442751cd-85a6-4d9f-a3da-9ea20e9e0a20"/>
    <ds:schemaRef ds:uri="bbe900ca-133d-4e71-bf25-4fa3d6075698"/>
  </ds:schemaRefs>
</ds:datastoreItem>
</file>

<file path=customXml/itemProps3.xml><?xml version="1.0" encoding="utf-8"?>
<ds:datastoreItem xmlns:ds="http://schemas.openxmlformats.org/officeDocument/2006/customXml" ds:itemID="{59BA524E-C937-4724-AB0A-EAB079CF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FDC89-A59E-43F3-801A-68CDBCB2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9111</Words>
  <Characters>49029</Characters>
  <Application>Microsoft Office Word</Application>
  <DocSecurity>0</DocSecurity>
  <Lines>408</Lines>
  <Paragraphs>116</Paragraphs>
  <ScaleCrop>false</ScaleCrop>
  <HeadingPairs>
    <vt:vector size="2" baseType="variant">
      <vt:variant>
        <vt:lpstr>Título</vt:lpstr>
      </vt:variant>
      <vt:variant>
        <vt:i4>1</vt:i4>
      </vt:variant>
    </vt:vector>
  </HeadingPairs>
  <TitlesOfParts>
    <vt:vector size="1" baseType="lpstr">
      <vt:lpstr>3 espacios (Interlineado sencillo)</vt:lpstr>
    </vt:vector>
  </TitlesOfParts>
  <Company>CREG</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Eliana Rodriguez Fonseca</cp:lastModifiedBy>
  <cp:revision>2</cp:revision>
  <cp:lastPrinted>2021-03-18T20:44:00Z</cp:lastPrinted>
  <dcterms:created xsi:type="dcterms:W3CDTF">2023-10-17T16:01:00Z</dcterms:created>
  <dcterms:modified xsi:type="dcterms:W3CDTF">2023-10-17T16:01:00Z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0x010100F48C42CE87DF4F4FA9E3AB51A63EFD9C</vt:lpwstr>
  </property>
  <property fmtid="{D5CDD505-2E9C-101B-9397-08002B2CF9AE}" pid="3" name="StoredTranscription">
    <vt:lpwstr>{"storageType":"DocumentStorage","descriptor":{"transcription":{"transcriptSegments":[{"text":"La psdb.","language":"es","start":1.67,"end":3},{"text":"Mantienen los niveles de la versión anterior.","language":"es","start":4.529999999999999,"end":7.559999</vt:lpwstr>
  </property>
  <property fmtid="{D5CDD505-2E9C-101B-9397-08002B2CF9AE}" pid="4" name="MediaServiceImageTags">
    <vt:lpwstr/>
  </property>
  <property fmtid="{D5CDD505-2E9C-101B-9397-08002B2CF9AE}" pid="5" name="xd_ProgID">
    <vt:lpwstr/>
  </property>
  <property fmtid="{D5CDD505-2E9C-101B-9397-08002B2CF9AE}" pid="6" name="_ColorH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bool>false</vt:bool>
  </property>
  <property fmtid="{D5CDD505-2E9C-101B-9397-08002B2CF9AE}" pid="13" name="_Emoji">
    <vt:lpwstr/>
  </property>
</Properties>
</file>