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70A74" w14:textId="0B10DB3E" w:rsidR="00625DC6" w:rsidRPr="00E060BE" w:rsidRDefault="0052434A" w:rsidP="00A31337">
      <w:pPr>
        <w:pStyle w:val="Encabezado"/>
        <w:tabs>
          <w:tab w:val="clear" w:pos="8504"/>
          <w:tab w:val="left" w:pos="0"/>
          <w:tab w:val="right" w:pos="9356"/>
        </w:tabs>
        <w:ind w:left="0"/>
        <w:jc w:val="center"/>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48.55pt;width:38.35pt;height:39.05pt;z-index:251657728" fillcolor="#0c9">
            <v:imagedata r:id="rId10" o:title=""/>
          </v:shape>
          <o:OLEObject Type="Embed" ProgID="PBrush" ShapeID="_x0000_s1026" DrawAspect="Content" ObjectID="_1756480831" r:id="rId11"/>
        </w:object>
      </w: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10C2AE4C" w:rsidR="00A06511" w:rsidRPr="00E060BE" w:rsidRDefault="002F2469" w:rsidP="00A0651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DE </w:t>
      </w:r>
      <w:r w:rsidR="00A06511" w:rsidRPr="00E060BE">
        <w:rPr>
          <w:rFonts w:ascii="Bookman Old Style" w:hAnsi="Bookman Old Style"/>
          <w:sz w:val="24"/>
          <w:szCs w:val="24"/>
        </w:rPr>
        <w:t xml:space="preserve">RESOLUCIÓN No. </w:t>
      </w:r>
      <w:r w:rsidR="00A06511" w:rsidRPr="00D562A1">
        <w:rPr>
          <w:rFonts w:ascii="Bookman Old Style" w:hAnsi="Bookman Old Style"/>
          <w:sz w:val="32"/>
          <w:szCs w:val="32"/>
        </w:rPr>
        <w:fldChar w:fldCharType="begin"/>
      </w:r>
      <w:r w:rsidR="00A06511" w:rsidRPr="00D562A1">
        <w:rPr>
          <w:rFonts w:ascii="Bookman Old Style" w:hAnsi="Bookman Old Style"/>
          <w:sz w:val="32"/>
          <w:szCs w:val="32"/>
        </w:rPr>
        <w:instrText xml:space="preserve"> MERGEFIELD  NumeroResolucion  \* MERGEFORMAT </w:instrText>
      </w:r>
      <w:r w:rsidR="00A06511" w:rsidRPr="00D562A1">
        <w:rPr>
          <w:rFonts w:ascii="Bookman Old Style" w:hAnsi="Bookman Old Style"/>
          <w:sz w:val="32"/>
          <w:szCs w:val="32"/>
        </w:rPr>
        <w:fldChar w:fldCharType="separate"/>
      </w:r>
      <w:r w:rsidR="00A06511" w:rsidRPr="00D562A1">
        <w:rPr>
          <w:rFonts w:ascii="Bookman Old Style" w:hAnsi="Bookman Old Style"/>
          <w:sz w:val="32"/>
          <w:szCs w:val="32"/>
        </w:rPr>
        <w:t>701 022</w:t>
      </w:r>
      <w:r w:rsidR="00A06511" w:rsidRPr="00D562A1">
        <w:rPr>
          <w:rFonts w:ascii="Bookman Old Style" w:hAnsi="Bookman Old Style"/>
          <w:sz w:val="32"/>
          <w:szCs w:val="32"/>
        </w:rPr>
        <w:fldChar w:fldCharType="end"/>
      </w:r>
      <w:r w:rsidR="00A06511" w:rsidRPr="00E060BE">
        <w:rPr>
          <w:rFonts w:ascii="Bookman Old Style" w:hAnsi="Bookman Old Style"/>
          <w:sz w:val="24"/>
          <w:szCs w:val="24"/>
        </w:rPr>
        <w:t xml:space="preserve"> </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3DE7B558" w:rsidR="00CA77FB" w:rsidRPr="00D562A1" w:rsidRDefault="00D562A1" w:rsidP="00012259">
      <w:pPr>
        <w:pStyle w:val="Ttulo3"/>
        <w:tabs>
          <w:tab w:val="left" w:pos="0"/>
          <w:tab w:val="right" w:pos="9356"/>
        </w:tabs>
        <w:ind w:left="0"/>
        <w:rPr>
          <w:rFonts w:ascii="Bookman Old Style" w:hAnsi="Bookman Old Style"/>
          <w:szCs w:val="24"/>
        </w:rPr>
      </w:pPr>
      <w:r>
        <w:rPr>
          <w:rFonts w:ascii="Bookman Old Style" w:hAnsi="Bookman Old Style"/>
          <w:szCs w:val="24"/>
        </w:rPr>
        <w:t>(</w:t>
      </w:r>
      <w:r w:rsidRPr="00D562A1">
        <w:rPr>
          <w:rFonts w:ascii="Bookman Old Style" w:hAnsi="Bookman Old Style" w:cs="Arial"/>
          <w:spacing w:val="20"/>
          <w:szCs w:val="24"/>
        </w:rPr>
        <w:t>04 SEP. 2023</w:t>
      </w:r>
      <w:r w:rsidR="00CA77FB" w:rsidRPr="00D562A1">
        <w:rPr>
          <w:rFonts w:ascii="Bookman Old Style" w:hAnsi="Bookman Old Style" w:cs="Arial"/>
          <w:spacing w:val="20"/>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3D07C426" w14:textId="727B5868" w:rsidR="002F2469" w:rsidRDefault="002F2469" w:rsidP="002F2469">
      <w:pPr>
        <w:ind w:left="0" w:right="51"/>
        <w:jc w:val="both"/>
        <w:rPr>
          <w:rFonts w:ascii="Bookman Old Style" w:hAnsi="Bookman Old Style" w:cs="Arial"/>
        </w:rPr>
      </w:pPr>
      <w:r w:rsidRPr="00F22DD5">
        <w:rPr>
          <w:rFonts w:ascii="Bookman Old Style" w:hAnsi="Bookman Old Style" w:cs="Arial"/>
        </w:rPr>
        <w:t xml:space="preserve">La Comisión de Regulación de Energía y Gas, en su sesión </w:t>
      </w:r>
      <w:r w:rsidR="00071D8A" w:rsidRPr="00071D8A">
        <w:rPr>
          <w:rFonts w:ascii="Bookman Old Style" w:hAnsi="Bookman Old Style" w:cs="Arial"/>
        </w:rPr>
        <w:t>1285</w:t>
      </w:r>
      <w:r w:rsidRPr="00071D8A">
        <w:rPr>
          <w:rFonts w:ascii="Bookman Old Style" w:hAnsi="Bookman Old Style" w:cs="Arial"/>
        </w:rPr>
        <w:t xml:space="preserve"> del </w:t>
      </w:r>
      <w:r w:rsidR="00D562A1">
        <w:rPr>
          <w:rFonts w:ascii="Bookman Old Style" w:hAnsi="Bookman Old Style" w:cs="Arial"/>
        </w:rPr>
        <w:t>0</w:t>
      </w:r>
      <w:r w:rsidR="006C5AA3" w:rsidRPr="00071D8A">
        <w:rPr>
          <w:rFonts w:ascii="Bookman Old Style" w:hAnsi="Bookman Old Style" w:cs="Arial"/>
        </w:rPr>
        <w:t>4</w:t>
      </w:r>
      <w:r w:rsidRPr="00071D8A">
        <w:rPr>
          <w:rFonts w:ascii="Bookman Old Style" w:hAnsi="Bookman Old Style" w:cs="Arial"/>
        </w:rPr>
        <w:t xml:space="preserve"> de </w:t>
      </w:r>
      <w:r w:rsidR="006C5AA3" w:rsidRPr="00071D8A">
        <w:rPr>
          <w:rFonts w:ascii="Bookman Old Style" w:hAnsi="Bookman Old Style" w:cs="Arial"/>
        </w:rPr>
        <w:t>septiembre</w:t>
      </w:r>
      <w:r w:rsidRPr="00071D8A">
        <w:rPr>
          <w:rFonts w:ascii="Bookman Old Style" w:hAnsi="Bookman Old Style" w:cs="Arial"/>
        </w:rPr>
        <w:t xml:space="preserve"> de 2023, conforme a lo dispuesto en el artículo 33 d</w:t>
      </w:r>
      <w:r w:rsidRPr="00F22DD5">
        <w:rPr>
          <w:rFonts w:ascii="Bookman Old Style" w:hAnsi="Bookman Old Style" w:cs="Arial"/>
        </w:rPr>
        <w:t xml:space="preserve">e la Resolución CREG 039 de 2017, aprobó someter a consulta pública el presente proyecto de resolución por el término de </w:t>
      </w:r>
      <w:r w:rsidR="00071D8A" w:rsidRPr="00071D8A">
        <w:rPr>
          <w:rFonts w:ascii="Bookman Old Style" w:hAnsi="Bookman Old Style" w:cs="Arial"/>
        </w:rPr>
        <w:t>diez</w:t>
      </w:r>
      <w:r w:rsidRPr="00071D8A">
        <w:rPr>
          <w:rFonts w:ascii="Bookman Old Style" w:hAnsi="Bookman Old Style" w:cs="Arial"/>
        </w:rPr>
        <w:t xml:space="preserve"> (</w:t>
      </w:r>
      <w:r w:rsidR="00071D8A" w:rsidRPr="00071D8A">
        <w:rPr>
          <w:rFonts w:ascii="Bookman Old Style" w:hAnsi="Bookman Old Style" w:cs="Arial"/>
        </w:rPr>
        <w:t>10</w:t>
      </w:r>
      <w:r w:rsidRPr="00071D8A">
        <w:rPr>
          <w:rFonts w:ascii="Bookman Old Style" w:hAnsi="Bookman Old Style" w:cs="Arial"/>
        </w:rPr>
        <w:t>) días hábiles</w:t>
      </w:r>
      <w:r w:rsidRPr="00F22DD5">
        <w:rPr>
          <w:rFonts w:ascii="Bookman Old Style" w:hAnsi="Bookman Old Style" w:cs="Arial"/>
        </w:rPr>
        <w:t>, contados a partir del día siguiente a su publicación en el portal web de la CREG.</w:t>
      </w:r>
    </w:p>
    <w:p w14:paraId="6DFCBFF1" w14:textId="77777777" w:rsidR="002F2469" w:rsidRDefault="002F2469" w:rsidP="002F2469">
      <w:pPr>
        <w:ind w:left="0" w:right="51"/>
        <w:jc w:val="both"/>
        <w:rPr>
          <w:rFonts w:ascii="Bookman Old Style" w:hAnsi="Bookman Old Style" w:cs="Arial"/>
        </w:rPr>
      </w:pPr>
    </w:p>
    <w:p w14:paraId="145C6E19" w14:textId="5BAE6D57" w:rsidR="002F2469" w:rsidRDefault="002F2469" w:rsidP="002F2469">
      <w:pPr>
        <w:ind w:left="0" w:right="51"/>
        <w:jc w:val="both"/>
        <w:rPr>
          <w:rFonts w:ascii="Bookman Old Style" w:hAnsi="Bookman Old Style" w:cs="Arial"/>
        </w:rPr>
      </w:pPr>
      <w:r w:rsidRPr="00F22DD5">
        <w:rPr>
          <w:rFonts w:ascii="Bookman Old Style" w:hAnsi="Bookman Old Style" w:cs="Arial"/>
        </w:rPr>
        <w:t>Se invita a las empresas, los usuarios, las autoridades y demás partes interesadas a presentar sus observaciones y sugerencias dentro del plazo establecido, mediante comunicaciones electrónicas dirigidas a</w:t>
      </w:r>
      <w:r>
        <w:rPr>
          <w:rFonts w:ascii="Bookman Old Style" w:hAnsi="Bookman Old Style" w:cs="Arial"/>
        </w:rPr>
        <w:t xml:space="preserve"> la</w:t>
      </w:r>
      <w:r w:rsidRPr="00F22DD5">
        <w:rPr>
          <w:rFonts w:ascii="Bookman Old Style" w:hAnsi="Bookman Old Style" w:cs="Arial"/>
        </w:rPr>
        <w:t xml:space="preserve"> Direc</w:t>
      </w:r>
      <w:r>
        <w:rPr>
          <w:rFonts w:ascii="Bookman Old Style" w:hAnsi="Bookman Old Style" w:cs="Arial"/>
        </w:rPr>
        <w:t>ción</w:t>
      </w:r>
      <w:r w:rsidRPr="00F22DD5">
        <w:rPr>
          <w:rFonts w:ascii="Bookman Old Style" w:hAnsi="Bookman Old Style" w:cs="Arial"/>
        </w:rPr>
        <w:t xml:space="preserve"> Ejecutiv</w:t>
      </w:r>
      <w:r>
        <w:rPr>
          <w:rFonts w:ascii="Bookman Old Style" w:hAnsi="Bookman Old Style" w:cs="Arial"/>
        </w:rPr>
        <w:t>a</w:t>
      </w:r>
      <w:r w:rsidRPr="00F22DD5">
        <w:rPr>
          <w:rFonts w:ascii="Bookman Old Style" w:hAnsi="Bookman Old Style" w:cs="Arial"/>
        </w:rPr>
        <w:t xml:space="preserve"> de la CREG, a la cuenta </w:t>
      </w:r>
      <w:hyperlink r:id="rId12" w:history="1">
        <w:r w:rsidRPr="00B72ABE">
          <w:rPr>
            <w:rStyle w:val="Hipervnculo"/>
            <w:rFonts w:ascii="Bookman Old Style" w:hAnsi="Bookman Old Style" w:cs="Arial"/>
          </w:rPr>
          <w:t>creg@creg.gov.co</w:t>
        </w:r>
      </w:hyperlink>
    </w:p>
    <w:p w14:paraId="38F87E23" w14:textId="77777777" w:rsidR="002F2469" w:rsidRDefault="002F2469" w:rsidP="002F2469">
      <w:pPr>
        <w:ind w:left="0" w:right="51"/>
        <w:jc w:val="both"/>
        <w:rPr>
          <w:rFonts w:ascii="Bookman Old Style" w:hAnsi="Bookman Old Style" w:cs="Arial"/>
        </w:rPr>
      </w:pPr>
    </w:p>
    <w:p w14:paraId="300BE260" w14:textId="39EFC2A2" w:rsidR="002F2469" w:rsidRDefault="002F2469" w:rsidP="002F2469">
      <w:pPr>
        <w:ind w:left="0" w:right="51"/>
        <w:jc w:val="both"/>
        <w:rPr>
          <w:rFonts w:ascii="Bookman Old Style" w:hAnsi="Bookman Old Style" w:cs="Arial"/>
        </w:rPr>
      </w:pPr>
      <w:r w:rsidRPr="00F22DD5">
        <w:rPr>
          <w:rFonts w:ascii="Bookman Old Style" w:hAnsi="Bookman Old Style" w:cs="Arial"/>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008D4C48">
        <w:rPr>
          <w:rFonts w:ascii="Bookman Old Style" w:hAnsi="Bookman Old Style" w:cs="Arial"/>
        </w:rPr>
        <w:t>a</w:t>
      </w:r>
      <w:r w:rsidRPr="00F22DD5">
        <w:rPr>
          <w:rFonts w:ascii="Bookman Old Style" w:hAnsi="Bookman Old Style" w:cs="Arial"/>
        </w:rPr>
        <w:t>rtículo 2.2.2.30.5.</w:t>
      </w:r>
    </w:p>
    <w:p w14:paraId="1213C957" w14:textId="77777777" w:rsidR="002F2469" w:rsidRPr="00A31337" w:rsidRDefault="002F2469" w:rsidP="00A31337">
      <w:pPr>
        <w:ind w:left="0" w:right="51"/>
        <w:jc w:val="both"/>
        <w:rPr>
          <w:rFonts w:ascii="Bookman Old Style" w:hAnsi="Bookman Old Style" w:cs="Arial"/>
        </w:rPr>
      </w:pPr>
    </w:p>
    <w:p w14:paraId="1C1FC3CF" w14:textId="77777777" w:rsidR="002F2469" w:rsidRPr="00A31337" w:rsidRDefault="002F2469" w:rsidP="00A31337">
      <w:pPr>
        <w:ind w:left="0" w:right="51"/>
        <w:jc w:val="both"/>
        <w:rPr>
          <w:rFonts w:ascii="Bookman Old Style" w:hAnsi="Bookman Old Style" w:cs="Arial"/>
        </w:rPr>
      </w:pPr>
    </w:p>
    <w:p w14:paraId="15A71B8E" w14:textId="09A78E54" w:rsidR="00B351B4" w:rsidRPr="002F2469" w:rsidRDefault="002F2469" w:rsidP="00E46E1C">
      <w:pPr>
        <w:ind w:left="0" w:right="51"/>
        <w:jc w:val="center"/>
        <w:rPr>
          <w:rFonts w:ascii="Bookman Old Style" w:hAnsi="Bookman Old Style"/>
          <w:b/>
        </w:rPr>
      </w:pPr>
      <w:r w:rsidRPr="002F2469">
        <w:rPr>
          <w:rFonts w:ascii="Bookman Old Style" w:hAnsi="Bookman Old Style"/>
          <w:b/>
        </w:rPr>
        <w:t>PROYECTO DE RESOLUCIÓN</w:t>
      </w:r>
    </w:p>
    <w:p w14:paraId="15E99E9F" w14:textId="77777777" w:rsidR="00E46E1C" w:rsidRDefault="00E46E1C" w:rsidP="00A31337">
      <w:pPr>
        <w:ind w:left="0"/>
        <w:jc w:val="center"/>
        <w:rPr>
          <w:rFonts w:ascii="Bookman Old Style" w:hAnsi="Bookman Old Style"/>
        </w:rPr>
      </w:pPr>
    </w:p>
    <w:p w14:paraId="053FCB54" w14:textId="381B0548" w:rsidR="00045D3D" w:rsidRDefault="00E46E1C" w:rsidP="00A31337">
      <w:pPr>
        <w:ind w:left="0" w:right="51"/>
        <w:jc w:val="center"/>
        <w:rPr>
          <w:rFonts w:ascii="Bookman Old Style" w:hAnsi="Bookman Old Style"/>
        </w:rPr>
      </w:pPr>
      <w:r w:rsidRPr="00E46E1C">
        <w:rPr>
          <w:rFonts w:ascii="Bookman Old Style" w:hAnsi="Bookman Old Style"/>
        </w:rPr>
        <w:t xml:space="preserve">Por la cual se crean nuevas actividades </w:t>
      </w:r>
      <w:r w:rsidR="000D5422">
        <w:rPr>
          <w:rFonts w:ascii="Bookman Old Style" w:hAnsi="Bookman Old Style"/>
        </w:rPr>
        <w:t>para</w:t>
      </w:r>
      <w:r w:rsidRPr="00E46E1C">
        <w:rPr>
          <w:rFonts w:ascii="Bookman Old Style" w:hAnsi="Bookman Old Style"/>
        </w:rPr>
        <w:t xml:space="preserve"> la prestación </w:t>
      </w:r>
      <w:r w:rsidR="00A31337">
        <w:rPr>
          <w:rFonts w:ascii="Bookman Old Style" w:hAnsi="Bookman Old Style"/>
        </w:rPr>
        <w:br/>
      </w:r>
      <w:r w:rsidRPr="00E46E1C">
        <w:rPr>
          <w:rFonts w:ascii="Bookman Old Style" w:hAnsi="Bookman Old Style"/>
        </w:rPr>
        <w:t>del servicio público domiciliario de energía eléctrica</w:t>
      </w:r>
    </w:p>
    <w:p w14:paraId="1F18D02D" w14:textId="77777777" w:rsidR="00E46E1C" w:rsidRDefault="00E46E1C" w:rsidP="00A31337">
      <w:pPr>
        <w:ind w:left="0" w:right="51"/>
        <w:rPr>
          <w:rFonts w:ascii="Bookman Old Style" w:hAnsi="Bookman Old Style"/>
        </w:rPr>
      </w:pPr>
    </w:p>
    <w:p w14:paraId="316F4DB0" w14:textId="77777777" w:rsidR="00E46E1C" w:rsidRPr="00C435C3" w:rsidRDefault="00E46E1C" w:rsidP="00A31337">
      <w:pPr>
        <w:ind w:left="0" w:right="51"/>
        <w:rPr>
          <w:rFonts w:ascii="Bookman Old Style" w:hAnsi="Bookman Old Style"/>
        </w:rPr>
      </w:pPr>
    </w:p>
    <w:p w14:paraId="7B67FAFA" w14:textId="77777777" w:rsidR="00045D3D" w:rsidRPr="00C435C3" w:rsidRDefault="00045D3D" w:rsidP="00A31337">
      <w:pPr>
        <w:ind w:left="0"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456D4DD9" w:rsidR="00045D3D" w:rsidRPr="00C435C3" w:rsidRDefault="00045D3D" w:rsidP="0077451B">
      <w:pPr>
        <w:pStyle w:val="Textoindependiente3"/>
        <w:ind w:right="567"/>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r w:rsidR="00562212">
        <w:rPr>
          <w:rFonts w:ascii="Bookman Old Style" w:hAnsi="Bookman Old Style"/>
          <w:b w:val="0"/>
        </w:rPr>
        <w:t xml:space="preserve"> </w:t>
      </w:r>
      <w:r w:rsidR="00562212" w:rsidRPr="00562212">
        <w:rPr>
          <w:rFonts w:ascii="Bookman Old Style" w:hAnsi="Bookman Old Style"/>
          <w:b w:val="0"/>
        </w:rPr>
        <w:t>y 1260 de 2013</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2D55B956" w:rsidR="00045D3D" w:rsidRPr="00C435C3" w:rsidRDefault="00045D3D" w:rsidP="00E46E1C">
      <w:pPr>
        <w:ind w:left="0"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E46E1C">
        <w:rPr>
          <w:rFonts w:ascii="Bookman Old Style" w:hAnsi="Bookman Old Style"/>
          <w:b/>
        </w:rPr>
        <w:t xml:space="preserve">  </w:t>
      </w:r>
      <w:r w:rsidR="007B5A60">
        <w:rPr>
          <w:rFonts w:ascii="Bookman Old Style" w:hAnsi="Bookman Old Style"/>
          <w:b/>
        </w:rPr>
        <w:t xml:space="preserve"> Q</w:t>
      </w:r>
      <w:r>
        <w:rPr>
          <w:rFonts w:ascii="Bookman Old Style" w:hAnsi="Bookman Old Style"/>
          <w:b/>
        </w:rPr>
        <w:t xml:space="preserve"> U </w:t>
      </w:r>
      <w:proofErr w:type="gramStart"/>
      <w:r>
        <w:rPr>
          <w:rFonts w:ascii="Bookman Old Style" w:hAnsi="Bookman Old Style"/>
          <w:b/>
        </w:rPr>
        <w:t>E</w:t>
      </w:r>
      <w:r w:rsidR="00F564DB">
        <w:rPr>
          <w:rFonts w:ascii="Bookman Old Style" w:hAnsi="Bookman Old Style"/>
          <w:b/>
        </w:rPr>
        <w:t xml:space="preserve"> </w:t>
      </w:r>
      <w:r w:rsidRPr="00C435C3">
        <w:rPr>
          <w:rFonts w:ascii="Bookman Old Style" w:hAnsi="Bookman Old Style"/>
          <w:b/>
        </w:rPr>
        <w:t>:</w:t>
      </w:r>
      <w:proofErr w:type="gramEnd"/>
    </w:p>
    <w:p w14:paraId="2378A86C" w14:textId="77777777" w:rsidR="00045D3D" w:rsidRPr="00C435C3" w:rsidRDefault="00045D3D" w:rsidP="00045D3D">
      <w:pPr>
        <w:ind w:right="51"/>
        <w:jc w:val="center"/>
        <w:rPr>
          <w:rFonts w:ascii="Bookman Old Style" w:hAnsi="Bookman Old Style"/>
          <w:b/>
        </w:rPr>
      </w:pPr>
    </w:p>
    <w:p w14:paraId="41E46095" w14:textId="77777777"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715A02F3" w14:textId="77777777" w:rsidR="00E46E1C" w:rsidRPr="002656B5" w:rsidRDefault="00E46E1C" w:rsidP="00E46E1C">
      <w:pPr>
        <w:ind w:left="0" w:right="51"/>
        <w:jc w:val="both"/>
        <w:rPr>
          <w:rFonts w:ascii="Bookman Old Style" w:hAnsi="Bookman Old Style" w:cs="Arial"/>
        </w:rPr>
      </w:pPr>
    </w:p>
    <w:p w14:paraId="253027C7" w14:textId="77777777"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lastRenderedPageBreak/>
        <w:t>El artículo 365 de la misma Carta Política establece que los servicios públicos son inherentes a la finalidad social del Estado y es deber de este asegurar su prestación eficiente a todos los habitantes del territorio nacional.</w:t>
      </w:r>
    </w:p>
    <w:p w14:paraId="4372CEBD" w14:textId="77777777" w:rsidR="00E46E1C" w:rsidRPr="002656B5" w:rsidRDefault="00E46E1C" w:rsidP="00E46E1C">
      <w:pPr>
        <w:ind w:left="0" w:right="51"/>
        <w:jc w:val="both"/>
        <w:rPr>
          <w:rFonts w:ascii="Bookman Old Style" w:hAnsi="Bookman Old Style" w:cs="Arial"/>
        </w:rPr>
      </w:pPr>
      <w:bookmarkStart w:id="0" w:name="_GoBack"/>
      <w:bookmarkEnd w:id="0"/>
    </w:p>
    <w:p w14:paraId="26721383" w14:textId="1DA757C8"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Atendiendo</w:t>
      </w:r>
      <w:r w:rsidR="008D4C48">
        <w:rPr>
          <w:rFonts w:ascii="Bookman Old Style" w:hAnsi="Bookman Old Style" w:cs="Arial"/>
        </w:rPr>
        <w:t xml:space="preserve"> a</w:t>
      </w:r>
      <w:r w:rsidRPr="002656B5">
        <w:rPr>
          <w:rFonts w:ascii="Bookman Old Style" w:hAnsi="Bookman Old Style" w:cs="Arial"/>
        </w:rPr>
        <w:t xml:space="preserve"> lo dispuesto en el artículo </w:t>
      </w:r>
      <w:r w:rsidR="008D4C48">
        <w:rPr>
          <w:rFonts w:ascii="Bookman Old Style" w:hAnsi="Bookman Old Style" w:cs="Arial"/>
        </w:rPr>
        <w:t>2</w:t>
      </w:r>
      <w:r w:rsidRPr="002656B5">
        <w:rPr>
          <w:rFonts w:ascii="Bookman Old Style" w:hAnsi="Bookman Old Style" w:cs="Arial"/>
        </w:rPr>
        <w:t xml:space="preserve">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01633CD2" w14:textId="77777777" w:rsidR="00E46E1C" w:rsidRPr="002656B5" w:rsidRDefault="00E46E1C" w:rsidP="00E46E1C">
      <w:pPr>
        <w:ind w:left="0" w:right="51"/>
        <w:jc w:val="both"/>
        <w:rPr>
          <w:rFonts w:ascii="Bookman Old Style" w:hAnsi="Bookman Old Style" w:cs="Arial"/>
        </w:rPr>
      </w:pPr>
    </w:p>
    <w:p w14:paraId="5720E88E" w14:textId="41744E12"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 xml:space="preserve">La Ley 142 de 1994, en su artículo 35, establece que las empresas de servicios públicos que tengan posición dominante en un </w:t>
      </w:r>
      <w:r w:rsidR="008D4C48" w:rsidRPr="002656B5">
        <w:rPr>
          <w:rFonts w:ascii="Bookman Old Style" w:hAnsi="Bookman Old Style" w:cs="Arial"/>
        </w:rPr>
        <w:t>mercado</w:t>
      </w:r>
      <w:r w:rsidR="008D4C48">
        <w:rPr>
          <w:rFonts w:ascii="Bookman Old Style" w:hAnsi="Bookman Old Style" w:cs="Arial"/>
        </w:rPr>
        <w:t xml:space="preserve"> </w:t>
      </w:r>
      <w:r w:rsidR="008D4C48" w:rsidRPr="0062367A">
        <w:rPr>
          <w:rFonts w:ascii="Bookman Old Style" w:hAnsi="Bookman Old Style" w:cs="Arial"/>
        </w:rPr>
        <w:t>y cuya principal actividad sea la distribución de bienes o servicios provistos por terceros</w:t>
      </w:r>
      <w:r w:rsidR="008D4C48">
        <w:rPr>
          <w:rFonts w:ascii="Bookman Old Style" w:hAnsi="Bookman Old Style" w:cs="Arial"/>
        </w:rPr>
        <w:t>,</w:t>
      </w:r>
      <w:r w:rsidR="008D4C48" w:rsidRPr="002656B5">
        <w:rPr>
          <w:rFonts w:ascii="Bookman Old Style" w:hAnsi="Bookman Old Style" w:cs="Arial"/>
        </w:rPr>
        <w:t xml:space="preserve"> </w:t>
      </w:r>
      <w:r w:rsidRPr="002656B5">
        <w:rPr>
          <w:rFonts w:ascii="Bookman Old Style" w:hAnsi="Bookman Old Style" w:cs="Arial"/>
        </w:rPr>
        <w:t>tienen que adquirir el bien o servicio que distribuyan por medio de procedimientos que aseguren posibilidad de concurrencia a los eventuales contratistas en igualdad de condiciones.</w:t>
      </w:r>
    </w:p>
    <w:p w14:paraId="24866622" w14:textId="77777777" w:rsidR="00E46E1C" w:rsidRPr="002656B5" w:rsidRDefault="00E46E1C" w:rsidP="00E46E1C">
      <w:pPr>
        <w:ind w:left="0" w:right="51"/>
        <w:jc w:val="both"/>
        <w:rPr>
          <w:rFonts w:ascii="Bookman Old Style" w:hAnsi="Bookman Old Style" w:cs="Arial"/>
        </w:rPr>
      </w:pPr>
    </w:p>
    <w:p w14:paraId="5308DD6C" w14:textId="77777777"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1623657C" w14:textId="77777777" w:rsidR="00E46E1C" w:rsidRPr="002656B5" w:rsidRDefault="00E46E1C" w:rsidP="00E46E1C">
      <w:pPr>
        <w:ind w:left="0" w:right="51"/>
        <w:jc w:val="both"/>
        <w:rPr>
          <w:rFonts w:ascii="Bookman Old Style" w:hAnsi="Bookman Old Style" w:cs="Arial"/>
        </w:rPr>
      </w:pPr>
    </w:p>
    <w:p w14:paraId="66F8F314" w14:textId="77777777"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En el artículo 74.1, literal a) de la Ley 142 de 1994 se define que la regulación de las actividades de los sectores de energía y gas combustible debe propiciar la competencia en el sector de minas y energía, proponer la adopción de las medidas necesarias para impedir abusos de posición dominante y buscar la liberación gradual de los mercados hacia la libre competencia. Así mismo, determina que la Comisión de Regulación de Energía y Gas (CREG) podrá adoptar reglas de comportamiento diferencial, según la posición de las empresas en el mercado.</w:t>
      </w:r>
    </w:p>
    <w:p w14:paraId="77922678" w14:textId="77777777" w:rsidR="00E46E1C" w:rsidRDefault="00E46E1C" w:rsidP="00E46E1C">
      <w:pPr>
        <w:ind w:left="0" w:right="51"/>
        <w:jc w:val="both"/>
        <w:rPr>
          <w:rFonts w:ascii="Bookman Old Style" w:hAnsi="Bookman Old Style" w:cs="Arial"/>
        </w:rPr>
      </w:pPr>
    </w:p>
    <w:p w14:paraId="796F95A5" w14:textId="545BDFF7" w:rsidR="008D4C48" w:rsidRDefault="008D4C48" w:rsidP="008D4C48">
      <w:pPr>
        <w:ind w:left="0" w:right="51"/>
        <w:jc w:val="both"/>
        <w:rPr>
          <w:rFonts w:ascii="Bookman Old Style" w:hAnsi="Bookman Old Style" w:cs="Arial"/>
        </w:rPr>
      </w:pPr>
      <w:r>
        <w:rPr>
          <w:rFonts w:ascii="Bookman Old Style" w:hAnsi="Bookman Old Style" w:cs="Arial"/>
        </w:rPr>
        <w:t xml:space="preserve">La Ley 142 de 1994, en su artículo 14 dispuso que el </w:t>
      </w:r>
      <w:r w:rsidRPr="00911F4D">
        <w:rPr>
          <w:rFonts w:ascii="Bookman Old Style" w:hAnsi="Bookman Old Style" w:cs="Arial"/>
        </w:rPr>
        <w:t>servicio público domiciliario de energía eléctrica es el transporte de energía eléctrica desde las redes regionales de transmisión hasta el domicilio del usuario final, incluida su conexión y medición, y señaló que la generación y comercialización, ser</w:t>
      </w:r>
      <w:r>
        <w:rPr>
          <w:rFonts w:ascii="Bookman Old Style" w:hAnsi="Bookman Old Style" w:cs="Arial"/>
        </w:rPr>
        <w:t>í</w:t>
      </w:r>
      <w:r w:rsidRPr="00911F4D">
        <w:rPr>
          <w:rFonts w:ascii="Bookman Old Style" w:hAnsi="Bookman Old Style" w:cs="Arial"/>
        </w:rPr>
        <w:t xml:space="preserve">an actividades complementarias. </w:t>
      </w:r>
    </w:p>
    <w:p w14:paraId="48CCD8F8" w14:textId="77777777" w:rsidR="008D4C48" w:rsidRDefault="008D4C48" w:rsidP="008D4C48">
      <w:pPr>
        <w:ind w:left="0" w:right="51"/>
        <w:jc w:val="both"/>
        <w:rPr>
          <w:rFonts w:ascii="Bookman Old Style" w:hAnsi="Bookman Old Style" w:cs="Arial"/>
        </w:rPr>
      </w:pPr>
    </w:p>
    <w:p w14:paraId="54A22AC3" w14:textId="75AC9003" w:rsidR="008D4C48" w:rsidRDefault="008D4C48" w:rsidP="008D4C48">
      <w:pPr>
        <w:ind w:left="0" w:right="51"/>
        <w:jc w:val="both"/>
        <w:rPr>
          <w:rFonts w:ascii="Bookman Old Style" w:hAnsi="Bookman Old Style" w:cs="Arial"/>
        </w:rPr>
      </w:pPr>
      <w:r>
        <w:rPr>
          <w:rFonts w:ascii="Bookman Old Style" w:hAnsi="Bookman Old Style" w:cs="Arial"/>
        </w:rPr>
        <w:t>El artículo 11 de la Ley 143 de 1994, definió la actividad de comercialización de energía, como la</w:t>
      </w:r>
      <w:r w:rsidRPr="00911F4D">
        <w:rPr>
          <w:rFonts w:ascii="Bookman Old Style" w:hAnsi="Bookman Old Style" w:cs="Arial"/>
        </w:rPr>
        <w:t xml:space="preserve"> actividad consistente en la compra de energía eléctrica y su venta a los usuarios finales, regulados o no</w:t>
      </w:r>
      <w:r>
        <w:rPr>
          <w:rFonts w:ascii="Bookman Old Style" w:hAnsi="Bookman Old Style" w:cs="Arial"/>
        </w:rPr>
        <w:t xml:space="preserve"> </w:t>
      </w:r>
      <w:r w:rsidRPr="00911F4D">
        <w:rPr>
          <w:rFonts w:ascii="Bookman Old Style" w:hAnsi="Bookman Old Style" w:cs="Arial"/>
        </w:rPr>
        <w:t>regulados.</w:t>
      </w:r>
    </w:p>
    <w:p w14:paraId="3BA9BAC9" w14:textId="77777777" w:rsidR="008D4C48" w:rsidRPr="002656B5" w:rsidRDefault="008D4C48" w:rsidP="00E46E1C">
      <w:pPr>
        <w:ind w:left="0" w:right="51"/>
        <w:jc w:val="both"/>
        <w:rPr>
          <w:rFonts w:ascii="Bookman Old Style" w:hAnsi="Bookman Old Style" w:cs="Arial"/>
        </w:rPr>
      </w:pPr>
    </w:p>
    <w:p w14:paraId="27B7753C" w14:textId="77777777"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El artículo 23 de la Ley 143 de 1994 define dentro de las funciones de la CREG la de establecer condiciones para una oferta energética eficiente, capaz de abastecer la demanda bajo criterios sociales, económicos, ambientales y de viabilidad financiera; así como la de promover y preservar la competencia.</w:t>
      </w:r>
    </w:p>
    <w:p w14:paraId="44194DFF" w14:textId="77777777" w:rsidR="00E46E1C" w:rsidRPr="002656B5" w:rsidRDefault="00E46E1C" w:rsidP="00E46E1C">
      <w:pPr>
        <w:ind w:left="0" w:right="51"/>
        <w:jc w:val="both"/>
        <w:rPr>
          <w:rFonts w:ascii="Bookman Old Style" w:hAnsi="Bookman Old Style" w:cs="Arial"/>
        </w:rPr>
      </w:pPr>
    </w:p>
    <w:p w14:paraId="19D20941" w14:textId="77777777"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El artículo 42 de la Ley 143 de 1994 señala que las compras de electricidad deben realizarse mediante mecanismos que estimulen la libre competencia.</w:t>
      </w:r>
    </w:p>
    <w:p w14:paraId="29B9BF62" w14:textId="77777777" w:rsidR="00E46E1C" w:rsidRPr="002656B5" w:rsidRDefault="00E46E1C" w:rsidP="00E46E1C">
      <w:pPr>
        <w:ind w:left="0" w:right="51"/>
        <w:jc w:val="both"/>
        <w:rPr>
          <w:rFonts w:ascii="Bookman Old Style" w:hAnsi="Bookman Old Style" w:cs="Arial"/>
        </w:rPr>
      </w:pPr>
    </w:p>
    <w:p w14:paraId="55EFD1FD" w14:textId="6FCA7C03"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lastRenderedPageBreak/>
        <w:t xml:space="preserve">Mediante la Resolución CREG 114 de 2018 se definieron los principios y condiciones generales que deben cumplir los mecanismos para la comercialización de energía eléctrica para que sus precios sean reconocidos en el componente de costos de compras de energía al usuario regulado. Esta resolución permite que nuevos mecanismos para la comercialización de energía eléctrica sean puestos a consideración de la Comisión con el propósito de que las compras resultantes puedan ser reconocidas en el costo unitario de prestación del servicio </w:t>
      </w:r>
      <w:r w:rsidR="00660398">
        <w:rPr>
          <w:rFonts w:ascii="Bookman Old Style" w:hAnsi="Bookman Old Style" w:cs="Arial"/>
        </w:rPr>
        <w:t xml:space="preserve">de energía eléctrica para el </w:t>
      </w:r>
      <w:r w:rsidRPr="002656B5">
        <w:rPr>
          <w:rFonts w:ascii="Bookman Old Style" w:hAnsi="Bookman Old Style" w:cs="Arial"/>
        </w:rPr>
        <w:t>usuario regulado</w:t>
      </w:r>
      <w:r w:rsidR="00660398">
        <w:rPr>
          <w:rFonts w:ascii="Bookman Old Style" w:hAnsi="Bookman Old Style" w:cs="Arial"/>
        </w:rPr>
        <w:t>, en adelante CU</w:t>
      </w:r>
      <w:r w:rsidRPr="002656B5">
        <w:rPr>
          <w:rFonts w:ascii="Bookman Old Style" w:hAnsi="Bookman Old Style" w:cs="Arial"/>
        </w:rPr>
        <w:t>.</w:t>
      </w:r>
    </w:p>
    <w:p w14:paraId="6C57CA5F" w14:textId="77777777" w:rsidR="00E46E1C" w:rsidRPr="002656B5" w:rsidRDefault="00E46E1C" w:rsidP="00E46E1C">
      <w:pPr>
        <w:ind w:left="0" w:right="51"/>
        <w:jc w:val="both"/>
        <w:rPr>
          <w:rFonts w:ascii="Bookman Old Style" w:hAnsi="Bookman Old Style" w:cs="Arial"/>
        </w:rPr>
      </w:pPr>
    </w:p>
    <w:p w14:paraId="7EFB9B30" w14:textId="0B8A23A4"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 xml:space="preserve">Teniendo en cuenta la dinámica del mercado de energía eléctrica, se debe considerar la entrada de diferentes actividades y agentes que hacen parte de la prestación del servicio público domiciliario, </w:t>
      </w:r>
      <w:r w:rsidR="008D4C48">
        <w:rPr>
          <w:rFonts w:ascii="Bookman Old Style" w:hAnsi="Bookman Old Style" w:cs="Arial"/>
        </w:rPr>
        <w:t xml:space="preserve">pues </w:t>
      </w:r>
      <w:r w:rsidRPr="002656B5">
        <w:rPr>
          <w:rFonts w:ascii="Bookman Old Style" w:hAnsi="Bookman Old Style" w:cs="Arial"/>
        </w:rPr>
        <w:t xml:space="preserve">la Resolución CREG 114 de 2018 se constituye </w:t>
      </w:r>
      <w:r w:rsidR="008D4C48">
        <w:rPr>
          <w:rFonts w:ascii="Bookman Old Style" w:hAnsi="Bookman Old Style" w:cs="Arial"/>
        </w:rPr>
        <w:t>como</w:t>
      </w:r>
      <w:r w:rsidRPr="002656B5">
        <w:rPr>
          <w:rFonts w:ascii="Bookman Old Style" w:hAnsi="Bookman Old Style" w:cs="Arial"/>
        </w:rPr>
        <w:t xml:space="preserve"> una herramienta regulatoria </w:t>
      </w:r>
      <w:r w:rsidR="008D4C48">
        <w:rPr>
          <w:rFonts w:ascii="Bookman Old Style" w:hAnsi="Bookman Old Style" w:cs="Arial"/>
        </w:rPr>
        <w:t>que permite</w:t>
      </w:r>
      <w:r w:rsidRPr="002656B5">
        <w:rPr>
          <w:rFonts w:ascii="Bookman Old Style" w:hAnsi="Bookman Old Style" w:cs="Arial"/>
        </w:rPr>
        <w:t xml:space="preserve"> el desarrollo de diferentes mecanismos de comercialización de energía eléctrica, propendiendo por consolidar un escenario </w:t>
      </w:r>
      <w:r w:rsidR="008D4C48">
        <w:rPr>
          <w:rFonts w:ascii="Bookman Old Style" w:hAnsi="Bookman Old Style" w:cs="Arial"/>
        </w:rPr>
        <w:t>competitivo</w:t>
      </w:r>
      <w:r w:rsidRPr="002656B5">
        <w:rPr>
          <w:rFonts w:ascii="Bookman Old Style" w:hAnsi="Bookman Old Style" w:cs="Arial"/>
        </w:rPr>
        <w:t xml:space="preserve"> para la compra de energía</w:t>
      </w:r>
      <w:r w:rsidR="008D4C48">
        <w:rPr>
          <w:rFonts w:ascii="Bookman Old Style" w:hAnsi="Bookman Old Style" w:cs="Arial"/>
        </w:rPr>
        <w:t>, que a su vez permita</w:t>
      </w:r>
      <w:r w:rsidRPr="002656B5">
        <w:rPr>
          <w:rFonts w:ascii="Bookman Old Style" w:hAnsi="Bookman Old Style" w:cs="Arial"/>
        </w:rPr>
        <w:t xml:space="preserve"> la formación</w:t>
      </w:r>
      <w:r w:rsidR="008D4C48">
        <w:rPr>
          <w:rFonts w:ascii="Bookman Old Style" w:hAnsi="Bookman Old Style" w:cs="Arial"/>
        </w:rPr>
        <w:t xml:space="preserve"> eficiente</w:t>
      </w:r>
      <w:r w:rsidRPr="002656B5">
        <w:rPr>
          <w:rFonts w:ascii="Bookman Old Style" w:hAnsi="Bookman Old Style" w:cs="Arial"/>
        </w:rPr>
        <w:t xml:space="preserve"> de los precios de energía.</w:t>
      </w:r>
    </w:p>
    <w:p w14:paraId="157D8A3C" w14:textId="77777777" w:rsidR="00E46E1C" w:rsidRPr="002656B5" w:rsidRDefault="00E46E1C" w:rsidP="00E46E1C">
      <w:pPr>
        <w:ind w:left="0" w:right="51"/>
        <w:jc w:val="both"/>
        <w:rPr>
          <w:rFonts w:ascii="Bookman Old Style" w:hAnsi="Bookman Old Style" w:cs="Arial"/>
        </w:rPr>
      </w:pPr>
    </w:p>
    <w:p w14:paraId="2F6C1DA5" w14:textId="77777777" w:rsidR="008D4C48" w:rsidRDefault="008D4C48" w:rsidP="008D4C48">
      <w:pPr>
        <w:ind w:left="0" w:right="51"/>
        <w:jc w:val="both"/>
        <w:rPr>
          <w:rFonts w:ascii="Bookman Old Style" w:hAnsi="Bookman Old Style" w:cs="Arial"/>
        </w:rPr>
      </w:pPr>
      <w:r>
        <w:rPr>
          <w:rFonts w:ascii="Bookman Old Style" w:hAnsi="Bookman Old Style" w:cs="Arial"/>
        </w:rPr>
        <w:t xml:space="preserve">En desarrollo de lo anterior, la Resolución CREG 114 de 2018, creó la figura del “Promotor”, </w:t>
      </w:r>
      <w:r w:rsidRPr="00911F4D">
        <w:rPr>
          <w:rFonts w:ascii="Bookman Old Style" w:hAnsi="Bookman Old Style" w:cs="Arial"/>
        </w:rPr>
        <w:t>como aquella persona jurídica o consorcio que está interesado en presentar un mecanismo para la comercialización de energía a</w:t>
      </w:r>
      <w:r>
        <w:rPr>
          <w:rFonts w:ascii="Bookman Old Style" w:hAnsi="Bookman Old Style" w:cs="Arial"/>
        </w:rPr>
        <w:t>nte</w:t>
      </w:r>
      <w:r w:rsidRPr="00911F4D">
        <w:rPr>
          <w:rFonts w:ascii="Bookman Old Style" w:hAnsi="Bookman Old Style" w:cs="Arial"/>
        </w:rPr>
        <w:t xml:space="preserve"> la CREG</w:t>
      </w:r>
      <w:r>
        <w:rPr>
          <w:rFonts w:ascii="Bookman Old Style" w:hAnsi="Bookman Old Style" w:cs="Arial"/>
        </w:rPr>
        <w:t xml:space="preserve">, </w:t>
      </w:r>
      <w:r w:rsidRPr="00911F4D">
        <w:rPr>
          <w:rFonts w:ascii="Bookman Old Style" w:hAnsi="Bookman Old Style" w:cs="Arial"/>
        </w:rPr>
        <w:t>para llevar a cabo los roles como diseñador, administrador, ejecutor y administrador de riesgo de dicho mecanismo.</w:t>
      </w:r>
    </w:p>
    <w:p w14:paraId="61BA1177" w14:textId="77777777" w:rsidR="008D4C48" w:rsidRDefault="008D4C48" w:rsidP="008D4C48">
      <w:pPr>
        <w:ind w:left="0" w:right="51"/>
        <w:jc w:val="both"/>
        <w:rPr>
          <w:rFonts w:ascii="Bookman Old Style" w:hAnsi="Bookman Old Style" w:cs="Arial"/>
        </w:rPr>
      </w:pPr>
    </w:p>
    <w:p w14:paraId="0C2CD4C6" w14:textId="3A3CE9DB" w:rsidR="00E46E1C" w:rsidRPr="002656B5" w:rsidRDefault="008D4C48" w:rsidP="008D4C48">
      <w:pPr>
        <w:ind w:left="0" w:right="51"/>
        <w:jc w:val="both"/>
        <w:rPr>
          <w:rFonts w:ascii="Bookman Old Style" w:hAnsi="Bookman Old Style" w:cs="Arial"/>
        </w:rPr>
      </w:pPr>
      <w:r w:rsidRPr="00911F4D">
        <w:rPr>
          <w:rFonts w:ascii="Bookman Old Style" w:hAnsi="Bookman Old Style" w:cs="Arial"/>
        </w:rPr>
        <w:t xml:space="preserve">Respecto a las condiciones mínimas del </w:t>
      </w:r>
      <w:r>
        <w:rPr>
          <w:rFonts w:ascii="Bookman Old Style" w:hAnsi="Bookman Old Style" w:cs="Arial"/>
        </w:rPr>
        <w:t>P</w:t>
      </w:r>
      <w:r w:rsidRPr="00911F4D">
        <w:rPr>
          <w:rFonts w:ascii="Bookman Old Style" w:hAnsi="Bookman Old Style" w:cs="Arial"/>
        </w:rPr>
        <w:t>romotor, la Resolución CREG 114 de 2018, señaló:</w:t>
      </w:r>
    </w:p>
    <w:p w14:paraId="2EEB7384" w14:textId="77777777" w:rsidR="00E46E1C" w:rsidRPr="002656B5" w:rsidRDefault="00E46E1C" w:rsidP="00E46E1C">
      <w:pPr>
        <w:ind w:left="0" w:right="51"/>
        <w:jc w:val="both"/>
        <w:rPr>
          <w:rFonts w:ascii="Bookman Old Style" w:hAnsi="Bookman Old Style" w:cs="Arial"/>
        </w:rPr>
      </w:pPr>
    </w:p>
    <w:p w14:paraId="19BB62A7" w14:textId="72335D28" w:rsidR="00E46E1C" w:rsidRPr="00E46E1C" w:rsidRDefault="00E46E1C" w:rsidP="00C30875">
      <w:pPr>
        <w:ind w:right="567"/>
        <w:jc w:val="both"/>
        <w:rPr>
          <w:rFonts w:ascii="Bookman Old Style" w:hAnsi="Bookman Old Style" w:cs="Arial"/>
          <w:i/>
          <w:iCs/>
        </w:rPr>
      </w:pPr>
      <w:r w:rsidRPr="00E46E1C">
        <w:rPr>
          <w:rFonts w:ascii="Bookman Old Style" w:hAnsi="Bookman Old Style" w:cs="Arial"/>
          <w:i/>
          <w:iCs/>
        </w:rPr>
        <w:t>“ARTÍCULO 6. CONDICIONES MÍNIMAS DEL PROMOTOR PARA LA PRESENTACIÓN DEL MECANISMO PARA LA COMERCIALIZACIÓN DE ENERGÍA. El Promotor que esté interesado en presentar un mecanismo para la comercialización de energía a la CREG deberá cumplir con las condiciones de experiencia, independencia y supervisión de acuerdo a lo establecido en el Anexo 3</w:t>
      </w:r>
      <w:r>
        <w:rPr>
          <w:rFonts w:ascii="Bookman Old Style" w:hAnsi="Bookman Old Style" w:cs="Arial"/>
          <w:i/>
          <w:iCs/>
        </w:rPr>
        <w:t>”</w:t>
      </w:r>
      <w:r w:rsidRPr="00E46E1C">
        <w:rPr>
          <w:rFonts w:ascii="Bookman Old Style" w:hAnsi="Bookman Old Style" w:cs="Arial"/>
          <w:i/>
          <w:iCs/>
        </w:rPr>
        <w:t>.</w:t>
      </w:r>
    </w:p>
    <w:p w14:paraId="44C45006" w14:textId="77777777" w:rsidR="00E46E1C" w:rsidRPr="002656B5" w:rsidRDefault="00E46E1C" w:rsidP="00E46E1C">
      <w:pPr>
        <w:ind w:left="0" w:right="51"/>
        <w:jc w:val="both"/>
        <w:rPr>
          <w:rFonts w:ascii="Bookman Old Style" w:hAnsi="Bookman Old Style" w:cs="Arial"/>
        </w:rPr>
      </w:pPr>
    </w:p>
    <w:p w14:paraId="3A3EC83A" w14:textId="4A52226B"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En este sentido, el numeral 3 del Anexo 3</w:t>
      </w:r>
      <w:r w:rsidR="00132A56">
        <w:rPr>
          <w:rFonts w:ascii="Bookman Old Style" w:hAnsi="Bookman Old Style" w:cs="Arial"/>
        </w:rPr>
        <w:t xml:space="preserve"> </w:t>
      </w:r>
      <w:r w:rsidR="008D4C48">
        <w:rPr>
          <w:rFonts w:ascii="Bookman Old Style" w:hAnsi="Bookman Old Style" w:cs="Arial"/>
        </w:rPr>
        <w:t xml:space="preserve">de la Resolución CREG 114 de 2018 </w:t>
      </w:r>
      <w:r w:rsidRPr="002656B5">
        <w:rPr>
          <w:rFonts w:ascii="Bookman Old Style" w:hAnsi="Bookman Old Style" w:cs="Arial"/>
        </w:rPr>
        <w:t>establece</w:t>
      </w:r>
      <w:r w:rsidR="008D4C48">
        <w:rPr>
          <w:rFonts w:ascii="Bookman Old Style" w:hAnsi="Bookman Old Style" w:cs="Arial"/>
        </w:rPr>
        <w:t xml:space="preserve"> respecto del requisito de supervisión los siguiente</w:t>
      </w:r>
      <w:r w:rsidRPr="002656B5">
        <w:rPr>
          <w:rFonts w:ascii="Bookman Old Style" w:hAnsi="Bookman Old Style" w:cs="Arial"/>
        </w:rPr>
        <w:t>:</w:t>
      </w:r>
    </w:p>
    <w:p w14:paraId="15942EF1" w14:textId="77777777" w:rsidR="00E46E1C" w:rsidRPr="002656B5" w:rsidRDefault="00E46E1C" w:rsidP="00E46E1C">
      <w:pPr>
        <w:ind w:left="0" w:right="51"/>
        <w:jc w:val="both"/>
        <w:rPr>
          <w:rFonts w:ascii="Bookman Old Style" w:hAnsi="Bookman Old Style" w:cs="Arial"/>
        </w:rPr>
      </w:pPr>
    </w:p>
    <w:p w14:paraId="70D98D2B" w14:textId="77777777" w:rsidR="00E46E1C" w:rsidRPr="00E46E1C" w:rsidRDefault="00E46E1C" w:rsidP="00C30875">
      <w:pPr>
        <w:ind w:right="567"/>
        <w:jc w:val="both"/>
        <w:rPr>
          <w:rFonts w:ascii="Bookman Old Style" w:hAnsi="Bookman Old Style" w:cs="Arial"/>
          <w:i/>
          <w:iCs/>
        </w:rPr>
      </w:pPr>
      <w:r w:rsidRPr="00E46E1C">
        <w:rPr>
          <w:rFonts w:ascii="Bookman Old Style" w:hAnsi="Bookman Old Style" w:cs="Arial"/>
          <w:i/>
          <w:iCs/>
        </w:rPr>
        <w:t>“El ejecutor del mecanismo, el administrador del mecanismo y el administrador de riesgo deben contar con la participación de por lo menos un agente sujeto a la supervisión, vigilancia y control de la Superintendencia de Servicios Públicos Domiciliarios (SSPD) o de la Superintendencia Financiera de Colombia (SFC), sujeto a las restricciones de participación que se establecen en este anexo. (…)”</w:t>
      </w:r>
    </w:p>
    <w:p w14:paraId="65099E9C" w14:textId="77777777" w:rsidR="00E46E1C" w:rsidRPr="002656B5" w:rsidRDefault="00E46E1C" w:rsidP="00E46E1C">
      <w:pPr>
        <w:ind w:left="0" w:right="51"/>
        <w:jc w:val="both"/>
        <w:rPr>
          <w:rFonts w:ascii="Bookman Old Style" w:hAnsi="Bookman Old Style" w:cs="Arial"/>
        </w:rPr>
      </w:pPr>
    </w:p>
    <w:p w14:paraId="3D16A768" w14:textId="05A46137" w:rsidR="00E46E1C" w:rsidRPr="002656B5" w:rsidRDefault="00E46E1C" w:rsidP="00E46E1C">
      <w:pPr>
        <w:ind w:left="0" w:right="51"/>
        <w:jc w:val="both"/>
        <w:rPr>
          <w:rFonts w:ascii="Bookman Old Style" w:hAnsi="Bookman Old Style" w:cs="Arial"/>
        </w:rPr>
      </w:pPr>
      <w:r w:rsidRPr="002656B5">
        <w:rPr>
          <w:rFonts w:ascii="Bookman Old Style" w:hAnsi="Bookman Old Style" w:cs="Arial"/>
        </w:rPr>
        <w:t>Con base en lo anterior, la regulación vigente exige que ciertos roles de los mecanismos</w:t>
      </w:r>
      <w:r w:rsidR="008D4C48">
        <w:rPr>
          <w:rFonts w:ascii="Bookman Old Style" w:hAnsi="Bookman Old Style" w:cs="Arial"/>
        </w:rPr>
        <w:t xml:space="preserve"> para la comercialización de energía eléctrica</w:t>
      </w:r>
      <w:r w:rsidRPr="002656B5">
        <w:rPr>
          <w:rFonts w:ascii="Bookman Old Style" w:hAnsi="Bookman Old Style" w:cs="Arial"/>
        </w:rPr>
        <w:t xml:space="preserve"> sean vigilados por alguna de las superintendencias (SSPD o SFC)</w:t>
      </w:r>
      <w:r w:rsidR="008D4C48">
        <w:rPr>
          <w:rFonts w:ascii="Bookman Old Style" w:hAnsi="Bookman Old Style" w:cs="Arial"/>
        </w:rPr>
        <w:t>.</w:t>
      </w:r>
      <w:r w:rsidR="001B0654">
        <w:rPr>
          <w:rFonts w:ascii="Bookman Old Style" w:hAnsi="Bookman Old Style" w:cs="Arial"/>
        </w:rPr>
        <w:t xml:space="preserve"> </w:t>
      </w:r>
      <w:r w:rsidR="008D4C48">
        <w:rPr>
          <w:rFonts w:ascii="Bookman Old Style" w:hAnsi="Bookman Old Style" w:cs="Arial"/>
        </w:rPr>
        <w:t>S</w:t>
      </w:r>
      <w:r w:rsidR="001B0654">
        <w:rPr>
          <w:rFonts w:ascii="Bookman Old Style" w:hAnsi="Bookman Old Style" w:cs="Arial"/>
        </w:rPr>
        <w:t xml:space="preserve">in </w:t>
      </w:r>
      <w:r w:rsidR="00727BFB">
        <w:rPr>
          <w:rFonts w:ascii="Bookman Old Style" w:hAnsi="Bookman Old Style" w:cs="Arial"/>
        </w:rPr>
        <w:t>embargo,</w:t>
      </w:r>
      <w:r w:rsidR="001B0654">
        <w:rPr>
          <w:rFonts w:ascii="Bookman Old Style" w:hAnsi="Bookman Old Style" w:cs="Arial"/>
        </w:rPr>
        <w:t xml:space="preserve"> estos roles no se enmarcan </w:t>
      </w:r>
      <w:r w:rsidR="00660398">
        <w:rPr>
          <w:rFonts w:ascii="Bookman Old Style" w:hAnsi="Bookman Old Style" w:cs="Arial"/>
        </w:rPr>
        <w:t xml:space="preserve">en </w:t>
      </w:r>
      <w:r w:rsidR="001B0654">
        <w:rPr>
          <w:rFonts w:ascii="Bookman Old Style" w:hAnsi="Bookman Old Style" w:cs="Arial"/>
        </w:rPr>
        <w:t xml:space="preserve">las </w:t>
      </w:r>
      <w:r w:rsidRPr="002656B5">
        <w:rPr>
          <w:rFonts w:ascii="Bookman Old Style" w:hAnsi="Bookman Old Style" w:cs="Arial"/>
        </w:rPr>
        <w:t xml:space="preserve">actividades </w:t>
      </w:r>
      <w:r w:rsidR="001B0654">
        <w:rPr>
          <w:rFonts w:ascii="Bookman Old Style" w:hAnsi="Bookman Old Style" w:cs="Arial"/>
        </w:rPr>
        <w:t>que</w:t>
      </w:r>
      <w:r w:rsidR="00727BFB">
        <w:rPr>
          <w:rFonts w:ascii="Bookman Old Style" w:hAnsi="Bookman Old Style" w:cs="Arial"/>
        </w:rPr>
        <w:t>,</w:t>
      </w:r>
      <w:r w:rsidR="001B0654">
        <w:rPr>
          <w:rFonts w:ascii="Bookman Old Style" w:hAnsi="Bookman Old Style" w:cs="Arial"/>
        </w:rPr>
        <w:t xml:space="preserve"> conforme a las leyes 142 y 143 de 1994</w:t>
      </w:r>
      <w:r w:rsidR="00727BFB">
        <w:rPr>
          <w:rFonts w:ascii="Bookman Old Style" w:hAnsi="Bookman Old Style" w:cs="Arial"/>
        </w:rPr>
        <w:t>,</w:t>
      </w:r>
      <w:r w:rsidR="001B0654">
        <w:rPr>
          <w:rFonts w:ascii="Bookman Old Style" w:hAnsi="Bookman Old Style" w:cs="Arial"/>
        </w:rPr>
        <w:t xml:space="preserve"> hacen parte de la </w:t>
      </w:r>
      <w:r w:rsidRPr="002656B5">
        <w:rPr>
          <w:rFonts w:ascii="Bookman Old Style" w:hAnsi="Bookman Old Style" w:cs="Arial"/>
        </w:rPr>
        <w:t xml:space="preserve">cadena de prestación del servicio público </w:t>
      </w:r>
      <w:r w:rsidR="001B0654">
        <w:rPr>
          <w:rFonts w:ascii="Bookman Old Style" w:hAnsi="Bookman Old Style" w:cs="Arial"/>
        </w:rPr>
        <w:t>domiciliario de energía eléctrica</w:t>
      </w:r>
      <w:r w:rsidR="00727BFB">
        <w:rPr>
          <w:rFonts w:ascii="Bookman Old Style" w:hAnsi="Bookman Old Style" w:cs="Arial"/>
        </w:rPr>
        <w:t>.</w:t>
      </w:r>
      <w:r w:rsidR="001B0654">
        <w:rPr>
          <w:rFonts w:ascii="Bookman Old Style" w:hAnsi="Bookman Old Style" w:cs="Arial"/>
        </w:rPr>
        <w:t xml:space="preserve"> </w:t>
      </w:r>
      <w:r w:rsidR="00727BFB">
        <w:rPr>
          <w:rFonts w:ascii="Bookman Old Style" w:hAnsi="Bookman Old Style" w:cs="Arial"/>
        </w:rPr>
        <w:t>E</w:t>
      </w:r>
      <w:r w:rsidR="00660398">
        <w:rPr>
          <w:rFonts w:ascii="Bookman Old Style" w:hAnsi="Bookman Old Style" w:cs="Arial"/>
        </w:rPr>
        <w:t>s preciso</w:t>
      </w:r>
      <w:r w:rsidR="00727BFB">
        <w:rPr>
          <w:rFonts w:ascii="Bookman Old Style" w:hAnsi="Bookman Old Style" w:cs="Arial"/>
        </w:rPr>
        <w:t xml:space="preserve"> entonces en este contexto</w:t>
      </w:r>
      <w:r w:rsidR="00660398">
        <w:rPr>
          <w:rFonts w:ascii="Bookman Old Style" w:hAnsi="Bookman Old Style" w:cs="Arial"/>
        </w:rPr>
        <w:t xml:space="preserve"> dar claridad sobre los elementos </w:t>
      </w:r>
      <w:r w:rsidR="00660398">
        <w:rPr>
          <w:rFonts w:ascii="Bookman Old Style" w:hAnsi="Bookman Old Style" w:cs="Arial"/>
        </w:rPr>
        <w:lastRenderedPageBreak/>
        <w:t xml:space="preserve">que se requieren para las respectivas acciones de inspección, </w:t>
      </w:r>
      <w:r w:rsidRPr="002656B5">
        <w:rPr>
          <w:rFonts w:ascii="Bookman Old Style" w:hAnsi="Bookman Old Style" w:cs="Arial"/>
        </w:rPr>
        <w:t xml:space="preserve">vigilancia </w:t>
      </w:r>
      <w:r w:rsidR="00660398">
        <w:rPr>
          <w:rFonts w:ascii="Bookman Old Style" w:hAnsi="Bookman Old Style" w:cs="Arial"/>
        </w:rPr>
        <w:t xml:space="preserve">y control </w:t>
      </w:r>
      <w:r w:rsidRPr="002656B5">
        <w:rPr>
          <w:rFonts w:ascii="Bookman Old Style" w:hAnsi="Bookman Old Style" w:cs="Arial"/>
        </w:rPr>
        <w:t xml:space="preserve">por parte de la </w:t>
      </w:r>
      <w:r w:rsidR="001B0654">
        <w:rPr>
          <w:rFonts w:ascii="Bookman Old Style" w:hAnsi="Bookman Old Style" w:cs="Arial"/>
        </w:rPr>
        <w:t>Superintendencia de Servicios Públicos Domiciliarios</w:t>
      </w:r>
      <w:r w:rsidRPr="002656B5">
        <w:rPr>
          <w:rFonts w:ascii="Bookman Old Style" w:hAnsi="Bookman Old Style" w:cs="Arial"/>
        </w:rPr>
        <w:t>.</w:t>
      </w:r>
    </w:p>
    <w:p w14:paraId="546A88D0" w14:textId="77777777" w:rsidR="00E46E1C" w:rsidRPr="002656B5" w:rsidRDefault="00E46E1C" w:rsidP="00E46E1C">
      <w:pPr>
        <w:ind w:left="0" w:right="51"/>
        <w:jc w:val="both"/>
        <w:rPr>
          <w:rFonts w:ascii="Bookman Old Style" w:hAnsi="Bookman Old Style" w:cs="Arial"/>
        </w:rPr>
      </w:pPr>
    </w:p>
    <w:p w14:paraId="08F73341" w14:textId="6B0B362D" w:rsidR="00E46E1C" w:rsidRPr="002656B5" w:rsidRDefault="00541D69" w:rsidP="00E46E1C">
      <w:pPr>
        <w:ind w:left="0" w:right="51"/>
        <w:jc w:val="both"/>
        <w:rPr>
          <w:rFonts w:ascii="Bookman Old Style" w:hAnsi="Bookman Old Style" w:cs="Arial"/>
        </w:rPr>
      </w:pPr>
      <w:r>
        <w:rPr>
          <w:rFonts w:ascii="Bookman Old Style" w:hAnsi="Bookman Old Style" w:cs="Arial"/>
        </w:rPr>
        <w:t xml:space="preserve">El </w:t>
      </w:r>
      <w:r w:rsidR="00727BFB" w:rsidRPr="002656B5">
        <w:rPr>
          <w:rFonts w:ascii="Bookman Old Style" w:hAnsi="Bookman Old Style" w:cs="Arial"/>
        </w:rPr>
        <w:t>artículo 290</w:t>
      </w:r>
      <w:r w:rsidR="00727BFB">
        <w:rPr>
          <w:rFonts w:ascii="Bookman Old Style" w:hAnsi="Bookman Old Style" w:cs="Arial"/>
        </w:rPr>
        <w:t xml:space="preserve"> de </w:t>
      </w:r>
      <w:r w:rsidR="00727BFB" w:rsidRPr="002656B5">
        <w:rPr>
          <w:rFonts w:ascii="Bookman Old Style" w:hAnsi="Bookman Old Style" w:cs="Arial"/>
        </w:rPr>
        <w:t>Ley 1955 de 2019</w:t>
      </w:r>
      <w:r w:rsidR="00727BFB">
        <w:rPr>
          <w:rFonts w:ascii="Bookman Old Style" w:hAnsi="Bookman Old Style" w:cs="Arial"/>
        </w:rPr>
        <w:t xml:space="preserve"> “</w:t>
      </w:r>
      <w:r w:rsidR="00E46E1C" w:rsidRPr="002656B5">
        <w:rPr>
          <w:rFonts w:ascii="Bookman Old Style" w:hAnsi="Bookman Old Style" w:cs="Arial"/>
        </w:rPr>
        <w:t>Plan Nacional de Desarrollo 2018 – 2022</w:t>
      </w:r>
      <w:r w:rsidR="00727BFB">
        <w:rPr>
          <w:rFonts w:ascii="Bookman Old Style" w:hAnsi="Bookman Old Style" w:cs="Arial"/>
        </w:rPr>
        <w:t>”</w:t>
      </w:r>
      <w:r w:rsidR="00660398" w:rsidRPr="002656B5">
        <w:rPr>
          <w:rFonts w:ascii="Bookman Old Style" w:hAnsi="Bookman Old Style" w:cs="Arial"/>
        </w:rPr>
        <w:t>,</w:t>
      </w:r>
      <w:r w:rsidR="00660398">
        <w:rPr>
          <w:rFonts w:ascii="Bookman Old Style" w:hAnsi="Bookman Old Style" w:cs="Arial"/>
        </w:rPr>
        <w:t xml:space="preserve"> </w:t>
      </w:r>
      <w:r w:rsidR="00727BFB" w:rsidRPr="00727BFB">
        <w:rPr>
          <w:rFonts w:ascii="Bookman Old Style" w:hAnsi="Bookman Old Style" w:cs="Arial"/>
        </w:rPr>
        <w:t>vigente de conformidad con el artículo 372 de la Ley 2294 de 2023 “Plan Nacional de Desarrollo 2022-2026”</w:t>
      </w:r>
      <w:r w:rsidR="00660398">
        <w:rPr>
          <w:rFonts w:ascii="Bookman Old Style" w:hAnsi="Bookman Old Style" w:cs="Arial"/>
        </w:rPr>
        <w:t>,</w:t>
      </w:r>
      <w:r w:rsidR="00E46E1C" w:rsidRPr="002656B5">
        <w:rPr>
          <w:rFonts w:ascii="Bookman Old Style" w:hAnsi="Bookman Old Style" w:cs="Arial"/>
        </w:rPr>
        <w:t xml:space="preserve"> </w:t>
      </w:r>
      <w:r>
        <w:rPr>
          <w:rFonts w:ascii="Bookman Old Style" w:hAnsi="Bookman Old Style" w:cs="Arial"/>
        </w:rPr>
        <w:t xml:space="preserve">asignó la siguiente función a la </w:t>
      </w:r>
      <w:r w:rsidR="00727BFB">
        <w:rPr>
          <w:rFonts w:ascii="Bookman Old Style" w:hAnsi="Bookman Old Style" w:cs="Arial"/>
        </w:rPr>
        <w:t>CREG</w:t>
      </w:r>
      <w:r w:rsidR="00E46E1C" w:rsidRPr="002656B5">
        <w:rPr>
          <w:rFonts w:ascii="Bookman Old Style" w:hAnsi="Bookman Old Style" w:cs="Arial"/>
        </w:rPr>
        <w:t>:</w:t>
      </w:r>
    </w:p>
    <w:p w14:paraId="0E75EA15" w14:textId="77777777" w:rsidR="00E46E1C" w:rsidRPr="002656B5" w:rsidRDefault="00E46E1C" w:rsidP="00E46E1C">
      <w:pPr>
        <w:ind w:left="0" w:right="51"/>
        <w:jc w:val="both"/>
        <w:rPr>
          <w:rFonts w:ascii="Bookman Old Style" w:hAnsi="Bookman Old Style" w:cs="Arial"/>
        </w:rPr>
      </w:pPr>
    </w:p>
    <w:p w14:paraId="5CA1D436" w14:textId="10F3D26A" w:rsidR="00E46E1C" w:rsidRPr="00E46E1C" w:rsidRDefault="00E46E1C" w:rsidP="003E38FD">
      <w:pPr>
        <w:ind w:right="567"/>
        <w:jc w:val="both"/>
        <w:rPr>
          <w:rFonts w:ascii="Bookman Old Style" w:hAnsi="Bookman Old Style" w:cs="Arial"/>
          <w:i/>
          <w:iCs/>
        </w:rPr>
      </w:pPr>
      <w:r w:rsidRPr="00E46E1C">
        <w:rPr>
          <w:rFonts w:ascii="Bookman Old Style" w:hAnsi="Bookman Old Style" w:cs="Arial"/>
          <w:i/>
          <w:iCs/>
        </w:rPr>
        <w:t>“ARTÍCULO 290. NUEVOS AGENTES. La Comisión de Regulación de Energía y Gas - CREG, en el marco de la función de garantizar la prestación eficiente del servicio público, de promover la competencia, evitar los abusos de posición dominante y garantizar los derechos de los usuarios, dentro de la regulación sobre servicios de gas combustible, energía eléctrica y alumbrado público, incluirá:</w:t>
      </w:r>
    </w:p>
    <w:p w14:paraId="4756F861" w14:textId="77777777" w:rsidR="00E46E1C" w:rsidRPr="00E46E1C" w:rsidRDefault="00E46E1C" w:rsidP="003E38FD">
      <w:pPr>
        <w:ind w:right="567"/>
        <w:jc w:val="both"/>
        <w:rPr>
          <w:rFonts w:ascii="Bookman Old Style" w:hAnsi="Bookman Old Style" w:cs="Arial"/>
          <w:i/>
          <w:iCs/>
        </w:rPr>
      </w:pPr>
    </w:p>
    <w:p w14:paraId="6E837621" w14:textId="77777777" w:rsidR="00E46E1C" w:rsidRPr="00E46E1C" w:rsidRDefault="00E46E1C" w:rsidP="003E38FD">
      <w:pPr>
        <w:ind w:right="567"/>
        <w:jc w:val="both"/>
        <w:rPr>
          <w:rFonts w:ascii="Bookman Old Style" w:hAnsi="Bookman Old Style" w:cs="Arial"/>
          <w:i/>
          <w:iCs/>
        </w:rPr>
      </w:pPr>
      <w:r w:rsidRPr="00E46E1C">
        <w:rPr>
          <w:rFonts w:ascii="Bookman Old Style" w:hAnsi="Bookman Old Style" w:cs="Arial"/>
          <w:i/>
          <w:iCs/>
        </w:rPr>
        <w:t>1. Definición de nuevas actividades o eslabones en la cadena de prestación del servicio, las cuales estarán sujetas a la regulación vigente.</w:t>
      </w:r>
    </w:p>
    <w:p w14:paraId="4457C879" w14:textId="77777777" w:rsidR="00E46E1C" w:rsidRPr="00E46E1C" w:rsidRDefault="00E46E1C" w:rsidP="003E38FD">
      <w:pPr>
        <w:ind w:right="567"/>
        <w:jc w:val="both"/>
        <w:rPr>
          <w:rFonts w:ascii="Bookman Old Style" w:hAnsi="Bookman Old Style" w:cs="Arial"/>
          <w:i/>
          <w:iCs/>
        </w:rPr>
      </w:pPr>
    </w:p>
    <w:p w14:paraId="76B2A6CA" w14:textId="77777777" w:rsidR="00E46E1C" w:rsidRPr="00E46E1C" w:rsidRDefault="00E46E1C" w:rsidP="003E38FD">
      <w:pPr>
        <w:ind w:right="567"/>
        <w:jc w:val="both"/>
        <w:rPr>
          <w:rFonts w:ascii="Bookman Old Style" w:hAnsi="Bookman Old Style" w:cs="Arial"/>
          <w:i/>
          <w:iCs/>
        </w:rPr>
      </w:pPr>
      <w:r w:rsidRPr="00E46E1C">
        <w:rPr>
          <w:rFonts w:ascii="Bookman Old Style" w:hAnsi="Bookman Old Style" w:cs="Arial"/>
          <w:i/>
          <w:iCs/>
        </w:rPr>
        <w:t>2. Definición de la regulación aplicable a los agentes que desarrollen tales nuevas actividades, los cuales estarán sujetos a la regulación vigente.</w:t>
      </w:r>
    </w:p>
    <w:p w14:paraId="3EB5959C" w14:textId="77777777" w:rsidR="00E46E1C" w:rsidRPr="00E46E1C" w:rsidRDefault="00E46E1C" w:rsidP="003E38FD">
      <w:pPr>
        <w:ind w:right="567"/>
        <w:jc w:val="both"/>
        <w:rPr>
          <w:rFonts w:ascii="Bookman Old Style" w:hAnsi="Bookman Old Style" w:cs="Arial"/>
          <w:i/>
          <w:iCs/>
        </w:rPr>
      </w:pPr>
    </w:p>
    <w:p w14:paraId="57394FD2" w14:textId="77777777" w:rsidR="00E46E1C" w:rsidRPr="00E46E1C" w:rsidRDefault="00E46E1C" w:rsidP="003E38FD">
      <w:pPr>
        <w:ind w:right="567"/>
        <w:jc w:val="both"/>
        <w:rPr>
          <w:rFonts w:ascii="Bookman Old Style" w:hAnsi="Bookman Old Style" w:cs="Arial"/>
          <w:i/>
          <w:iCs/>
        </w:rPr>
      </w:pPr>
      <w:r w:rsidRPr="00E46E1C">
        <w:rPr>
          <w:rFonts w:ascii="Bookman Old Style" w:hAnsi="Bookman Old Style" w:cs="Arial"/>
          <w:i/>
          <w:iCs/>
        </w:rPr>
        <w:t>3. Determinación de la actividad o actividades en que cada agente de la cadena puede participar.</w:t>
      </w:r>
    </w:p>
    <w:p w14:paraId="4CB81670" w14:textId="77777777" w:rsidR="00E46E1C" w:rsidRPr="00E46E1C" w:rsidRDefault="00E46E1C" w:rsidP="003E38FD">
      <w:pPr>
        <w:ind w:right="567"/>
        <w:jc w:val="both"/>
        <w:rPr>
          <w:rFonts w:ascii="Bookman Old Style" w:hAnsi="Bookman Old Style" w:cs="Arial"/>
          <w:i/>
          <w:iCs/>
        </w:rPr>
      </w:pPr>
    </w:p>
    <w:p w14:paraId="4D4196C9" w14:textId="77777777" w:rsidR="00E46E1C" w:rsidRPr="00E46E1C" w:rsidRDefault="00E46E1C" w:rsidP="003E38FD">
      <w:pPr>
        <w:ind w:right="567"/>
        <w:jc w:val="both"/>
        <w:rPr>
          <w:rFonts w:ascii="Bookman Old Style" w:hAnsi="Bookman Old Style" w:cs="Arial"/>
          <w:i/>
          <w:iCs/>
        </w:rPr>
      </w:pPr>
      <w:r w:rsidRPr="00E46E1C">
        <w:rPr>
          <w:rFonts w:ascii="Bookman Old Style" w:hAnsi="Bookman Old Style" w:cs="Arial"/>
          <w:i/>
          <w:iCs/>
        </w:rPr>
        <w:t>4. Definición de las reglas sobre la gobernanza de datos e información que se produzca como resultado del ejercicio de las actividades de los agentes que interactúan en los servicios públicos.</w:t>
      </w:r>
    </w:p>
    <w:p w14:paraId="68427D86" w14:textId="77777777" w:rsidR="00E46E1C" w:rsidRPr="00E46E1C" w:rsidRDefault="00E46E1C" w:rsidP="003E38FD">
      <w:pPr>
        <w:ind w:right="567"/>
        <w:jc w:val="both"/>
        <w:rPr>
          <w:rFonts w:ascii="Bookman Old Style" w:hAnsi="Bookman Old Style" w:cs="Arial"/>
          <w:i/>
          <w:iCs/>
        </w:rPr>
      </w:pPr>
    </w:p>
    <w:p w14:paraId="59D67C15" w14:textId="1251C99F" w:rsidR="00E46E1C" w:rsidRPr="00E46E1C" w:rsidRDefault="00E46E1C" w:rsidP="003E38FD">
      <w:pPr>
        <w:ind w:right="567"/>
        <w:jc w:val="both"/>
        <w:rPr>
          <w:rFonts w:ascii="Bookman Old Style" w:hAnsi="Bookman Old Style" w:cs="Arial"/>
          <w:i/>
          <w:iCs/>
        </w:rPr>
      </w:pPr>
      <w:r w:rsidRPr="00E46E1C">
        <w:rPr>
          <w:rFonts w:ascii="Bookman Old Style" w:hAnsi="Bookman Old Style" w:cs="Arial"/>
          <w:i/>
          <w:iCs/>
        </w:rPr>
        <w:t>5. Optimización de los requerimientos de información y su validación a los agentes de los sectores regulados</w:t>
      </w:r>
      <w:r w:rsidR="00C30875">
        <w:rPr>
          <w:rFonts w:ascii="Bookman Old Style" w:hAnsi="Bookman Old Style" w:cs="Arial"/>
          <w:i/>
          <w:iCs/>
        </w:rPr>
        <w:t>”</w:t>
      </w:r>
      <w:r w:rsidRPr="00E46E1C">
        <w:rPr>
          <w:rFonts w:ascii="Bookman Old Style" w:hAnsi="Bookman Old Style" w:cs="Arial"/>
          <w:i/>
          <w:iCs/>
        </w:rPr>
        <w:t>.</w:t>
      </w:r>
    </w:p>
    <w:p w14:paraId="33D4BC26" w14:textId="77777777" w:rsidR="00E46E1C" w:rsidRDefault="00E46E1C" w:rsidP="00E46E1C">
      <w:pPr>
        <w:ind w:left="0" w:right="51"/>
        <w:jc w:val="both"/>
        <w:rPr>
          <w:rFonts w:ascii="Bookman Old Style" w:hAnsi="Bookman Old Style" w:cs="Arial"/>
        </w:rPr>
      </w:pPr>
    </w:p>
    <w:p w14:paraId="233C8183" w14:textId="77777777" w:rsidR="00727BFB" w:rsidRDefault="00727BFB" w:rsidP="00163E2F">
      <w:pPr>
        <w:ind w:left="0" w:right="51"/>
        <w:jc w:val="both"/>
        <w:rPr>
          <w:rFonts w:ascii="Bookman Old Style" w:hAnsi="Bookman Old Style" w:cs="Arial"/>
        </w:rPr>
      </w:pPr>
      <w:r w:rsidRPr="002656B5">
        <w:rPr>
          <w:rFonts w:ascii="Bookman Old Style" w:hAnsi="Bookman Old Style" w:cs="Arial"/>
        </w:rPr>
        <w:t>Por lo anterior, esta Comisión consideró necesario hacer ajustes en la regulación</w:t>
      </w:r>
      <w:r>
        <w:rPr>
          <w:rFonts w:ascii="Bookman Old Style" w:hAnsi="Bookman Old Style" w:cs="Arial"/>
        </w:rPr>
        <w:t>,</w:t>
      </w:r>
      <w:r w:rsidRPr="002656B5">
        <w:rPr>
          <w:rFonts w:ascii="Bookman Old Style" w:hAnsi="Bookman Old Style" w:cs="Arial"/>
        </w:rPr>
        <w:t xml:space="preserve"> para asegurar que quienes desarrollen las actividades inmersas en la </w:t>
      </w:r>
      <w:r>
        <w:rPr>
          <w:rFonts w:ascii="Bookman Old Style" w:hAnsi="Bookman Old Style" w:cs="Arial"/>
        </w:rPr>
        <w:t>p</w:t>
      </w:r>
      <w:r w:rsidRPr="002656B5">
        <w:rPr>
          <w:rFonts w:ascii="Bookman Old Style" w:hAnsi="Bookman Old Style" w:cs="Arial"/>
        </w:rPr>
        <w:t xml:space="preserve">romoción de los mecanismos </w:t>
      </w:r>
      <w:r>
        <w:rPr>
          <w:rFonts w:ascii="Bookman Old Style" w:hAnsi="Bookman Old Style" w:cs="Arial"/>
        </w:rPr>
        <w:t xml:space="preserve">de comercialización </w:t>
      </w:r>
      <w:r w:rsidRPr="002656B5">
        <w:rPr>
          <w:rFonts w:ascii="Bookman Old Style" w:hAnsi="Bookman Old Style" w:cs="Arial"/>
        </w:rPr>
        <w:t>con base en la Resolución CREG 114 de 2</w:t>
      </w:r>
      <w:r>
        <w:rPr>
          <w:rFonts w:ascii="Bookman Old Style" w:hAnsi="Bookman Old Style" w:cs="Arial"/>
        </w:rPr>
        <w:t>01</w:t>
      </w:r>
      <w:r w:rsidRPr="002656B5">
        <w:rPr>
          <w:rFonts w:ascii="Bookman Old Style" w:hAnsi="Bookman Old Style" w:cs="Arial"/>
        </w:rPr>
        <w:t xml:space="preserve">8, </w:t>
      </w:r>
      <w:r>
        <w:rPr>
          <w:rFonts w:ascii="Bookman Old Style" w:hAnsi="Bookman Old Style" w:cs="Arial"/>
        </w:rPr>
        <w:t xml:space="preserve">estuvieran </w:t>
      </w:r>
      <w:r w:rsidRPr="002656B5">
        <w:rPr>
          <w:rFonts w:ascii="Bookman Old Style" w:hAnsi="Bookman Old Style" w:cs="Arial"/>
        </w:rPr>
        <w:t>sujetos a</w:t>
      </w:r>
      <w:r>
        <w:rPr>
          <w:rFonts w:ascii="Bookman Old Style" w:hAnsi="Bookman Old Style" w:cs="Arial"/>
        </w:rPr>
        <w:t xml:space="preserve"> </w:t>
      </w:r>
      <w:r w:rsidRPr="002656B5">
        <w:rPr>
          <w:rFonts w:ascii="Bookman Old Style" w:hAnsi="Bookman Old Style" w:cs="Arial"/>
        </w:rPr>
        <w:t>l</w:t>
      </w:r>
      <w:r>
        <w:rPr>
          <w:rFonts w:ascii="Bookman Old Style" w:hAnsi="Bookman Old Style" w:cs="Arial"/>
        </w:rPr>
        <w:t>a inspección,</w:t>
      </w:r>
      <w:r w:rsidRPr="002656B5">
        <w:rPr>
          <w:rFonts w:ascii="Bookman Old Style" w:hAnsi="Bookman Old Style" w:cs="Arial"/>
        </w:rPr>
        <w:t xml:space="preserve"> control y vigilancia de la SSPD</w:t>
      </w:r>
      <w:r>
        <w:rPr>
          <w:rFonts w:ascii="Bookman Old Style" w:hAnsi="Bookman Old Style" w:cs="Arial"/>
        </w:rPr>
        <w:t xml:space="preserve">. Para ello, se expidió </w:t>
      </w:r>
      <w:r w:rsidRPr="008A7403">
        <w:rPr>
          <w:rFonts w:ascii="Bookman Old Style" w:hAnsi="Bookman Old Style" w:cs="Arial"/>
        </w:rPr>
        <w:t xml:space="preserve">para consulta pública </w:t>
      </w:r>
      <w:r>
        <w:rPr>
          <w:rFonts w:ascii="Bookman Old Style" w:hAnsi="Bookman Old Style" w:cs="Arial"/>
        </w:rPr>
        <w:t xml:space="preserve">el </w:t>
      </w:r>
      <w:r w:rsidR="00541D69">
        <w:rPr>
          <w:rFonts w:ascii="Bookman Old Style" w:hAnsi="Bookman Old Style" w:cs="Arial"/>
        </w:rPr>
        <w:t>p</w:t>
      </w:r>
      <w:r w:rsidR="008A7403" w:rsidRPr="008A7403">
        <w:rPr>
          <w:rFonts w:ascii="Bookman Old Style" w:hAnsi="Bookman Old Style" w:cs="Arial"/>
        </w:rPr>
        <w:t xml:space="preserve">royecto de Resolución CREG 701-028 de 2022, </w:t>
      </w:r>
      <w:r>
        <w:rPr>
          <w:rFonts w:ascii="Bookman Old Style" w:hAnsi="Bookman Old Style" w:cs="Arial"/>
        </w:rPr>
        <w:t>con</w:t>
      </w:r>
      <w:r w:rsidR="008A7403" w:rsidRPr="008A7403">
        <w:rPr>
          <w:rFonts w:ascii="Bookman Old Style" w:hAnsi="Bookman Old Style" w:cs="Arial"/>
        </w:rPr>
        <w:t xml:space="preserve"> una propuesta regulatoria que busca </w:t>
      </w:r>
      <w:r w:rsidR="00163E2F" w:rsidRPr="00163E2F">
        <w:rPr>
          <w:rFonts w:ascii="Bookman Old Style" w:hAnsi="Bookman Old Style" w:cs="Arial"/>
        </w:rPr>
        <w:t>crear como actividades de la cadena de prestación del servicio público domiciliario de energía eléctrica la administración, la administración de riesgo y la ejecución de mecanismos de comercialización</w:t>
      </w:r>
      <w:r w:rsidR="00163E2F">
        <w:rPr>
          <w:rFonts w:ascii="Bookman Old Style" w:hAnsi="Bookman Old Style" w:cs="Arial"/>
        </w:rPr>
        <w:t xml:space="preserve"> </w:t>
      </w:r>
      <w:r w:rsidR="00163E2F" w:rsidRPr="008A7403">
        <w:rPr>
          <w:rFonts w:ascii="Bookman Old Style" w:hAnsi="Bookman Old Style" w:cs="Arial"/>
        </w:rPr>
        <w:t>de energía eléctrica</w:t>
      </w:r>
      <w:r w:rsidR="00D70DC0">
        <w:rPr>
          <w:rFonts w:ascii="Bookman Old Style" w:hAnsi="Bookman Old Style" w:cs="Arial"/>
        </w:rPr>
        <w:t>,</w:t>
      </w:r>
      <w:r w:rsidR="00163E2F" w:rsidRPr="008A7403">
        <w:rPr>
          <w:rFonts w:ascii="Bookman Old Style" w:hAnsi="Bookman Old Style" w:cs="Arial"/>
        </w:rPr>
        <w:t xml:space="preserve"> que son puestos en consideración de esta Comisión para su respectivo reconocimiento en el </w:t>
      </w:r>
      <w:r w:rsidR="00660398">
        <w:rPr>
          <w:rFonts w:ascii="Bookman Old Style" w:hAnsi="Bookman Old Style" w:cs="Arial"/>
        </w:rPr>
        <w:t>CU</w:t>
      </w:r>
      <w:r w:rsidR="00163E2F" w:rsidRPr="00163E2F">
        <w:rPr>
          <w:rFonts w:ascii="Bookman Old Style" w:hAnsi="Bookman Old Style" w:cs="Arial"/>
        </w:rPr>
        <w:t xml:space="preserve">. </w:t>
      </w:r>
    </w:p>
    <w:p w14:paraId="58B45621" w14:textId="77777777" w:rsidR="00727BFB" w:rsidRDefault="00727BFB" w:rsidP="00163E2F">
      <w:pPr>
        <w:ind w:left="0" w:right="51"/>
        <w:jc w:val="both"/>
        <w:rPr>
          <w:rFonts w:ascii="Bookman Old Style" w:hAnsi="Bookman Old Style" w:cs="Arial"/>
        </w:rPr>
      </w:pPr>
    </w:p>
    <w:p w14:paraId="2A29FDFF" w14:textId="04B4E5FC" w:rsidR="00163E2F" w:rsidRDefault="00163E2F" w:rsidP="00163E2F">
      <w:pPr>
        <w:ind w:left="0" w:right="51"/>
        <w:jc w:val="both"/>
        <w:rPr>
          <w:rFonts w:ascii="Bookman Old Style" w:hAnsi="Bookman Old Style" w:cs="Arial"/>
        </w:rPr>
      </w:pPr>
      <w:r w:rsidRPr="00163E2F">
        <w:rPr>
          <w:rFonts w:ascii="Bookman Old Style" w:hAnsi="Bookman Old Style" w:cs="Arial"/>
        </w:rPr>
        <w:t xml:space="preserve">Asimismo, </w:t>
      </w:r>
      <w:r w:rsidR="00727BFB">
        <w:rPr>
          <w:rFonts w:ascii="Bookman Old Style" w:hAnsi="Bookman Old Style" w:cs="Arial"/>
        </w:rPr>
        <w:t>la propuesta regulatoria</w:t>
      </w:r>
      <w:r w:rsidRPr="00163E2F">
        <w:rPr>
          <w:rFonts w:ascii="Bookman Old Style" w:hAnsi="Bookman Old Style" w:cs="Arial"/>
        </w:rPr>
        <w:t xml:space="preserve"> dispuso que estas actividades quedarían sujetas a las disposiciones contenidas en la Resolución CREG 114 de 2018</w:t>
      </w:r>
      <w:r w:rsidR="00541D69">
        <w:rPr>
          <w:rFonts w:ascii="Bookman Old Style" w:hAnsi="Bookman Old Style" w:cs="Arial"/>
        </w:rPr>
        <w:t xml:space="preserve"> y que </w:t>
      </w:r>
      <w:r w:rsidRPr="00163E2F">
        <w:rPr>
          <w:rFonts w:ascii="Bookman Old Style" w:hAnsi="Bookman Old Style" w:cs="Arial"/>
        </w:rPr>
        <w:t>podr</w:t>
      </w:r>
      <w:r w:rsidR="00660398">
        <w:rPr>
          <w:rFonts w:ascii="Bookman Old Style" w:hAnsi="Bookman Old Style" w:cs="Arial"/>
        </w:rPr>
        <w:t>ía</w:t>
      </w:r>
      <w:r w:rsidRPr="00163E2F">
        <w:rPr>
          <w:rFonts w:ascii="Bookman Old Style" w:hAnsi="Bookman Old Style" w:cs="Arial"/>
        </w:rPr>
        <w:t>n ser desarrolladas por las personas señaladas en el artículo 15 de la Ley 142 de 1994</w:t>
      </w:r>
      <w:r w:rsidR="007B4642">
        <w:rPr>
          <w:rFonts w:ascii="Bookman Old Style" w:hAnsi="Bookman Old Style" w:cs="Arial"/>
        </w:rPr>
        <w:t>.</w:t>
      </w:r>
    </w:p>
    <w:p w14:paraId="28F03C74" w14:textId="77777777" w:rsidR="008A7403" w:rsidRDefault="008A7403" w:rsidP="00E46E1C">
      <w:pPr>
        <w:ind w:left="0" w:right="51"/>
        <w:jc w:val="both"/>
        <w:rPr>
          <w:rFonts w:ascii="Bookman Old Style" w:hAnsi="Bookman Old Style" w:cs="Arial"/>
        </w:rPr>
      </w:pPr>
    </w:p>
    <w:p w14:paraId="6B35815B" w14:textId="6D0EB60A" w:rsidR="00465F3B" w:rsidRDefault="00541D69" w:rsidP="003B28F6">
      <w:pPr>
        <w:ind w:left="0" w:right="51"/>
        <w:jc w:val="both"/>
        <w:rPr>
          <w:rFonts w:ascii="Bookman Old Style" w:hAnsi="Bookman Old Style" w:cs="Arial"/>
        </w:rPr>
      </w:pPr>
      <w:r>
        <w:rPr>
          <w:rFonts w:ascii="Bookman Old Style" w:hAnsi="Bookman Old Style" w:cs="Arial"/>
        </w:rPr>
        <w:t xml:space="preserve">Durante la consulta </w:t>
      </w:r>
      <w:r w:rsidR="00465F3B">
        <w:rPr>
          <w:rFonts w:ascii="Bookman Old Style" w:hAnsi="Bookman Old Style" w:cs="Arial"/>
        </w:rPr>
        <w:t>se recibieron comentarios</w:t>
      </w:r>
      <w:r w:rsidR="00F76E13">
        <w:rPr>
          <w:rFonts w:ascii="Bookman Old Style" w:hAnsi="Bookman Old Style" w:cs="Arial"/>
        </w:rPr>
        <w:t xml:space="preserve"> </w:t>
      </w:r>
      <w:r w:rsidR="001E3D83">
        <w:rPr>
          <w:rFonts w:ascii="Bookman Old Style" w:hAnsi="Bookman Old Style" w:cs="Arial"/>
        </w:rPr>
        <w:t>por parte de</w:t>
      </w:r>
      <w:r w:rsidR="00717AF9">
        <w:rPr>
          <w:rFonts w:ascii="Bookman Old Style" w:hAnsi="Bookman Old Style" w:cs="Arial"/>
        </w:rPr>
        <w:t xml:space="preserve"> </w:t>
      </w:r>
      <w:proofErr w:type="spellStart"/>
      <w:r w:rsidR="003B28F6" w:rsidRPr="003B28F6">
        <w:rPr>
          <w:rFonts w:ascii="Bookman Old Style" w:hAnsi="Bookman Old Style" w:cs="Arial"/>
        </w:rPr>
        <w:t>Acolgen</w:t>
      </w:r>
      <w:proofErr w:type="spellEnd"/>
      <w:r w:rsidR="003B28F6">
        <w:rPr>
          <w:rFonts w:ascii="Bookman Old Style" w:hAnsi="Bookman Old Style" w:cs="Arial"/>
        </w:rPr>
        <w:t xml:space="preserve">, </w:t>
      </w:r>
      <w:proofErr w:type="spellStart"/>
      <w:r w:rsidR="003B28F6" w:rsidRPr="003B28F6">
        <w:rPr>
          <w:rFonts w:ascii="Bookman Old Style" w:hAnsi="Bookman Old Style" w:cs="Arial"/>
        </w:rPr>
        <w:t>Andesco</w:t>
      </w:r>
      <w:proofErr w:type="spellEnd"/>
      <w:r w:rsidR="003B28F6">
        <w:rPr>
          <w:rFonts w:ascii="Bookman Old Style" w:hAnsi="Bookman Old Style" w:cs="Arial"/>
        </w:rPr>
        <w:t xml:space="preserve">, </w:t>
      </w:r>
      <w:r w:rsidR="003B28F6" w:rsidRPr="003B28F6">
        <w:rPr>
          <w:rFonts w:ascii="Bookman Old Style" w:hAnsi="Bookman Old Style" w:cs="Arial"/>
        </w:rPr>
        <w:t>Atlántica</w:t>
      </w:r>
      <w:r w:rsidR="003B28F6">
        <w:rPr>
          <w:rFonts w:ascii="Bookman Old Style" w:hAnsi="Bookman Old Style" w:cs="Arial"/>
        </w:rPr>
        <w:t xml:space="preserve">, </w:t>
      </w:r>
      <w:r w:rsidR="003B28F6" w:rsidRPr="003B28F6">
        <w:rPr>
          <w:rFonts w:ascii="Bookman Old Style" w:hAnsi="Bookman Old Style" w:cs="Arial"/>
        </w:rPr>
        <w:t>BMC</w:t>
      </w:r>
      <w:r w:rsidR="003B28F6">
        <w:rPr>
          <w:rFonts w:ascii="Bookman Old Style" w:hAnsi="Bookman Old Style" w:cs="Arial"/>
        </w:rPr>
        <w:t xml:space="preserve">, </w:t>
      </w:r>
      <w:r w:rsidR="003B28F6" w:rsidRPr="003B28F6">
        <w:rPr>
          <w:rFonts w:ascii="Bookman Old Style" w:hAnsi="Bookman Old Style" w:cs="Arial"/>
        </w:rPr>
        <w:t>Celsia</w:t>
      </w:r>
      <w:r w:rsidR="003B28F6">
        <w:rPr>
          <w:rFonts w:ascii="Bookman Old Style" w:hAnsi="Bookman Old Style" w:cs="Arial"/>
        </w:rPr>
        <w:t xml:space="preserve">, </w:t>
      </w:r>
      <w:r w:rsidR="003B28F6" w:rsidRPr="003B28F6">
        <w:rPr>
          <w:rFonts w:ascii="Bookman Old Style" w:hAnsi="Bookman Old Style" w:cs="Arial"/>
        </w:rPr>
        <w:t>Consultoría Regulatoria</w:t>
      </w:r>
      <w:r w:rsidR="003B28F6">
        <w:rPr>
          <w:rFonts w:ascii="Bookman Old Style" w:hAnsi="Bookman Old Style" w:cs="Arial"/>
        </w:rPr>
        <w:t xml:space="preserve">, Empresa de Energía de Pereira, </w:t>
      </w:r>
      <w:proofErr w:type="spellStart"/>
      <w:r w:rsidR="003B28F6" w:rsidRPr="003B28F6">
        <w:rPr>
          <w:rFonts w:ascii="Bookman Old Style" w:hAnsi="Bookman Old Style" w:cs="Arial"/>
        </w:rPr>
        <w:t>Enel</w:t>
      </w:r>
      <w:proofErr w:type="spellEnd"/>
      <w:r w:rsidR="003B28F6">
        <w:rPr>
          <w:rFonts w:ascii="Bookman Old Style" w:hAnsi="Bookman Old Style" w:cs="Arial"/>
        </w:rPr>
        <w:t xml:space="preserve">, </w:t>
      </w:r>
      <w:r w:rsidR="003B28F6" w:rsidRPr="003B28F6">
        <w:rPr>
          <w:rFonts w:ascii="Bookman Old Style" w:hAnsi="Bookman Old Style" w:cs="Arial"/>
        </w:rPr>
        <w:t>EPM</w:t>
      </w:r>
      <w:r w:rsidR="003B28F6">
        <w:rPr>
          <w:rFonts w:ascii="Bookman Old Style" w:hAnsi="Bookman Old Style" w:cs="Arial"/>
        </w:rPr>
        <w:t xml:space="preserve">, </w:t>
      </w:r>
      <w:proofErr w:type="spellStart"/>
      <w:r w:rsidR="003B28F6" w:rsidRPr="003B28F6">
        <w:rPr>
          <w:rFonts w:ascii="Bookman Old Style" w:hAnsi="Bookman Old Style" w:cs="Arial"/>
        </w:rPr>
        <w:t>Gecelca</w:t>
      </w:r>
      <w:proofErr w:type="spellEnd"/>
      <w:r w:rsidR="003B28F6">
        <w:rPr>
          <w:rFonts w:ascii="Bookman Old Style" w:hAnsi="Bookman Old Style" w:cs="Arial"/>
        </w:rPr>
        <w:t xml:space="preserve">, SER, </w:t>
      </w:r>
      <w:r w:rsidR="003B28F6" w:rsidRPr="003B28F6">
        <w:rPr>
          <w:rFonts w:ascii="Bookman Old Style" w:hAnsi="Bookman Old Style" w:cs="Arial"/>
        </w:rPr>
        <w:t>South 32</w:t>
      </w:r>
      <w:r w:rsidR="00C8028A">
        <w:rPr>
          <w:rFonts w:ascii="Bookman Old Style" w:hAnsi="Bookman Old Style" w:cs="Arial"/>
        </w:rPr>
        <w:t xml:space="preserve"> </w:t>
      </w:r>
      <w:r w:rsidR="003B28F6" w:rsidRPr="003B28F6">
        <w:rPr>
          <w:rFonts w:ascii="Bookman Old Style" w:hAnsi="Bookman Old Style" w:cs="Arial"/>
        </w:rPr>
        <w:t>Optima</w:t>
      </w:r>
      <w:r w:rsidR="00C8028A">
        <w:rPr>
          <w:rFonts w:ascii="Bookman Old Style" w:hAnsi="Bookman Old Style" w:cs="Arial"/>
        </w:rPr>
        <w:t xml:space="preserve">, </w:t>
      </w:r>
      <w:proofErr w:type="spellStart"/>
      <w:r w:rsidR="003B28F6" w:rsidRPr="003B28F6">
        <w:rPr>
          <w:rFonts w:ascii="Bookman Old Style" w:hAnsi="Bookman Old Style" w:cs="Arial"/>
        </w:rPr>
        <w:t>Vatia</w:t>
      </w:r>
      <w:proofErr w:type="spellEnd"/>
      <w:r w:rsidR="00C8028A">
        <w:rPr>
          <w:rFonts w:ascii="Bookman Old Style" w:hAnsi="Bookman Old Style" w:cs="Arial"/>
        </w:rPr>
        <w:t xml:space="preserve">, </w:t>
      </w:r>
      <w:r w:rsidR="003B28F6" w:rsidRPr="003B28F6">
        <w:rPr>
          <w:rFonts w:ascii="Bookman Old Style" w:hAnsi="Bookman Old Style" w:cs="Arial"/>
        </w:rPr>
        <w:t>XM</w:t>
      </w:r>
      <w:r w:rsidR="00C8028A">
        <w:rPr>
          <w:rFonts w:ascii="Bookman Old Style" w:hAnsi="Bookman Old Style" w:cs="Arial"/>
        </w:rPr>
        <w:t xml:space="preserve"> y </w:t>
      </w:r>
      <w:proofErr w:type="spellStart"/>
      <w:r w:rsidR="00C8028A">
        <w:rPr>
          <w:rFonts w:ascii="Bookman Old Style" w:hAnsi="Bookman Old Style" w:cs="Arial"/>
        </w:rPr>
        <w:t>Derivex</w:t>
      </w:r>
      <w:proofErr w:type="spellEnd"/>
      <w:r w:rsidR="00C8028A">
        <w:rPr>
          <w:rFonts w:ascii="Bookman Old Style" w:hAnsi="Bookman Old Style" w:cs="Arial"/>
        </w:rPr>
        <w:t>-CRCC.</w:t>
      </w:r>
    </w:p>
    <w:p w14:paraId="38227701" w14:textId="77777777" w:rsidR="00E8063D" w:rsidRDefault="00E8063D" w:rsidP="00E46E1C">
      <w:pPr>
        <w:ind w:left="0" w:right="51"/>
        <w:jc w:val="both"/>
        <w:rPr>
          <w:rFonts w:ascii="Bookman Old Style" w:hAnsi="Bookman Old Style" w:cs="Arial"/>
        </w:rPr>
      </w:pPr>
    </w:p>
    <w:p w14:paraId="0325DF03" w14:textId="6A752859" w:rsidR="00541D69" w:rsidRPr="002656B5" w:rsidRDefault="007D68DF" w:rsidP="00D30ACF">
      <w:pPr>
        <w:ind w:left="0"/>
        <w:jc w:val="both"/>
        <w:rPr>
          <w:rFonts w:ascii="Bookman Old Style" w:hAnsi="Bookman Old Style" w:cs="Arial"/>
        </w:rPr>
      </w:pPr>
      <w:r>
        <w:rPr>
          <w:rFonts w:ascii="Bookman Old Style" w:hAnsi="Bookman Old Style"/>
        </w:rPr>
        <w:t xml:space="preserve">De acuerdo con el análisis realizado por esta Comisión sobre los comentarios recibidos, se encontró necesario hacer ajustes </w:t>
      </w:r>
      <w:r w:rsidR="00B74615">
        <w:rPr>
          <w:rFonts w:ascii="Bookman Old Style" w:hAnsi="Bookman Old Style"/>
        </w:rPr>
        <w:t>de fondo sobre la propuesta regulatoria presentada</w:t>
      </w:r>
      <w:r w:rsidR="00541D69">
        <w:rPr>
          <w:rFonts w:ascii="Bookman Old Style" w:hAnsi="Bookman Old Style"/>
        </w:rPr>
        <w:t xml:space="preserve"> para circunscribir la creación de las nuevas actividades a aquellas asociadas a l</w:t>
      </w:r>
      <w:r w:rsidR="00541D69" w:rsidRPr="002656B5">
        <w:rPr>
          <w:rFonts w:ascii="Bookman Old Style" w:hAnsi="Bookman Old Style" w:cs="Arial"/>
        </w:rPr>
        <w:t xml:space="preserve">a </w:t>
      </w:r>
      <w:r w:rsidR="00541D69">
        <w:rPr>
          <w:rFonts w:ascii="Bookman Old Style" w:hAnsi="Bookman Old Style" w:cs="Arial"/>
        </w:rPr>
        <w:t>p</w:t>
      </w:r>
      <w:r w:rsidR="00541D69" w:rsidRPr="002656B5">
        <w:rPr>
          <w:rFonts w:ascii="Bookman Old Style" w:hAnsi="Bookman Old Style" w:cs="Arial"/>
        </w:rPr>
        <w:t xml:space="preserve">romoción de los mecanismos </w:t>
      </w:r>
      <w:r w:rsidR="00541D69">
        <w:rPr>
          <w:rFonts w:ascii="Bookman Old Style" w:hAnsi="Bookman Old Style" w:cs="Arial"/>
        </w:rPr>
        <w:t xml:space="preserve">de que trata </w:t>
      </w:r>
      <w:r w:rsidR="00541D69" w:rsidRPr="002656B5">
        <w:rPr>
          <w:rFonts w:ascii="Bookman Old Style" w:hAnsi="Bookman Old Style" w:cs="Arial"/>
        </w:rPr>
        <w:t>la Resolución CREG 114 de 20</w:t>
      </w:r>
      <w:r w:rsidR="00541D69">
        <w:rPr>
          <w:rFonts w:ascii="Bookman Old Style" w:hAnsi="Bookman Old Style" w:cs="Arial"/>
        </w:rPr>
        <w:t>1</w:t>
      </w:r>
      <w:r w:rsidR="00541D69" w:rsidRPr="002656B5">
        <w:rPr>
          <w:rFonts w:ascii="Bookman Old Style" w:hAnsi="Bookman Old Style" w:cs="Arial"/>
        </w:rPr>
        <w:t>8</w:t>
      </w:r>
      <w:r w:rsidR="00A554FC">
        <w:rPr>
          <w:rFonts w:ascii="Bookman Old Style" w:hAnsi="Bookman Old Style" w:cs="Arial"/>
        </w:rPr>
        <w:t>,</w:t>
      </w:r>
      <w:r w:rsidR="00541D69">
        <w:rPr>
          <w:rFonts w:ascii="Bookman Old Style" w:hAnsi="Bookman Old Style" w:cs="Arial"/>
        </w:rPr>
        <w:t xml:space="preserve"> siempre que estos den lugar a la celebración de contratos de compra de energía </w:t>
      </w:r>
      <w:r w:rsidR="00C94A1A">
        <w:rPr>
          <w:rFonts w:ascii="Bookman Old Style" w:hAnsi="Bookman Old Style" w:cs="Arial"/>
        </w:rPr>
        <w:t xml:space="preserve">y </w:t>
      </w:r>
      <w:r w:rsidR="00541D69">
        <w:rPr>
          <w:rFonts w:ascii="Bookman Old Style" w:hAnsi="Bookman Old Style" w:cs="Arial"/>
        </w:rPr>
        <w:t>se registren y liquiden en el Mercado de Energía Mayorista</w:t>
      </w:r>
      <w:r w:rsidR="00727BFB">
        <w:rPr>
          <w:rFonts w:ascii="Bookman Old Style" w:hAnsi="Bookman Old Style" w:cs="Arial"/>
        </w:rPr>
        <w:t>.</w:t>
      </w:r>
      <w:r w:rsidR="00A554FC">
        <w:rPr>
          <w:rFonts w:ascii="Bookman Old Style" w:hAnsi="Bookman Old Style" w:cs="Arial"/>
        </w:rPr>
        <w:t xml:space="preserve"> </w:t>
      </w:r>
      <w:r w:rsidR="00727BFB" w:rsidRPr="00727BFB">
        <w:rPr>
          <w:rFonts w:ascii="Bookman Old Style" w:hAnsi="Bookman Old Style" w:cs="Arial"/>
        </w:rPr>
        <w:t>Bajo estas circunstancias, las nuevas actividades</w:t>
      </w:r>
      <w:r w:rsidR="00A554FC">
        <w:rPr>
          <w:rFonts w:ascii="Bookman Old Style" w:hAnsi="Bookman Old Style" w:cs="Arial"/>
        </w:rPr>
        <w:t xml:space="preserve"> </w:t>
      </w:r>
      <w:r w:rsidR="00727BFB">
        <w:rPr>
          <w:rFonts w:ascii="Bookman Old Style" w:hAnsi="Bookman Old Style" w:cs="Arial"/>
        </w:rPr>
        <w:t>quedan</w:t>
      </w:r>
      <w:r w:rsidR="00A554FC">
        <w:rPr>
          <w:rFonts w:ascii="Bookman Old Style" w:hAnsi="Bookman Old Style" w:cs="Arial"/>
        </w:rPr>
        <w:t xml:space="preserve"> </w:t>
      </w:r>
      <w:r w:rsidR="00541D69" w:rsidRPr="002656B5">
        <w:rPr>
          <w:rFonts w:ascii="Bookman Old Style" w:hAnsi="Bookman Old Style" w:cs="Arial"/>
        </w:rPr>
        <w:t>sujet</w:t>
      </w:r>
      <w:r w:rsidR="00A554FC">
        <w:rPr>
          <w:rFonts w:ascii="Bookman Old Style" w:hAnsi="Bookman Old Style" w:cs="Arial"/>
        </w:rPr>
        <w:t>a</w:t>
      </w:r>
      <w:r w:rsidR="00541D69" w:rsidRPr="002656B5">
        <w:rPr>
          <w:rFonts w:ascii="Bookman Old Style" w:hAnsi="Bookman Old Style" w:cs="Arial"/>
        </w:rPr>
        <w:t>s</w:t>
      </w:r>
      <w:r w:rsidR="00727BFB">
        <w:rPr>
          <w:rFonts w:ascii="Bookman Old Style" w:hAnsi="Bookman Old Style" w:cs="Arial"/>
        </w:rPr>
        <w:t xml:space="preserve"> a la inspección,</w:t>
      </w:r>
      <w:r w:rsidR="00541D69" w:rsidRPr="002656B5">
        <w:rPr>
          <w:rFonts w:ascii="Bookman Old Style" w:hAnsi="Bookman Old Style" w:cs="Arial"/>
        </w:rPr>
        <w:t xml:space="preserve"> control y vigilancia de la SSPD</w:t>
      </w:r>
      <w:r w:rsidR="001350D9">
        <w:rPr>
          <w:rFonts w:ascii="Bookman Old Style" w:hAnsi="Bookman Old Style" w:cs="Arial"/>
        </w:rPr>
        <w:t>,</w:t>
      </w:r>
      <w:r w:rsidR="00A554FC">
        <w:rPr>
          <w:rFonts w:ascii="Bookman Old Style" w:hAnsi="Bookman Old Style" w:cs="Arial"/>
        </w:rPr>
        <w:t xml:space="preserve"> por su incidencia en la prestación del servicio de energía.</w:t>
      </w:r>
    </w:p>
    <w:p w14:paraId="7BA7414B" w14:textId="77777777" w:rsidR="00541D69" w:rsidRDefault="00541D69" w:rsidP="00045D3D">
      <w:pPr>
        <w:ind w:left="0"/>
        <w:jc w:val="both"/>
        <w:rPr>
          <w:rFonts w:ascii="Bookman Old Style" w:hAnsi="Bookman Old Style"/>
        </w:rPr>
      </w:pPr>
    </w:p>
    <w:p w14:paraId="01E4CCAF" w14:textId="77777777" w:rsidR="00541D69" w:rsidRDefault="00541D69" w:rsidP="00045D3D">
      <w:pPr>
        <w:ind w:left="0"/>
        <w:jc w:val="both"/>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40EFC463" w14:textId="25269D5F"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 xml:space="preserve">R E S U E L V </w:t>
      </w:r>
      <w:proofErr w:type="gramStart"/>
      <w:r w:rsidRPr="00C435C3">
        <w:rPr>
          <w:rFonts w:ascii="Bookman Old Style" w:hAnsi="Bookman Old Style"/>
          <w:b/>
          <w:spacing w:val="-3"/>
        </w:rPr>
        <w:t>E</w:t>
      </w:r>
      <w:r w:rsidR="00F564DB">
        <w:rPr>
          <w:rFonts w:ascii="Bookman Old Style" w:hAnsi="Bookman Old Style"/>
          <w:b/>
          <w:spacing w:val="-3"/>
        </w:rPr>
        <w:t xml:space="preserve"> </w:t>
      </w:r>
      <w:r w:rsidRPr="00C435C3">
        <w:rPr>
          <w:rFonts w:ascii="Bookman Old Style" w:hAnsi="Bookman Old Style"/>
          <w:b/>
          <w:spacing w:val="-3"/>
        </w:rPr>
        <w:t>:</w:t>
      </w:r>
      <w:proofErr w:type="gramEnd"/>
    </w:p>
    <w:p w14:paraId="494DDFC2" w14:textId="77777777" w:rsidR="00045D3D" w:rsidRDefault="00045D3D" w:rsidP="00045D3D">
      <w:pPr>
        <w:jc w:val="center"/>
        <w:rPr>
          <w:rFonts w:ascii="Bookman Old Style" w:hAnsi="Bookman Old Style"/>
        </w:rPr>
      </w:pPr>
    </w:p>
    <w:p w14:paraId="4B8DEE7E" w14:textId="0656B81A" w:rsidR="00045D3D" w:rsidRDefault="00045D3D" w:rsidP="00DF3CA2">
      <w:pPr>
        <w:ind w:left="0"/>
        <w:jc w:val="both"/>
        <w:rPr>
          <w:rFonts w:ascii="Bookman Old Style" w:hAnsi="Bookman Old Style" w:cs="Arial"/>
          <w:bCs/>
        </w:rPr>
      </w:pPr>
      <w:r w:rsidRPr="002A782A">
        <w:rPr>
          <w:rFonts w:ascii="Bookman Old Style" w:hAnsi="Bookman Old Style"/>
          <w:b/>
        </w:rPr>
        <w:t xml:space="preserve">ARTÍCULO 1. </w:t>
      </w:r>
      <w:r w:rsidR="00E46E1C" w:rsidRPr="00D30ACF">
        <w:rPr>
          <w:rFonts w:ascii="Bookman Old Style" w:hAnsi="Bookman Old Style" w:cs="Arial"/>
          <w:b/>
          <w:bCs/>
        </w:rPr>
        <w:t>Definiciones.</w:t>
      </w:r>
      <w:r w:rsidR="00E46E1C" w:rsidRPr="00B70D58">
        <w:rPr>
          <w:rFonts w:ascii="Bookman Old Style" w:hAnsi="Bookman Old Style" w:cs="Arial"/>
        </w:rPr>
        <w:t xml:space="preserve"> </w:t>
      </w:r>
      <w:r w:rsidR="00E46E1C" w:rsidRPr="00B70D58">
        <w:rPr>
          <w:rFonts w:ascii="Bookman Old Style" w:hAnsi="Bookman Old Style" w:cs="Arial"/>
          <w:bCs/>
        </w:rPr>
        <w:t>Para efectos de la presente resolución se tendrán en cuenta las siguientes definiciones:</w:t>
      </w:r>
    </w:p>
    <w:p w14:paraId="10C3537D" w14:textId="77777777" w:rsidR="00E46E1C" w:rsidRDefault="00E46E1C" w:rsidP="00DF3CA2">
      <w:pPr>
        <w:ind w:left="0"/>
        <w:jc w:val="both"/>
        <w:rPr>
          <w:rFonts w:ascii="Bookman Old Style" w:hAnsi="Bookman Old Style" w:cs="Arial"/>
          <w:bCs/>
        </w:rPr>
      </w:pPr>
    </w:p>
    <w:p w14:paraId="73C42D65" w14:textId="1AF6407E" w:rsidR="00E46E1C" w:rsidRDefault="00E46E1C" w:rsidP="00756307">
      <w:pPr>
        <w:pStyle w:val="Ttulo1"/>
        <w:numPr>
          <w:ilvl w:val="1"/>
          <w:numId w:val="23"/>
        </w:numPr>
        <w:ind w:left="709" w:hanging="709"/>
        <w:jc w:val="both"/>
        <w:rPr>
          <w:rFonts w:ascii="Bookman Old Style" w:hAnsi="Bookman Old Style" w:cs="Arial"/>
          <w:b w:val="0"/>
          <w:bCs/>
        </w:rPr>
      </w:pPr>
      <w:r w:rsidRPr="00711E32">
        <w:rPr>
          <w:rFonts w:ascii="Bookman Old Style" w:hAnsi="Bookman Old Style" w:cs="Arial"/>
          <w:b w:val="0"/>
          <w:bCs/>
        </w:rPr>
        <w:t>Administración de mecanismos de comercialización: Actividad desarrollada por un Administrador, según lo definido en el artículo 2 de la Resolución CREG 114 de 2018.</w:t>
      </w:r>
    </w:p>
    <w:p w14:paraId="480E81AA" w14:textId="77777777" w:rsidR="00E46E1C" w:rsidRPr="00711E32" w:rsidRDefault="00E46E1C" w:rsidP="00756307">
      <w:pPr>
        <w:pStyle w:val="Ttulo1"/>
        <w:ind w:left="709" w:hanging="709"/>
        <w:jc w:val="both"/>
        <w:rPr>
          <w:rFonts w:ascii="Bookman Old Style" w:hAnsi="Bookman Old Style" w:cs="Arial"/>
          <w:b w:val="0"/>
          <w:bCs/>
        </w:rPr>
      </w:pPr>
    </w:p>
    <w:p w14:paraId="6F9127E7" w14:textId="77777777" w:rsidR="00E46E1C" w:rsidRPr="00711E32" w:rsidRDefault="00E46E1C" w:rsidP="00756307">
      <w:pPr>
        <w:pStyle w:val="Ttulo1"/>
        <w:numPr>
          <w:ilvl w:val="1"/>
          <w:numId w:val="23"/>
        </w:numPr>
        <w:ind w:left="709" w:hanging="709"/>
        <w:jc w:val="both"/>
        <w:rPr>
          <w:rFonts w:ascii="Bookman Old Style" w:hAnsi="Bookman Old Style" w:cs="Arial"/>
          <w:b w:val="0"/>
          <w:bCs/>
        </w:rPr>
      </w:pPr>
      <w:r w:rsidRPr="00711E32">
        <w:rPr>
          <w:rFonts w:ascii="Bookman Old Style" w:hAnsi="Bookman Old Style" w:cs="Arial"/>
          <w:b w:val="0"/>
          <w:bCs/>
        </w:rPr>
        <w:t>Administración de riesgo en mecanismos de comercialización: Actividad desarrollada por un Administrador de Riesgo, según lo definido en el artículo 2 de la Resolución CREG 114 de 2018.</w:t>
      </w:r>
    </w:p>
    <w:p w14:paraId="2EB4BE42" w14:textId="77777777" w:rsidR="00E46E1C" w:rsidRPr="00711E32" w:rsidRDefault="00E46E1C" w:rsidP="00756307">
      <w:pPr>
        <w:pStyle w:val="Ttulo1"/>
        <w:ind w:left="709" w:hanging="709"/>
        <w:jc w:val="both"/>
        <w:rPr>
          <w:rFonts w:ascii="Bookman Old Style" w:hAnsi="Bookman Old Style" w:cs="Arial"/>
          <w:b w:val="0"/>
          <w:bCs/>
        </w:rPr>
      </w:pPr>
    </w:p>
    <w:p w14:paraId="66F3AED5" w14:textId="77777777" w:rsidR="00E46E1C" w:rsidRPr="00B70D58" w:rsidRDefault="00E46E1C" w:rsidP="00756307">
      <w:pPr>
        <w:pStyle w:val="Ttulo1"/>
        <w:numPr>
          <w:ilvl w:val="1"/>
          <w:numId w:val="23"/>
        </w:numPr>
        <w:ind w:left="709" w:hanging="709"/>
        <w:jc w:val="both"/>
        <w:rPr>
          <w:rFonts w:ascii="Bookman Old Style" w:hAnsi="Bookman Old Style" w:cs="Arial"/>
          <w:b w:val="0"/>
          <w:bCs/>
        </w:rPr>
      </w:pPr>
      <w:r w:rsidRPr="00711E32">
        <w:rPr>
          <w:rFonts w:ascii="Bookman Old Style" w:hAnsi="Bookman Old Style" w:cs="Arial"/>
          <w:b w:val="0"/>
          <w:bCs/>
        </w:rPr>
        <w:t>Ejecución de mecanismos de comercialización: Actividad consistente en el</w:t>
      </w:r>
      <w:r w:rsidRPr="00B70D58">
        <w:rPr>
          <w:rFonts w:ascii="Bookman Old Style" w:hAnsi="Bookman Old Style" w:cs="Arial"/>
          <w:b w:val="0"/>
          <w:bCs/>
        </w:rPr>
        <w:t xml:space="preserve"> desarrollo de acciones mediante las cuales se implementa el mecanismo de comercialización por parte de un Promotor, según lo definido en el artículo 2 de la Resolución CREG 114 de 2018.</w:t>
      </w:r>
    </w:p>
    <w:p w14:paraId="1F032986" w14:textId="77777777" w:rsidR="00045D3D" w:rsidRPr="00C435C3" w:rsidRDefault="00045D3D" w:rsidP="00045D3D">
      <w:pPr>
        <w:rPr>
          <w:rFonts w:ascii="Bookman Old Style" w:hAnsi="Bookman Old Style"/>
        </w:rPr>
      </w:pPr>
    </w:p>
    <w:p w14:paraId="196FFB50" w14:textId="3CDC6A20" w:rsidR="00E46E1C" w:rsidRPr="009E1AF8" w:rsidRDefault="00045D3D" w:rsidP="00DF3CA2">
      <w:pPr>
        <w:ind w:left="0"/>
        <w:jc w:val="both"/>
        <w:rPr>
          <w:rFonts w:ascii="Bookman Old Style" w:hAnsi="Bookman Old Style" w:cs="Arial"/>
          <w:bCs/>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w:t>
      </w:r>
      <w:r w:rsidR="00E46E1C">
        <w:rPr>
          <w:rFonts w:ascii="Bookman Old Style" w:hAnsi="Bookman Old Style"/>
          <w:b/>
        </w:rPr>
        <w:t xml:space="preserve"> </w:t>
      </w:r>
      <w:r w:rsidR="00B537D4">
        <w:rPr>
          <w:rFonts w:ascii="Bookman Old Style" w:hAnsi="Bookman Old Style" w:cs="Arial"/>
          <w:b/>
          <w:bCs/>
        </w:rPr>
        <w:t>A</w:t>
      </w:r>
      <w:r w:rsidR="00E46E1C" w:rsidRPr="00E46E1C">
        <w:rPr>
          <w:rFonts w:ascii="Bookman Old Style" w:hAnsi="Bookman Old Style" w:cs="Arial"/>
          <w:b/>
          <w:bCs/>
        </w:rPr>
        <w:t>ctividades asociadas a mecanismos de comercialización</w:t>
      </w:r>
      <w:r w:rsidR="00804531">
        <w:rPr>
          <w:rFonts w:ascii="Bookman Old Style" w:hAnsi="Bookman Old Style" w:cs="Arial"/>
          <w:b/>
          <w:bCs/>
        </w:rPr>
        <w:t xml:space="preserve"> de la Resolución CREG 114 de 201</w:t>
      </w:r>
      <w:r w:rsidR="005147FF">
        <w:rPr>
          <w:rFonts w:ascii="Bookman Old Style" w:hAnsi="Bookman Old Style" w:cs="Arial"/>
          <w:b/>
          <w:bCs/>
        </w:rPr>
        <w:t>8</w:t>
      </w:r>
      <w:r w:rsidR="00E46E1C" w:rsidRPr="00E46E1C">
        <w:rPr>
          <w:rFonts w:ascii="Bookman Old Style" w:hAnsi="Bookman Old Style" w:cs="Arial"/>
          <w:b/>
          <w:bCs/>
        </w:rPr>
        <w:t>.</w:t>
      </w:r>
      <w:r w:rsidR="00E46E1C" w:rsidRPr="0050398E">
        <w:rPr>
          <w:rFonts w:ascii="Bookman Old Style" w:hAnsi="Bookman Old Style" w:cs="Arial"/>
        </w:rPr>
        <w:t xml:space="preserve"> </w:t>
      </w:r>
      <w:r w:rsidR="004C5537">
        <w:rPr>
          <w:rFonts w:ascii="Bookman Old Style" w:hAnsi="Bookman Old Style" w:cs="Arial"/>
          <w:bCs/>
        </w:rPr>
        <w:t>Se definen</w:t>
      </w:r>
      <w:r w:rsidR="00E46E1C" w:rsidRPr="0050398E">
        <w:rPr>
          <w:rFonts w:ascii="Bookman Old Style" w:hAnsi="Bookman Old Style" w:cs="Arial"/>
          <w:bCs/>
        </w:rPr>
        <w:t xml:space="preserve"> como actividades de la cadena de prestación del servicio público domiciliario de energía eléctrica, la </w:t>
      </w:r>
      <w:r w:rsidR="00E46E1C">
        <w:rPr>
          <w:rFonts w:ascii="Bookman Old Style" w:hAnsi="Bookman Old Style" w:cs="Arial"/>
          <w:bCs/>
        </w:rPr>
        <w:t>A</w:t>
      </w:r>
      <w:r w:rsidR="00E46E1C" w:rsidRPr="0050398E">
        <w:rPr>
          <w:rFonts w:ascii="Bookman Old Style" w:hAnsi="Bookman Old Style" w:cs="Arial"/>
          <w:bCs/>
        </w:rPr>
        <w:t xml:space="preserve">dministración, la </w:t>
      </w:r>
      <w:r w:rsidR="00E46E1C">
        <w:rPr>
          <w:rFonts w:ascii="Bookman Old Style" w:hAnsi="Bookman Old Style" w:cs="Arial"/>
          <w:bCs/>
        </w:rPr>
        <w:t>A</w:t>
      </w:r>
      <w:r w:rsidR="00E46E1C" w:rsidRPr="0050398E">
        <w:rPr>
          <w:rFonts w:ascii="Bookman Old Style" w:hAnsi="Bookman Old Style" w:cs="Arial"/>
          <w:bCs/>
        </w:rPr>
        <w:t xml:space="preserve">dministración de </w:t>
      </w:r>
      <w:r w:rsidR="00E46E1C">
        <w:rPr>
          <w:rFonts w:ascii="Bookman Old Style" w:hAnsi="Bookman Old Style" w:cs="Arial"/>
          <w:bCs/>
        </w:rPr>
        <w:t>R</w:t>
      </w:r>
      <w:r w:rsidR="00E46E1C" w:rsidRPr="0050398E">
        <w:rPr>
          <w:rFonts w:ascii="Bookman Old Style" w:hAnsi="Bookman Old Style" w:cs="Arial"/>
          <w:bCs/>
        </w:rPr>
        <w:t xml:space="preserve">iesgo y la </w:t>
      </w:r>
      <w:r w:rsidR="00E46E1C">
        <w:rPr>
          <w:rFonts w:ascii="Bookman Old Style" w:hAnsi="Bookman Old Style" w:cs="Arial"/>
          <w:bCs/>
        </w:rPr>
        <w:t>E</w:t>
      </w:r>
      <w:r w:rsidR="00E46E1C" w:rsidRPr="0050398E">
        <w:rPr>
          <w:rFonts w:ascii="Bookman Old Style" w:hAnsi="Bookman Old Style" w:cs="Arial"/>
          <w:bCs/>
        </w:rPr>
        <w:t xml:space="preserve">jecución de mecanismos de </w:t>
      </w:r>
      <w:r w:rsidR="00E46E1C" w:rsidRPr="009E1AF8">
        <w:rPr>
          <w:rFonts w:ascii="Bookman Old Style" w:hAnsi="Bookman Old Style" w:cs="Arial"/>
          <w:bCs/>
        </w:rPr>
        <w:t>comercialización</w:t>
      </w:r>
      <w:r w:rsidR="00C94A1A" w:rsidRPr="009E1AF8">
        <w:rPr>
          <w:rFonts w:ascii="Bookman Old Style" w:hAnsi="Bookman Old Style" w:cs="Arial"/>
          <w:bCs/>
        </w:rPr>
        <w:t xml:space="preserve"> realizada sobre </w:t>
      </w:r>
      <w:r w:rsidR="00E46E1C" w:rsidRPr="009E1AF8">
        <w:rPr>
          <w:rFonts w:ascii="Bookman Old Style" w:hAnsi="Bookman Old Style" w:cs="Arial"/>
          <w:bCs/>
        </w:rPr>
        <w:t xml:space="preserve">contratos </w:t>
      </w:r>
      <w:r w:rsidR="00C94A1A" w:rsidRPr="009E1AF8">
        <w:rPr>
          <w:rFonts w:ascii="Bookman Old Style" w:hAnsi="Bookman Old Style" w:cs="Arial"/>
          <w:bCs/>
        </w:rPr>
        <w:t xml:space="preserve">a ser </w:t>
      </w:r>
      <w:r w:rsidR="00E46E1C" w:rsidRPr="009E1AF8">
        <w:rPr>
          <w:rFonts w:ascii="Bookman Old Style" w:hAnsi="Bookman Old Style" w:cs="Arial"/>
          <w:bCs/>
        </w:rPr>
        <w:t>registrados</w:t>
      </w:r>
      <w:r w:rsidR="00C86951" w:rsidRPr="009E1AF8">
        <w:rPr>
          <w:rFonts w:ascii="Bookman Old Style" w:hAnsi="Bookman Old Style" w:cs="Arial"/>
          <w:bCs/>
        </w:rPr>
        <w:t>, asignados</w:t>
      </w:r>
      <w:r w:rsidR="00E46E1C" w:rsidRPr="009E1AF8">
        <w:rPr>
          <w:rFonts w:ascii="Bookman Old Style" w:hAnsi="Bookman Old Style" w:cs="Arial"/>
          <w:bCs/>
        </w:rPr>
        <w:t xml:space="preserve"> y </w:t>
      </w:r>
      <w:r w:rsidR="00562212" w:rsidRPr="009E1AF8">
        <w:rPr>
          <w:rFonts w:ascii="Bookman Old Style" w:hAnsi="Bookman Old Style" w:cs="Arial"/>
          <w:bCs/>
        </w:rPr>
        <w:t>liquidados</w:t>
      </w:r>
      <w:r w:rsidR="00C86951" w:rsidRPr="009E1AF8">
        <w:rPr>
          <w:rFonts w:ascii="Bookman Old Style" w:hAnsi="Bookman Old Style" w:cs="Arial"/>
          <w:bCs/>
        </w:rPr>
        <w:t xml:space="preserve"> por e</w:t>
      </w:r>
      <w:r w:rsidR="00E46E1C" w:rsidRPr="009E1AF8">
        <w:rPr>
          <w:rFonts w:ascii="Bookman Old Style" w:hAnsi="Bookman Old Style" w:cs="Arial"/>
          <w:bCs/>
        </w:rPr>
        <w:t xml:space="preserve">l Administrador del Sistema de Intercambios Comerciales </w:t>
      </w:r>
      <w:r w:rsidR="00C86951" w:rsidRPr="009E1AF8">
        <w:rPr>
          <w:rFonts w:ascii="Bookman Old Style" w:hAnsi="Bookman Old Style" w:cs="Arial"/>
          <w:bCs/>
        </w:rPr>
        <w:t>–</w:t>
      </w:r>
      <w:r w:rsidR="00E46E1C" w:rsidRPr="009E1AF8">
        <w:rPr>
          <w:rFonts w:ascii="Bookman Old Style" w:hAnsi="Bookman Old Style" w:cs="Arial"/>
          <w:bCs/>
        </w:rPr>
        <w:t xml:space="preserve"> ASIC</w:t>
      </w:r>
      <w:r w:rsidR="00C86951" w:rsidRPr="009E1AF8">
        <w:rPr>
          <w:rFonts w:ascii="Bookman Old Style" w:hAnsi="Bookman Old Style" w:cs="Arial"/>
          <w:bCs/>
        </w:rPr>
        <w:t>, en aplicación de lo establecido en la Resolución CREG 024 de 1995 y demás disposiciones que la modifican o complementan</w:t>
      </w:r>
      <w:r w:rsidR="00E46E1C" w:rsidRPr="009E1AF8">
        <w:rPr>
          <w:rFonts w:ascii="Bookman Old Style" w:hAnsi="Bookman Old Style" w:cs="Arial"/>
          <w:bCs/>
        </w:rPr>
        <w:t>.</w:t>
      </w:r>
    </w:p>
    <w:p w14:paraId="404BFE67" w14:textId="77777777" w:rsidR="00EB000C" w:rsidRPr="009E1AF8" w:rsidRDefault="00EB000C" w:rsidP="00DF3CA2">
      <w:pPr>
        <w:ind w:left="0"/>
        <w:jc w:val="both"/>
        <w:rPr>
          <w:rFonts w:ascii="Bookman Old Style" w:hAnsi="Bookman Old Style" w:cs="Arial"/>
          <w:b/>
        </w:rPr>
      </w:pPr>
    </w:p>
    <w:p w14:paraId="3F77C7BE" w14:textId="402C9413" w:rsidR="00EB000C" w:rsidRPr="00F756D9" w:rsidRDefault="00EB000C" w:rsidP="00DF3CA2">
      <w:pPr>
        <w:ind w:left="0"/>
        <w:jc w:val="both"/>
        <w:rPr>
          <w:rFonts w:ascii="Bookman Old Style" w:hAnsi="Bookman Old Style" w:cs="Arial"/>
          <w:bCs/>
        </w:rPr>
      </w:pPr>
      <w:r w:rsidRPr="009E1AF8">
        <w:rPr>
          <w:rFonts w:ascii="Bookman Old Style" w:hAnsi="Bookman Old Style" w:cs="Arial"/>
          <w:b/>
        </w:rPr>
        <w:t>Parágrafo.</w:t>
      </w:r>
      <w:r w:rsidRPr="009E1AF8">
        <w:rPr>
          <w:rFonts w:ascii="Bookman Old Style" w:hAnsi="Bookman Old Style" w:cs="Arial"/>
          <w:bCs/>
        </w:rPr>
        <w:t xml:space="preserve"> </w:t>
      </w:r>
      <w:r w:rsidR="00EA0514" w:rsidRPr="009E1AF8">
        <w:rPr>
          <w:rFonts w:ascii="Bookman Old Style" w:hAnsi="Bookman Old Style" w:cs="Arial"/>
          <w:bCs/>
        </w:rPr>
        <w:t>L</w:t>
      </w:r>
      <w:r w:rsidR="00B01B37" w:rsidRPr="009E1AF8">
        <w:rPr>
          <w:rFonts w:ascii="Bookman Old Style" w:hAnsi="Bookman Old Style" w:cs="Arial"/>
          <w:bCs/>
        </w:rPr>
        <w:t xml:space="preserve">o dispuesto en el presente artículo no aplica a </w:t>
      </w:r>
      <w:r w:rsidR="00F756D9" w:rsidRPr="009E1AF8">
        <w:rPr>
          <w:rFonts w:ascii="Bookman Old Style" w:hAnsi="Bookman Old Style" w:cs="Arial"/>
          <w:bCs/>
        </w:rPr>
        <w:t xml:space="preserve">aquellos mecanismos que resulten en contratos </w:t>
      </w:r>
      <w:r w:rsidR="00B01B37" w:rsidRPr="009E1AF8">
        <w:rPr>
          <w:rFonts w:ascii="Bookman Old Style" w:hAnsi="Bookman Old Style" w:cs="Arial"/>
          <w:bCs/>
        </w:rPr>
        <w:t>que por su</w:t>
      </w:r>
      <w:r w:rsidR="00F756D9" w:rsidRPr="009E1AF8">
        <w:rPr>
          <w:rFonts w:ascii="Bookman Old Style" w:hAnsi="Bookman Old Style" w:cs="Arial"/>
          <w:bCs/>
        </w:rPr>
        <w:t xml:space="preserve"> naturaleza no requieran, para su ejecución, del registro y asignación </w:t>
      </w:r>
      <w:r w:rsidR="00C86951" w:rsidRPr="009E1AF8">
        <w:rPr>
          <w:rFonts w:ascii="Bookman Old Style" w:hAnsi="Bookman Old Style" w:cs="Arial"/>
          <w:bCs/>
        </w:rPr>
        <w:t>por parte d</w:t>
      </w:r>
      <w:r w:rsidR="00F756D9" w:rsidRPr="009E1AF8">
        <w:rPr>
          <w:rFonts w:ascii="Bookman Old Style" w:hAnsi="Bookman Old Style" w:cs="Arial"/>
          <w:bCs/>
        </w:rPr>
        <w:t>el ASIC</w:t>
      </w:r>
      <w:r w:rsidR="00A05D55" w:rsidRPr="009E1AF8">
        <w:rPr>
          <w:rFonts w:ascii="Bookman Old Style" w:hAnsi="Bookman Old Style" w:cs="Arial"/>
          <w:bCs/>
        </w:rPr>
        <w:t>.</w:t>
      </w:r>
    </w:p>
    <w:p w14:paraId="08C7B38C" w14:textId="77777777" w:rsidR="00E46E1C" w:rsidRDefault="00E46E1C" w:rsidP="00DF3CA2">
      <w:pPr>
        <w:ind w:left="0"/>
        <w:jc w:val="both"/>
        <w:rPr>
          <w:rFonts w:ascii="Bookman Old Style" w:hAnsi="Bookman Old Style" w:cs="Arial"/>
          <w:bCs/>
        </w:rPr>
      </w:pPr>
    </w:p>
    <w:p w14:paraId="1D496519" w14:textId="4C0DEBAB" w:rsidR="00E46E1C" w:rsidRPr="00725A80" w:rsidRDefault="00E46E1C" w:rsidP="00E46E1C">
      <w:pPr>
        <w:ind w:left="0"/>
        <w:jc w:val="both"/>
        <w:rPr>
          <w:rFonts w:ascii="Bookman Old Style" w:hAnsi="Bookman Old Style" w:cs="Arial"/>
        </w:rPr>
      </w:pPr>
      <w:r w:rsidRPr="00725A80">
        <w:rPr>
          <w:rFonts w:ascii="Bookman Old Style" w:hAnsi="Bookman Old Style" w:cs="Arial"/>
          <w:b/>
          <w:bCs/>
        </w:rPr>
        <w:t>ARTÍCULO 3. Prestadores de actividades asociadas a mecanismos de</w:t>
      </w:r>
      <w:r>
        <w:rPr>
          <w:rFonts w:ascii="Bookman Old Style" w:hAnsi="Bookman Old Style" w:cs="Arial"/>
          <w:b/>
          <w:bCs/>
        </w:rPr>
        <w:t xml:space="preserve"> </w:t>
      </w:r>
      <w:r w:rsidRPr="00725A80">
        <w:rPr>
          <w:rFonts w:ascii="Bookman Old Style" w:hAnsi="Bookman Old Style" w:cs="Arial"/>
          <w:b/>
          <w:bCs/>
        </w:rPr>
        <w:t xml:space="preserve">comercialización. </w:t>
      </w:r>
      <w:r w:rsidRPr="00725A80">
        <w:rPr>
          <w:rFonts w:ascii="Bookman Old Style" w:hAnsi="Bookman Old Style" w:cs="Arial"/>
        </w:rPr>
        <w:t>Las actividades a las que hace referencia el artículo 2 de la presente resolución, podrán ser desarrolladas por las personas señaladas en el artículo 15 de la Ley 142 de 1994.</w:t>
      </w:r>
    </w:p>
    <w:p w14:paraId="23B8310C" w14:textId="77777777" w:rsidR="00E46E1C" w:rsidRPr="00725A80" w:rsidRDefault="00E46E1C" w:rsidP="00E46E1C">
      <w:pPr>
        <w:ind w:left="0"/>
        <w:jc w:val="both"/>
        <w:rPr>
          <w:rFonts w:ascii="Bookman Old Style" w:hAnsi="Bookman Old Style" w:cs="Arial"/>
          <w:b/>
          <w:bCs/>
        </w:rPr>
      </w:pPr>
    </w:p>
    <w:p w14:paraId="6C3E5F57" w14:textId="0131FFAC" w:rsidR="00E46E1C" w:rsidRPr="00725A80" w:rsidRDefault="00E46E1C" w:rsidP="00E46E1C">
      <w:pPr>
        <w:ind w:left="0"/>
        <w:jc w:val="both"/>
        <w:rPr>
          <w:rFonts w:ascii="Bookman Old Style" w:hAnsi="Bookman Old Style" w:cs="Arial"/>
        </w:rPr>
      </w:pPr>
      <w:r w:rsidRPr="00725A80">
        <w:rPr>
          <w:rFonts w:ascii="Bookman Old Style" w:hAnsi="Bookman Old Style" w:cs="Arial"/>
          <w:b/>
          <w:bCs/>
        </w:rPr>
        <w:t>ARTÍCULO 4. Regulación aplicable a las actividades asociadas a</w:t>
      </w:r>
      <w:r>
        <w:rPr>
          <w:rFonts w:ascii="Bookman Old Style" w:hAnsi="Bookman Old Style" w:cs="Arial"/>
          <w:b/>
          <w:bCs/>
        </w:rPr>
        <w:t xml:space="preserve"> </w:t>
      </w:r>
      <w:r w:rsidRPr="00725A80">
        <w:rPr>
          <w:rFonts w:ascii="Bookman Old Style" w:hAnsi="Bookman Old Style" w:cs="Arial"/>
          <w:b/>
          <w:bCs/>
        </w:rPr>
        <w:t xml:space="preserve">mecanismos de comercialización. </w:t>
      </w:r>
      <w:r w:rsidRPr="00725A80">
        <w:rPr>
          <w:rFonts w:ascii="Bookman Old Style" w:hAnsi="Bookman Old Style" w:cs="Arial"/>
        </w:rPr>
        <w:t xml:space="preserve">Las actividades señaladas en el artículo 2 </w:t>
      </w:r>
      <w:r w:rsidRPr="00725A80">
        <w:rPr>
          <w:rFonts w:ascii="Bookman Old Style" w:hAnsi="Bookman Old Style" w:cs="Arial"/>
        </w:rPr>
        <w:lastRenderedPageBreak/>
        <w:t>de la presente resolución, están sujetas a las disposiciones contenidas en la</w:t>
      </w:r>
      <w:r>
        <w:rPr>
          <w:rFonts w:ascii="Bookman Old Style" w:hAnsi="Bookman Old Style" w:cs="Arial"/>
        </w:rPr>
        <w:t xml:space="preserve"> </w:t>
      </w:r>
      <w:r w:rsidRPr="00725A80">
        <w:rPr>
          <w:rFonts w:ascii="Bookman Old Style" w:hAnsi="Bookman Old Style" w:cs="Arial"/>
        </w:rPr>
        <w:t>Resolución CREG 114 de 2018 o aquella que la modifique o sustituya.</w:t>
      </w:r>
    </w:p>
    <w:p w14:paraId="2FDC7F79" w14:textId="77777777" w:rsidR="00E46E1C" w:rsidRPr="00725A80" w:rsidRDefault="00E46E1C" w:rsidP="00E46E1C">
      <w:pPr>
        <w:ind w:left="0"/>
        <w:jc w:val="both"/>
        <w:rPr>
          <w:rFonts w:ascii="Bookman Old Style" w:hAnsi="Bookman Old Style" w:cs="Arial"/>
        </w:rPr>
      </w:pPr>
    </w:p>
    <w:p w14:paraId="575CB3AC" w14:textId="762A17C9" w:rsidR="00045D3D" w:rsidRDefault="00E46E1C" w:rsidP="00E46E1C">
      <w:pPr>
        <w:ind w:left="0"/>
        <w:jc w:val="both"/>
        <w:rPr>
          <w:rFonts w:ascii="Bookman Old Style" w:hAnsi="Bookman Old Style"/>
          <w:i/>
          <w:sz w:val="22"/>
        </w:rPr>
      </w:pPr>
      <w:r w:rsidRPr="00E46E1C">
        <w:rPr>
          <w:rFonts w:ascii="Bookman Old Style" w:hAnsi="Bookman Old Style" w:cs="Arial"/>
          <w:b/>
          <w:bCs/>
        </w:rPr>
        <w:t xml:space="preserve">ARTÍCULO 5. Vigencia. </w:t>
      </w:r>
      <w:r w:rsidRPr="00F74E0C">
        <w:rPr>
          <w:rFonts w:ascii="Bookman Old Style" w:hAnsi="Bookman Old Style" w:cs="Arial"/>
          <w:spacing w:val="-4"/>
        </w:rPr>
        <w:t xml:space="preserve">La presente resolución rige a partir de la fecha de su publicación en el </w:t>
      </w:r>
      <w:r w:rsidRPr="00F74E0C">
        <w:rPr>
          <w:rFonts w:ascii="Bookman Old Style" w:hAnsi="Bookman Old Style" w:cs="Arial"/>
          <w:i/>
          <w:spacing w:val="-4"/>
        </w:rPr>
        <w:t>Diario Oficial</w:t>
      </w:r>
      <w:r w:rsidRPr="00F74E0C">
        <w:rPr>
          <w:rFonts w:ascii="Bookman Old Style" w:hAnsi="Bookman Old Style" w:cs="Arial"/>
          <w:spacing w:val="-4"/>
        </w:rPr>
        <w:t>.</w:t>
      </w:r>
      <w:r w:rsidR="00045D3D">
        <w:rPr>
          <w:rFonts w:ascii="Bookman Old Style" w:hAnsi="Bookman Old Style"/>
          <w:i/>
          <w:sz w:val="22"/>
        </w:rPr>
        <w:t xml:space="preserve">        </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108DEA5F" w:rsidR="00045D3D" w:rsidRPr="00C435C3" w:rsidRDefault="00045D3D" w:rsidP="00E46E1C">
      <w:pPr>
        <w:ind w:left="0"/>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sectPr w:rsidR="00045D3D" w:rsidRPr="00C435C3" w:rsidSect="005A59EF">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3A2C2" w14:textId="77777777" w:rsidR="0052434A" w:rsidRDefault="0052434A">
      <w:r>
        <w:separator/>
      </w:r>
    </w:p>
  </w:endnote>
  <w:endnote w:type="continuationSeparator" w:id="0">
    <w:p w14:paraId="66DF350E" w14:textId="77777777" w:rsidR="0052434A" w:rsidRDefault="0052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D729" w14:textId="77777777" w:rsidR="0052434A" w:rsidRDefault="0052434A">
      <w:r>
        <w:separator/>
      </w:r>
    </w:p>
  </w:footnote>
  <w:footnote w:type="continuationSeparator" w:id="0">
    <w:p w14:paraId="52290ED4" w14:textId="77777777" w:rsidR="0052434A" w:rsidRDefault="00524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A566A67" w:rsidR="0087657D" w:rsidRPr="00951F79" w:rsidRDefault="00A80F79"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D562A1">
      <w:rPr>
        <w:rFonts w:ascii="Bookman Old Style" w:hAnsi="Bookman Old Style" w:cs="Arial"/>
        <w:b w:val="0"/>
        <w:sz w:val="22"/>
        <w:szCs w:val="22"/>
      </w:rPr>
      <w:t xml:space="preserve">  </w:t>
    </w:r>
    <w:r w:rsidR="00D562A1" w:rsidRPr="00D562A1">
      <w:rPr>
        <w:rFonts w:ascii="Bookman Old Style" w:hAnsi="Bookman Old Style" w:cs="Arial"/>
        <w:sz w:val="22"/>
        <w:szCs w:val="22"/>
        <w:u w:val="single"/>
      </w:rPr>
      <w:t>701 022</w:t>
    </w:r>
    <w:r w:rsidR="00D562A1">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D562A1">
      <w:rPr>
        <w:rFonts w:ascii="Bookman Old Style" w:hAnsi="Bookman Old Style" w:cs="Arial"/>
        <w:b w:val="0"/>
        <w:sz w:val="22"/>
        <w:szCs w:val="22"/>
      </w:rPr>
      <w:t xml:space="preserve">  </w:t>
    </w:r>
    <w:r w:rsidR="00D562A1" w:rsidRPr="00D562A1">
      <w:rPr>
        <w:rFonts w:ascii="Bookman Old Style" w:hAnsi="Bookman Old Style" w:cs="Arial"/>
        <w:sz w:val="22"/>
        <w:szCs w:val="22"/>
        <w:u w:val="single"/>
      </w:rPr>
      <w:t>04 SEP. 2023</w:t>
    </w:r>
    <w:r w:rsidR="003D076C">
      <w:rPr>
        <w:rFonts w:ascii="Bookman Old Style" w:hAnsi="Bookman Old Style" w:cs="Arial"/>
        <w:b w:val="0"/>
        <w:sz w:val="22"/>
        <w:szCs w:val="22"/>
      </w:rPr>
      <w:tab/>
    </w:r>
    <w:r w:rsidR="00D562A1">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D562A1">
      <w:rPr>
        <w:rFonts w:ascii="Bookman Old Style" w:hAnsi="Bookman Old Style" w:cs="Arial"/>
        <w:b w:val="0"/>
        <w:noProof/>
        <w:sz w:val="22"/>
        <w:szCs w:val="22"/>
      </w:rPr>
      <w:t>6</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r w:rsidR="0052434A">
      <w:fldChar w:fldCharType="begin"/>
    </w:r>
    <w:r w:rsidR="0052434A">
      <w:instrText xml:space="preserve"> NUMPAGES  \* MERGEFORMAT </w:instrText>
    </w:r>
    <w:r w:rsidR="0052434A">
      <w:fldChar w:fldCharType="separate"/>
    </w:r>
    <w:r w:rsidR="00D562A1" w:rsidRPr="00D562A1">
      <w:rPr>
        <w:rFonts w:ascii="Bookman Old Style" w:hAnsi="Bookman Old Style" w:cs="Arial"/>
        <w:b w:val="0"/>
        <w:noProof/>
        <w:sz w:val="22"/>
        <w:szCs w:val="22"/>
      </w:rPr>
      <w:t>6</w:t>
    </w:r>
    <w:r w:rsidR="0052434A">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51789B91" w:rsidR="00045D3D" w:rsidRPr="00045D3D" w:rsidRDefault="00045D3D" w:rsidP="000D5422">
    <w:pPr>
      <w:ind w:left="0"/>
      <w:jc w:val="center"/>
      <w:rPr>
        <w:rFonts w:ascii="Bookman Old Style" w:hAnsi="Bookman Old Style"/>
        <w:sz w:val="22"/>
        <w:szCs w:val="22"/>
      </w:rPr>
    </w:pPr>
  </w:p>
  <w:p w14:paraId="16086E3D" w14:textId="77777777" w:rsidR="0044318E" w:rsidRDefault="0044318E" w:rsidP="00AD01E4">
    <w:pPr>
      <w:pBdr>
        <w:bottom w:val="single" w:sz="4" w:space="1" w:color="auto"/>
      </w:pBdr>
      <w:ind w:left="142" w:right="148"/>
      <w:rPr>
        <w:b/>
      </w:rPr>
    </w:pPr>
  </w:p>
  <w:p w14:paraId="7733A152" w14:textId="77777777" w:rsidR="008D4C48" w:rsidRPr="00045D3D" w:rsidRDefault="008D4C48"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DA16" w14:textId="533E495C" w:rsidR="00725FA4" w:rsidRDefault="00725FA4" w:rsidP="00A31337">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A31337">
    <w:pPr>
      <w:pStyle w:val="Encabezado"/>
      <w:ind w:left="0"/>
      <w:jc w:val="center"/>
      <w:rPr>
        <w:rFonts w:ascii="Arial" w:hAnsi="Arial" w:cs="Arial"/>
        <w:spacing w:val="20"/>
        <w:sz w:val="20"/>
      </w:rPr>
    </w:pPr>
  </w:p>
  <w:p w14:paraId="367D4456" w14:textId="76DA3229" w:rsidR="00725FA4" w:rsidRDefault="00DF16F5" w:rsidP="00A31337">
    <w:pPr>
      <w:pStyle w:val="Encabezado"/>
      <w:ind w:left="0"/>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981544"/>
    <w:multiLevelType w:val="multilevel"/>
    <w:tmpl w:val="0608C4D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1"/>
  </w:num>
  <w:num w:numId="4">
    <w:abstractNumId w:val="6"/>
  </w:num>
  <w:num w:numId="5">
    <w:abstractNumId w:val="15"/>
  </w:num>
  <w:num w:numId="6">
    <w:abstractNumId w:val="4"/>
  </w:num>
  <w:num w:numId="7">
    <w:abstractNumId w:val="3"/>
  </w:num>
  <w:num w:numId="8">
    <w:abstractNumId w:val="17"/>
  </w:num>
  <w:num w:numId="9">
    <w:abstractNumId w:val="16"/>
  </w:num>
  <w:num w:numId="10">
    <w:abstractNumId w:val="12"/>
  </w:num>
  <w:num w:numId="11">
    <w:abstractNumId w:val="22"/>
  </w:num>
  <w:num w:numId="12">
    <w:abstractNumId w:val="19"/>
  </w:num>
  <w:num w:numId="13">
    <w:abstractNumId w:val="10"/>
  </w:num>
  <w:num w:numId="14">
    <w:abstractNumId w:val="2"/>
  </w:num>
  <w:num w:numId="15">
    <w:abstractNumId w:val="13"/>
  </w:num>
  <w:num w:numId="16">
    <w:abstractNumId w:val="1"/>
  </w:num>
  <w:num w:numId="17">
    <w:abstractNumId w:val="9"/>
  </w:num>
  <w:num w:numId="18">
    <w:abstractNumId w:val="0"/>
  </w:num>
  <w:num w:numId="19">
    <w:abstractNumId w:val="18"/>
  </w:num>
  <w:num w:numId="20">
    <w:abstractNumId w:val="14"/>
  </w:num>
  <w:num w:numId="21">
    <w:abstractNumId w:val="7"/>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0"/>
    <w:rsid w:val="00006AE2"/>
    <w:rsid w:val="000076A1"/>
    <w:rsid w:val="00012259"/>
    <w:rsid w:val="00016461"/>
    <w:rsid w:val="00025383"/>
    <w:rsid w:val="0004348F"/>
    <w:rsid w:val="00045D3D"/>
    <w:rsid w:val="00063657"/>
    <w:rsid w:val="00071D8A"/>
    <w:rsid w:val="00076680"/>
    <w:rsid w:val="00076A1D"/>
    <w:rsid w:val="0008073E"/>
    <w:rsid w:val="00091CDB"/>
    <w:rsid w:val="000A19AC"/>
    <w:rsid w:val="000B2EC9"/>
    <w:rsid w:val="000D26F8"/>
    <w:rsid w:val="000D5422"/>
    <w:rsid w:val="000D719D"/>
    <w:rsid w:val="000F6755"/>
    <w:rsid w:val="00106654"/>
    <w:rsid w:val="00132A56"/>
    <w:rsid w:val="001350D9"/>
    <w:rsid w:val="0013526C"/>
    <w:rsid w:val="001405C6"/>
    <w:rsid w:val="00141013"/>
    <w:rsid w:val="00163E2F"/>
    <w:rsid w:val="00192CBF"/>
    <w:rsid w:val="00192FF1"/>
    <w:rsid w:val="001A5F1B"/>
    <w:rsid w:val="001B0654"/>
    <w:rsid w:val="001B1C22"/>
    <w:rsid w:val="001B34C6"/>
    <w:rsid w:val="001D7832"/>
    <w:rsid w:val="001E3D83"/>
    <w:rsid w:val="00207F17"/>
    <w:rsid w:val="00210DC1"/>
    <w:rsid w:val="00211D34"/>
    <w:rsid w:val="00214F04"/>
    <w:rsid w:val="002352B9"/>
    <w:rsid w:val="002527F8"/>
    <w:rsid w:val="00266CD6"/>
    <w:rsid w:val="002673AC"/>
    <w:rsid w:val="00275DAB"/>
    <w:rsid w:val="002903C0"/>
    <w:rsid w:val="002A782A"/>
    <w:rsid w:val="002B11E2"/>
    <w:rsid w:val="002B24B8"/>
    <w:rsid w:val="002D3AE9"/>
    <w:rsid w:val="002D4510"/>
    <w:rsid w:val="002F0734"/>
    <w:rsid w:val="002F175F"/>
    <w:rsid w:val="002F2469"/>
    <w:rsid w:val="002F46E7"/>
    <w:rsid w:val="0030489C"/>
    <w:rsid w:val="003101DA"/>
    <w:rsid w:val="003111C3"/>
    <w:rsid w:val="00314757"/>
    <w:rsid w:val="003163BC"/>
    <w:rsid w:val="003211CE"/>
    <w:rsid w:val="0035403A"/>
    <w:rsid w:val="0036394B"/>
    <w:rsid w:val="00366DB6"/>
    <w:rsid w:val="003709B5"/>
    <w:rsid w:val="003759C2"/>
    <w:rsid w:val="00397365"/>
    <w:rsid w:val="003A31F6"/>
    <w:rsid w:val="003B28F6"/>
    <w:rsid w:val="003C0A81"/>
    <w:rsid w:val="003C3447"/>
    <w:rsid w:val="003D076C"/>
    <w:rsid w:val="003D33C4"/>
    <w:rsid w:val="003E38FD"/>
    <w:rsid w:val="003E78B5"/>
    <w:rsid w:val="00415BAB"/>
    <w:rsid w:val="00415ED2"/>
    <w:rsid w:val="0042068C"/>
    <w:rsid w:val="0044318E"/>
    <w:rsid w:val="00443B35"/>
    <w:rsid w:val="0045488D"/>
    <w:rsid w:val="00465F3B"/>
    <w:rsid w:val="0047122B"/>
    <w:rsid w:val="00473B7A"/>
    <w:rsid w:val="004960E9"/>
    <w:rsid w:val="004A0BF0"/>
    <w:rsid w:val="004A2E88"/>
    <w:rsid w:val="004A5305"/>
    <w:rsid w:val="004C5537"/>
    <w:rsid w:val="004D7634"/>
    <w:rsid w:val="004E611A"/>
    <w:rsid w:val="004F6460"/>
    <w:rsid w:val="005147FF"/>
    <w:rsid w:val="0052434A"/>
    <w:rsid w:val="005300D3"/>
    <w:rsid w:val="00541D69"/>
    <w:rsid w:val="00542A10"/>
    <w:rsid w:val="00544F82"/>
    <w:rsid w:val="005509D2"/>
    <w:rsid w:val="00562212"/>
    <w:rsid w:val="00593C4F"/>
    <w:rsid w:val="005946A8"/>
    <w:rsid w:val="005A4407"/>
    <w:rsid w:val="005A59EF"/>
    <w:rsid w:val="005B1C7E"/>
    <w:rsid w:val="005C6976"/>
    <w:rsid w:val="005F6F41"/>
    <w:rsid w:val="006121BF"/>
    <w:rsid w:val="00625DC6"/>
    <w:rsid w:val="0064391D"/>
    <w:rsid w:val="00651821"/>
    <w:rsid w:val="00654384"/>
    <w:rsid w:val="00660398"/>
    <w:rsid w:val="006675CD"/>
    <w:rsid w:val="00677D20"/>
    <w:rsid w:val="00684D9B"/>
    <w:rsid w:val="0068510A"/>
    <w:rsid w:val="00697556"/>
    <w:rsid w:val="006B4647"/>
    <w:rsid w:val="006B4C2B"/>
    <w:rsid w:val="006B5C69"/>
    <w:rsid w:val="006B6194"/>
    <w:rsid w:val="006B6D47"/>
    <w:rsid w:val="006C5AA3"/>
    <w:rsid w:val="006C5AFE"/>
    <w:rsid w:val="006F2EC8"/>
    <w:rsid w:val="006F6D95"/>
    <w:rsid w:val="00706F13"/>
    <w:rsid w:val="007072E8"/>
    <w:rsid w:val="00711E32"/>
    <w:rsid w:val="0071618D"/>
    <w:rsid w:val="00717AF9"/>
    <w:rsid w:val="00725FA4"/>
    <w:rsid w:val="00727BFB"/>
    <w:rsid w:val="00740446"/>
    <w:rsid w:val="007438A9"/>
    <w:rsid w:val="0074491E"/>
    <w:rsid w:val="00756307"/>
    <w:rsid w:val="0076247A"/>
    <w:rsid w:val="0077451B"/>
    <w:rsid w:val="00775964"/>
    <w:rsid w:val="007765FE"/>
    <w:rsid w:val="00794E2E"/>
    <w:rsid w:val="00795BFB"/>
    <w:rsid w:val="007A6181"/>
    <w:rsid w:val="007B2760"/>
    <w:rsid w:val="007B4642"/>
    <w:rsid w:val="007B5A60"/>
    <w:rsid w:val="007D68DF"/>
    <w:rsid w:val="00804531"/>
    <w:rsid w:val="00806C01"/>
    <w:rsid w:val="008148CC"/>
    <w:rsid w:val="008211A4"/>
    <w:rsid w:val="0084693A"/>
    <w:rsid w:val="00861007"/>
    <w:rsid w:val="00873150"/>
    <w:rsid w:val="0087657D"/>
    <w:rsid w:val="008807D5"/>
    <w:rsid w:val="00880832"/>
    <w:rsid w:val="00886EE1"/>
    <w:rsid w:val="0088727D"/>
    <w:rsid w:val="00897C75"/>
    <w:rsid w:val="008A7403"/>
    <w:rsid w:val="008C1130"/>
    <w:rsid w:val="008D18E6"/>
    <w:rsid w:val="008D4C48"/>
    <w:rsid w:val="008D7A9B"/>
    <w:rsid w:val="008E0060"/>
    <w:rsid w:val="008E7091"/>
    <w:rsid w:val="008E76AC"/>
    <w:rsid w:val="008F21F6"/>
    <w:rsid w:val="00951F79"/>
    <w:rsid w:val="0095715C"/>
    <w:rsid w:val="00974AB5"/>
    <w:rsid w:val="0098706D"/>
    <w:rsid w:val="009935FB"/>
    <w:rsid w:val="009B42D2"/>
    <w:rsid w:val="009E1AF8"/>
    <w:rsid w:val="009F4A54"/>
    <w:rsid w:val="009F4BEC"/>
    <w:rsid w:val="009F5874"/>
    <w:rsid w:val="00A05D55"/>
    <w:rsid w:val="00A06511"/>
    <w:rsid w:val="00A22E8D"/>
    <w:rsid w:val="00A25FD7"/>
    <w:rsid w:val="00A31337"/>
    <w:rsid w:val="00A43AFF"/>
    <w:rsid w:val="00A554FC"/>
    <w:rsid w:val="00A7793A"/>
    <w:rsid w:val="00A80F79"/>
    <w:rsid w:val="00AA4CC7"/>
    <w:rsid w:val="00AA5E8E"/>
    <w:rsid w:val="00AB2BAD"/>
    <w:rsid w:val="00AB6CA7"/>
    <w:rsid w:val="00AD01E4"/>
    <w:rsid w:val="00AD0858"/>
    <w:rsid w:val="00AE02E3"/>
    <w:rsid w:val="00AE3E11"/>
    <w:rsid w:val="00AE7340"/>
    <w:rsid w:val="00AF1BBD"/>
    <w:rsid w:val="00B01B37"/>
    <w:rsid w:val="00B10207"/>
    <w:rsid w:val="00B141E7"/>
    <w:rsid w:val="00B238C4"/>
    <w:rsid w:val="00B351B4"/>
    <w:rsid w:val="00B444D5"/>
    <w:rsid w:val="00B46BCA"/>
    <w:rsid w:val="00B478AA"/>
    <w:rsid w:val="00B537D4"/>
    <w:rsid w:val="00B57D87"/>
    <w:rsid w:val="00B74615"/>
    <w:rsid w:val="00B87806"/>
    <w:rsid w:val="00B87EC9"/>
    <w:rsid w:val="00BC38FD"/>
    <w:rsid w:val="00C0049B"/>
    <w:rsid w:val="00C034CB"/>
    <w:rsid w:val="00C051A8"/>
    <w:rsid w:val="00C054BC"/>
    <w:rsid w:val="00C17897"/>
    <w:rsid w:val="00C30875"/>
    <w:rsid w:val="00C409D5"/>
    <w:rsid w:val="00C4260B"/>
    <w:rsid w:val="00C435C3"/>
    <w:rsid w:val="00C44E5F"/>
    <w:rsid w:val="00C51B7C"/>
    <w:rsid w:val="00C6234B"/>
    <w:rsid w:val="00C63EAE"/>
    <w:rsid w:val="00C73260"/>
    <w:rsid w:val="00C7629F"/>
    <w:rsid w:val="00C8028A"/>
    <w:rsid w:val="00C8661B"/>
    <w:rsid w:val="00C86951"/>
    <w:rsid w:val="00C94A1A"/>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0ACF"/>
    <w:rsid w:val="00D342A6"/>
    <w:rsid w:val="00D45CA6"/>
    <w:rsid w:val="00D464BF"/>
    <w:rsid w:val="00D53E26"/>
    <w:rsid w:val="00D562A1"/>
    <w:rsid w:val="00D70DC0"/>
    <w:rsid w:val="00D83F43"/>
    <w:rsid w:val="00DB182C"/>
    <w:rsid w:val="00DD4F0E"/>
    <w:rsid w:val="00DF0BF0"/>
    <w:rsid w:val="00DF16F5"/>
    <w:rsid w:val="00DF3CA2"/>
    <w:rsid w:val="00DF753F"/>
    <w:rsid w:val="00E01463"/>
    <w:rsid w:val="00E05E0A"/>
    <w:rsid w:val="00E060BE"/>
    <w:rsid w:val="00E46E1C"/>
    <w:rsid w:val="00E534CF"/>
    <w:rsid w:val="00E63920"/>
    <w:rsid w:val="00E8063D"/>
    <w:rsid w:val="00E81CB4"/>
    <w:rsid w:val="00E8585B"/>
    <w:rsid w:val="00E87F41"/>
    <w:rsid w:val="00EA0514"/>
    <w:rsid w:val="00EA3F15"/>
    <w:rsid w:val="00EA7847"/>
    <w:rsid w:val="00EB000C"/>
    <w:rsid w:val="00EB4C2F"/>
    <w:rsid w:val="00EE2E6E"/>
    <w:rsid w:val="00F0759E"/>
    <w:rsid w:val="00F16A43"/>
    <w:rsid w:val="00F46780"/>
    <w:rsid w:val="00F55DB1"/>
    <w:rsid w:val="00F564DB"/>
    <w:rsid w:val="00F756D9"/>
    <w:rsid w:val="00F76E13"/>
    <w:rsid w:val="00F77D2D"/>
    <w:rsid w:val="00F821A3"/>
    <w:rsid w:val="00F9314A"/>
    <w:rsid w:val="00F940B2"/>
    <w:rsid w:val="00F94FD8"/>
    <w:rsid w:val="00FC280A"/>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uiPriority w:val="99"/>
    <w:rsid w:val="002F2469"/>
    <w:rPr>
      <w:color w:val="0000FF"/>
      <w:u w:val="single"/>
    </w:rPr>
  </w:style>
  <w:style w:type="character" w:customStyle="1" w:styleId="Ttulo1Car">
    <w:name w:val="Título 1 Car"/>
    <w:link w:val="Ttulo1"/>
    <w:rsid w:val="00E46E1C"/>
    <w:rPr>
      <w:rFonts w:ascii="CG Times" w:hAnsi="CG Times"/>
      <w:b/>
      <w:sz w:val="24"/>
      <w:lang w:eastAsia="es-ES"/>
    </w:rPr>
  </w:style>
  <w:style w:type="paragraph" w:styleId="Revisin">
    <w:name w:val="Revision"/>
    <w:hidden/>
    <w:uiPriority w:val="99"/>
    <w:semiHidden/>
    <w:rsid w:val="00562212"/>
    <w:rPr>
      <w:sz w:val="24"/>
      <w:szCs w:val="24"/>
      <w:lang w:val="es-ES" w:eastAsia="es-ES"/>
    </w:rPr>
  </w:style>
  <w:style w:type="character" w:styleId="Refdecomentario">
    <w:name w:val="annotation reference"/>
    <w:basedOn w:val="Fuentedeprrafopredeter"/>
    <w:uiPriority w:val="99"/>
    <w:semiHidden/>
    <w:unhideWhenUsed/>
    <w:rsid w:val="00C94A1A"/>
    <w:rPr>
      <w:sz w:val="16"/>
      <w:szCs w:val="16"/>
    </w:rPr>
  </w:style>
  <w:style w:type="paragraph" w:styleId="Textocomentario">
    <w:name w:val="annotation text"/>
    <w:basedOn w:val="Normal"/>
    <w:link w:val="TextocomentarioCar"/>
    <w:uiPriority w:val="99"/>
    <w:unhideWhenUsed/>
    <w:rsid w:val="00C94A1A"/>
    <w:rPr>
      <w:sz w:val="20"/>
      <w:szCs w:val="20"/>
    </w:rPr>
  </w:style>
  <w:style w:type="character" w:customStyle="1" w:styleId="TextocomentarioCar">
    <w:name w:val="Texto comentario Car"/>
    <w:basedOn w:val="Fuentedeprrafopredeter"/>
    <w:link w:val="Textocomentario"/>
    <w:uiPriority w:val="99"/>
    <w:rsid w:val="00C94A1A"/>
    <w:rPr>
      <w:lang w:val="es-ES" w:eastAsia="es-ES"/>
    </w:rPr>
  </w:style>
  <w:style w:type="paragraph" w:styleId="Asuntodelcomentario">
    <w:name w:val="annotation subject"/>
    <w:basedOn w:val="Textocomentario"/>
    <w:next w:val="Textocomentario"/>
    <w:link w:val="AsuntodelcomentarioCar"/>
    <w:uiPriority w:val="99"/>
    <w:semiHidden/>
    <w:unhideWhenUsed/>
    <w:rsid w:val="00C94A1A"/>
    <w:rPr>
      <w:b/>
      <w:bCs/>
    </w:rPr>
  </w:style>
  <w:style w:type="character" w:customStyle="1" w:styleId="AsuntodelcomentarioCar">
    <w:name w:val="Asunto del comentario Car"/>
    <w:basedOn w:val="TextocomentarioCar"/>
    <w:link w:val="Asuntodelcomentario"/>
    <w:uiPriority w:val="99"/>
    <w:semiHidden/>
    <w:rsid w:val="00C94A1A"/>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g@creg.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DDBF8EA4AC10409E5DD136B884FF26" ma:contentTypeVersion="15" ma:contentTypeDescription="Crear nuevo documento." ma:contentTypeScope="" ma:versionID="a4811fd81d9c8a584a4293fbceb800d6">
  <xsd:schema xmlns:xsd="http://www.w3.org/2001/XMLSchema" xmlns:xs="http://www.w3.org/2001/XMLSchema" xmlns:p="http://schemas.microsoft.com/office/2006/metadata/properties" xmlns:ns2="dc013113-1dca-4df1-85dc-f9b02cbd6c8a" xmlns:ns3="59649a11-d5e3-4d79-a1ca-9592dfa242c6" targetNamespace="http://schemas.microsoft.com/office/2006/metadata/properties" ma:root="true" ma:fieldsID="e6fc1f94d17a89f563dd8cfc32129f5f" ns2:_="" ns3:_="">
    <xsd:import namespace="dc013113-1dca-4df1-85dc-f9b02cbd6c8a"/>
    <xsd:import namespace="59649a11-d5e3-4d79-a1ca-9592dfa242c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3113-1dca-4df1-85dc-f9b02cbd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49a11-d5e3-4d79-a1ca-9592dfa242c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0083b729-77ee-4b02-ac0b-cf44bfe93552}" ma:internalName="TaxCatchAll" ma:showField="CatchAllData" ma:web="59649a11-d5e3-4d79-a1ca-9592dfa24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49a11-d5e3-4d79-a1ca-9592dfa242c6" xsi:nil="true"/>
    <lcf76f155ced4ddcb4097134ff3c332f xmlns="dc013113-1dca-4df1-85dc-f9b02cbd6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69D674-3611-4725-9C72-007D57836639}">
  <ds:schemaRefs>
    <ds:schemaRef ds:uri="http://schemas.microsoft.com/sharepoint/v3/contenttype/forms"/>
  </ds:schemaRefs>
</ds:datastoreItem>
</file>

<file path=customXml/itemProps2.xml><?xml version="1.0" encoding="utf-8"?>
<ds:datastoreItem xmlns:ds="http://schemas.openxmlformats.org/officeDocument/2006/customXml" ds:itemID="{628EA4D4-8B63-477D-8DF0-F085EFFF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3113-1dca-4df1-85dc-f9b02cbd6c8a"/>
    <ds:schemaRef ds:uri="59649a11-d5e3-4d79-a1ca-9592dfa2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8D606-E814-43A3-A9C3-292310C07867}">
  <ds:schemaRefs>
    <ds:schemaRef ds:uri="http://schemas.microsoft.com/office/2006/metadata/properties"/>
    <ds:schemaRef ds:uri="http://schemas.microsoft.com/office/infopath/2007/PartnerControls"/>
    <ds:schemaRef ds:uri="59649a11-d5e3-4d79-a1ca-9592dfa242c6"/>
    <ds:schemaRef ds:uri="dc013113-1dca-4df1-85dc-f9b02cbd6c8a"/>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6</Pages>
  <Words>1982</Words>
  <Characters>11302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Usuario de Windows</cp:lastModifiedBy>
  <cp:revision>2</cp:revision>
  <cp:lastPrinted>2011-07-21T13:53:00Z</cp:lastPrinted>
  <dcterms:created xsi:type="dcterms:W3CDTF">2023-09-17T23:34:00Z</dcterms:created>
  <dcterms:modified xsi:type="dcterms:W3CDTF">2023-09-17T23:34:00Z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0x010100F9DDBF8EA4AC10409E5DD136B884FF26</vt:lpwstr>
  </property>
  <property fmtid="{D5CDD505-2E9C-101B-9397-08002B2CF9AE}" pid="3" name="MediaServiceImageTags">
    <vt:lpwstr/>
  </property>
</Properties>
</file>