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1A1BF" w14:textId="77777777" w:rsidR="00625DC6" w:rsidRPr="00C03235" w:rsidRDefault="00000000" w:rsidP="3E545BD8">
      <w:pPr>
        <w:pStyle w:val="Encabezado"/>
        <w:tabs>
          <w:tab w:val="clear" w:pos="8504"/>
          <w:tab w:val="right" w:pos="9356"/>
        </w:tabs>
        <w:jc w:val="both"/>
        <w:rPr>
          <w:rFonts w:ascii="Bookman Old Style" w:hAnsi="Bookman Old Style"/>
        </w:rPr>
      </w:pPr>
      <w:r>
        <w:rPr>
          <w:rFonts w:ascii="Bookman Old Style" w:hAnsi="Bookman Old Style"/>
          <w:szCs w:val="24"/>
        </w:rPr>
        <w:object w:dxaOrig="1440" w:dyaOrig="1440" w14:anchorId="2E7F0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202.4pt;margin-top:-53.35pt;width:52.5pt;height:48.75pt;z-index:251658240;mso-wrap-edited:f;mso-width-percent:0;mso-height-percent:0;mso-width-percent:0;mso-height-percent:0" fillcolor="#0c9">
            <v:imagedata r:id="rId11" o:title=""/>
          </v:shape>
          <o:OLEObject Type="Embed" ProgID="PBrush" ShapeID="_x0000_s2050" DrawAspect="Content" ObjectID="_1799738863" r:id="rId12"/>
        </w:object>
      </w:r>
    </w:p>
    <w:p w14:paraId="67770A74" w14:textId="77777777" w:rsidR="00625DC6" w:rsidRPr="00C03235" w:rsidRDefault="00625DC6" w:rsidP="00012259">
      <w:pPr>
        <w:pStyle w:val="Encabezado"/>
        <w:tabs>
          <w:tab w:val="clear" w:pos="8504"/>
          <w:tab w:val="left" w:pos="0"/>
          <w:tab w:val="right" w:pos="9356"/>
        </w:tabs>
        <w:jc w:val="both"/>
        <w:rPr>
          <w:rFonts w:ascii="Bookman Old Style" w:hAnsi="Bookman Old Style"/>
          <w:szCs w:val="24"/>
        </w:rPr>
      </w:pPr>
    </w:p>
    <w:p w14:paraId="5CD8FDD3" w14:textId="77777777" w:rsidR="00CA77FB" w:rsidRPr="00C03235" w:rsidRDefault="00CA77FB" w:rsidP="00012259">
      <w:pPr>
        <w:pStyle w:val="Ttulo4"/>
        <w:tabs>
          <w:tab w:val="left" w:pos="0"/>
          <w:tab w:val="right" w:pos="9356"/>
        </w:tabs>
        <w:rPr>
          <w:rFonts w:ascii="Bookman Old Style" w:hAnsi="Bookman Old Style"/>
          <w:b w:val="0"/>
          <w:bCs/>
          <w:sz w:val="24"/>
          <w:szCs w:val="24"/>
          <w:lang w:val="es-CO"/>
        </w:rPr>
      </w:pPr>
      <w:r w:rsidRPr="00C03235">
        <w:rPr>
          <w:rFonts w:ascii="Bookman Old Style" w:hAnsi="Bookman Old Style"/>
          <w:b w:val="0"/>
          <w:bCs/>
          <w:sz w:val="24"/>
          <w:szCs w:val="24"/>
          <w:lang w:val="es-CO"/>
        </w:rPr>
        <w:t>Ministerio de Minas y Energía</w:t>
      </w:r>
    </w:p>
    <w:p w14:paraId="0B8E60E5" w14:textId="77777777" w:rsidR="00CA77FB" w:rsidRPr="00C03235" w:rsidRDefault="00CA77FB" w:rsidP="00012259">
      <w:pPr>
        <w:pStyle w:val="Ttulo4"/>
        <w:tabs>
          <w:tab w:val="left" w:pos="0"/>
          <w:tab w:val="right" w:pos="9356"/>
        </w:tabs>
        <w:rPr>
          <w:rFonts w:ascii="Bookman Old Style" w:hAnsi="Bookman Old Style"/>
          <w:b w:val="0"/>
          <w:bCs/>
          <w:sz w:val="24"/>
          <w:szCs w:val="24"/>
          <w:lang w:val="es-CO"/>
        </w:rPr>
      </w:pPr>
    </w:p>
    <w:p w14:paraId="7027F17A" w14:textId="71C5E236" w:rsidR="00CA77FB" w:rsidRPr="00C03235" w:rsidRDefault="00CA77FB" w:rsidP="00012259">
      <w:pPr>
        <w:pStyle w:val="Ttulo3"/>
        <w:tabs>
          <w:tab w:val="left" w:pos="0"/>
          <w:tab w:val="right" w:pos="9356"/>
        </w:tabs>
        <w:rPr>
          <w:rFonts w:ascii="Bookman Old Style" w:hAnsi="Bookman Old Style" w:cs="Arial"/>
          <w:spacing w:val="20"/>
          <w:szCs w:val="24"/>
          <w:lang w:val="es-CO"/>
        </w:rPr>
      </w:pPr>
      <w:r w:rsidRPr="00C03235">
        <w:rPr>
          <w:rFonts w:ascii="Bookman Old Style" w:hAnsi="Bookman Old Style" w:cs="Arial"/>
          <w:spacing w:val="20"/>
          <w:szCs w:val="24"/>
          <w:lang w:val="es-CO"/>
        </w:rPr>
        <w:t>COMISIÓN DE REGULACIÓN DE ENERGÍA Y GAS</w:t>
      </w:r>
    </w:p>
    <w:p w14:paraId="4767CFAE" w14:textId="77777777" w:rsidR="00CA77FB" w:rsidRPr="00C03235" w:rsidRDefault="00CA77FB" w:rsidP="00012259">
      <w:pPr>
        <w:pStyle w:val="Ttulo5"/>
        <w:tabs>
          <w:tab w:val="left" w:pos="0"/>
          <w:tab w:val="right" w:pos="9356"/>
        </w:tabs>
        <w:rPr>
          <w:rFonts w:ascii="Bookman Old Style" w:hAnsi="Bookman Old Style"/>
          <w:sz w:val="24"/>
          <w:szCs w:val="24"/>
          <w:lang w:val="es-CO"/>
        </w:rPr>
      </w:pPr>
    </w:p>
    <w:p w14:paraId="74971183" w14:textId="77777777" w:rsidR="00CA77FB" w:rsidRPr="00C03235" w:rsidRDefault="00CA77FB" w:rsidP="00012259">
      <w:pPr>
        <w:pStyle w:val="Ttulo5"/>
        <w:tabs>
          <w:tab w:val="left" w:pos="0"/>
          <w:tab w:val="right" w:pos="9356"/>
        </w:tabs>
        <w:rPr>
          <w:rFonts w:ascii="Bookman Old Style" w:hAnsi="Bookman Old Style"/>
          <w:sz w:val="24"/>
          <w:szCs w:val="24"/>
          <w:lang w:val="es-CO"/>
        </w:rPr>
      </w:pPr>
    </w:p>
    <w:p w14:paraId="67AC44F2" w14:textId="77777777" w:rsidR="00A06511" w:rsidRPr="00C03235" w:rsidRDefault="00A06511" w:rsidP="3C596FEF">
      <w:pPr>
        <w:pStyle w:val="Ttulo5"/>
        <w:tabs>
          <w:tab w:val="right" w:pos="9356"/>
        </w:tabs>
        <w:rPr>
          <w:rFonts w:ascii="Bookman Old Style" w:hAnsi="Bookman Old Style"/>
          <w:sz w:val="24"/>
          <w:szCs w:val="24"/>
          <w:lang w:val="es-CO"/>
        </w:rPr>
      </w:pPr>
      <w:r w:rsidRPr="00C03235">
        <w:rPr>
          <w:rFonts w:ascii="Bookman Old Style" w:hAnsi="Bookman Old Style"/>
          <w:sz w:val="24"/>
          <w:szCs w:val="24"/>
          <w:lang w:val="es-CO"/>
        </w:rPr>
        <w:t xml:space="preserve">RESOLUCIÓN No. </w:t>
      </w:r>
      <w:r w:rsidRPr="00C03235">
        <w:rPr>
          <w:rFonts w:ascii="Bookman Old Style" w:hAnsi="Bookman Old Style"/>
          <w:sz w:val="24"/>
          <w:szCs w:val="24"/>
          <w:lang w:val="es-CO"/>
        </w:rPr>
        <w:fldChar w:fldCharType="begin"/>
      </w:r>
      <w:r w:rsidRPr="00C03235">
        <w:rPr>
          <w:rFonts w:ascii="Bookman Old Style" w:hAnsi="Bookman Old Style"/>
          <w:sz w:val="24"/>
          <w:szCs w:val="24"/>
          <w:lang w:val="es-CO"/>
        </w:rPr>
        <w:instrText xml:space="preserve"> MERGEFIELD  NumeroResolucion  \* MERGEFORMAT </w:instrText>
      </w:r>
      <w:r w:rsidRPr="00C03235">
        <w:rPr>
          <w:rFonts w:ascii="Bookman Old Style" w:hAnsi="Bookman Old Style"/>
          <w:sz w:val="24"/>
          <w:szCs w:val="24"/>
          <w:lang w:val="es-CO"/>
        </w:rPr>
        <w:fldChar w:fldCharType="separate"/>
      </w:r>
      <w:r w:rsidRPr="00C03235">
        <w:rPr>
          <w:rFonts w:ascii="Bookman Old Style" w:hAnsi="Bookman Old Style"/>
          <w:sz w:val="24"/>
          <w:szCs w:val="24"/>
          <w:lang w:val="es-CO"/>
        </w:rPr>
        <w:t>501 073</w:t>
      </w:r>
      <w:r w:rsidRPr="00C03235">
        <w:rPr>
          <w:rFonts w:ascii="Bookman Old Style" w:hAnsi="Bookman Old Style"/>
          <w:sz w:val="24"/>
          <w:szCs w:val="24"/>
          <w:lang w:val="es-CO"/>
        </w:rPr>
        <w:fldChar w:fldCharType="end"/>
      </w:r>
      <w:r w:rsidRPr="00C03235">
        <w:rPr>
          <w:rFonts w:ascii="Bookman Old Style" w:hAnsi="Bookman Old Style"/>
          <w:sz w:val="24"/>
          <w:szCs w:val="24"/>
          <w:lang w:val="es-CO"/>
        </w:rPr>
        <w:t xml:space="preserve"> DE </w:t>
      </w:r>
      <w:r w:rsidRPr="00C03235">
        <w:rPr>
          <w:rFonts w:ascii="Bookman Old Style" w:hAnsi="Bookman Old Style"/>
          <w:sz w:val="24"/>
          <w:szCs w:val="24"/>
          <w:lang w:val="es-CO"/>
        </w:rPr>
        <w:fldChar w:fldCharType="begin"/>
      </w:r>
      <w:r w:rsidRPr="00C03235">
        <w:rPr>
          <w:rFonts w:ascii="Bookman Old Style" w:hAnsi="Bookman Old Style"/>
          <w:sz w:val="24"/>
          <w:szCs w:val="24"/>
          <w:lang w:val="es-CO"/>
        </w:rPr>
        <w:instrText xml:space="preserve"> MERGEFIELD  Anio  \* MERGEFORMAT </w:instrText>
      </w:r>
      <w:r w:rsidRPr="00C03235">
        <w:rPr>
          <w:rFonts w:ascii="Bookman Old Style" w:hAnsi="Bookman Old Style"/>
          <w:sz w:val="24"/>
          <w:szCs w:val="24"/>
          <w:lang w:val="es-CO"/>
        </w:rPr>
        <w:fldChar w:fldCharType="separate"/>
      </w:r>
      <w:r w:rsidRPr="00C03235">
        <w:rPr>
          <w:rFonts w:ascii="Bookman Old Style" w:hAnsi="Bookman Old Style"/>
          <w:sz w:val="24"/>
          <w:szCs w:val="24"/>
          <w:lang w:val="es-CO"/>
        </w:rPr>
        <w:t>2024</w:t>
      </w:r>
      <w:r w:rsidRPr="00C03235">
        <w:rPr>
          <w:rFonts w:ascii="Bookman Old Style" w:hAnsi="Bookman Old Style"/>
          <w:sz w:val="24"/>
          <w:szCs w:val="24"/>
          <w:lang w:val="es-CO"/>
        </w:rPr>
        <w:fldChar w:fldCharType="end"/>
      </w:r>
    </w:p>
    <w:p w14:paraId="0C7D114C" w14:textId="77777777" w:rsidR="00CA77FB" w:rsidRPr="00C03235" w:rsidRDefault="00CA77FB" w:rsidP="00012259">
      <w:pPr>
        <w:tabs>
          <w:tab w:val="left" w:pos="0"/>
          <w:tab w:val="right" w:pos="9356"/>
        </w:tabs>
        <w:jc w:val="center"/>
        <w:rPr>
          <w:rFonts w:cs="Arial"/>
          <w:b/>
          <w:snapToGrid w:val="0"/>
          <w:color w:val="000000"/>
        </w:rPr>
      </w:pPr>
    </w:p>
    <w:p w14:paraId="6AA1EB94" w14:textId="77777777" w:rsidR="00DB55D9" w:rsidRPr="00C4663B" w:rsidRDefault="00DB55D9" w:rsidP="00DB55D9">
      <w:pPr>
        <w:pStyle w:val="Ttulo3"/>
        <w:tabs>
          <w:tab w:val="left" w:pos="0"/>
          <w:tab w:val="right" w:pos="9356"/>
        </w:tabs>
        <w:rPr>
          <w:rFonts w:ascii="Bookman Old Style" w:hAnsi="Bookman Old Style"/>
          <w:bCs/>
          <w:szCs w:val="24"/>
        </w:rPr>
      </w:pPr>
      <w:r w:rsidRPr="00C4663B">
        <w:rPr>
          <w:rFonts w:ascii="Bookman Old Style" w:hAnsi="Bookman Old Style"/>
          <w:bCs/>
          <w:szCs w:val="24"/>
        </w:rPr>
        <w:t>(31 oct.2024)</w:t>
      </w:r>
    </w:p>
    <w:p w14:paraId="57D77EBA" w14:textId="77777777" w:rsidR="00CA77FB" w:rsidRPr="00C03235" w:rsidRDefault="00CA77FB" w:rsidP="00012259">
      <w:pPr>
        <w:tabs>
          <w:tab w:val="left" w:pos="0"/>
          <w:tab w:val="right" w:pos="9356"/>
        </w:tabs>
        <w:jc w:val="center"/>
      </w:pPr>
    </w:p>
    <w:p w14:paraId="46D8C664" w14:textId="0AFFA545" w:rsidR="00045D3D" w:rsidRPr="00C03235" w:rsidRDefault="00045D3D" w:rsidP="00045D3D">
      <w:pPr>
        <w:jc w:val="center"/>
      </w:pPr>
      <w:r w:rsidRPr="00C03235">
        <w:t>Por</w:t>
      </w:r>
      <w:r w:rsidR="00946EEA" w:rsidRPr="00C03235">
        <w:t xml:space="preserve"> la cual se resuelve el recurso de reposición interpuesto por HELIOS</w:t>
      </w:r>
      <w:r w:rsidR="5A7B936A" w:rsidRPr="00C03235">
        <w:t xml:space="preserve"> ENERGÍA</w:t>
      </w:r>
      <w:r w:rsidR="001B729B" w:rsidRPr="00C03235">
        <w:t xml:space="preserve"> S.A</w:t>
      </w:r>
      <w:r w:rsidR="483F55A5" w:rsidRPr="00C03235">
        <w:t>.</w:t>
      </w:r>
      <w:r w:rsidR="001B729B" w:rsidRPr="00C03235">
        <w:t xml:space="preserve"> E.S.P</w:t>
      </w:r>
      <w:r w:rsidR="000520A7" w:rsidRPr="00C03235">
        <w:t>.</w:t>
      </w:r>
      <w:r w:rsidR="001B729B" w:rsidRPr="00C03235">
        <w:t xml:space="preserve"> </w:t>
      </w:r>
      <w:r w:rsidR="00946EEA" w:rsidRPr="00C03235">
        <w:t xml:space="preserve">contra la Resolución CREG 501 </w:t>
      </w:r>
      <w:r w:rsidR="006F1EE9" w:rsidRPr="00C03235">
        <w:t>004</w:t>
      </w:r>
      <w:r w:rsidR="00946EEA" w:rsidRPr="00C03235">
        <w:t xml:space="preserve"> de 2023</w:t>
      </w:r>
    </w:p>
    <w:p w14:paraId="44AE5BAA" w14:textId="77777777" w:rsidR="00E56A82" w:rsidRPr="00C03235" w:rsidRDefault="00E56A82" w:rsidP="00045D3D">
      <w:pPr>
        <w:jc w:val="center"/>
      </w:pPr>
    </w:p>
    <w:p w14:paraId="48CA6E8D" w14:textId="77777777" w:rsidR="00045D3D" w:rsidRPr="00C03235" w:rsidRDefault="00045D3D" w:rsidP="00045D3D">
      <w:pPr>
        <w:jc w:val="center"/>
      </w:pPr>
    </w:p>
    <w:p w14:paraId="7B67FAFA" w14:textId="77777777" w:rsidR="00045D3D" w:rsidRPr="00C03235" w:rsidRDefault="00045D3D" w:rsidP="00045D3D">
      <w:pPr>
        <w:ind w:right="51"/>
        <w:jc w:val="center"/>
        <w:rPr>
          <w:b/>
        </w:rPr>
      </w:pPr>
      <w:r w:rsidRPr="00C03235">
        <w:rPr>
          <w:b/>
        </w:rPr>
        <w:t xml:space="preserve">LA COMISIÓN DE REGULACIÓN </w:t>
      </w:r>
      <w:r w:rsidR="007B5A60" w:rsidRPr="00C03235">
        <w:rPr>
          <w:b/>
        </w:rPr>
        <w:t>DE ENERGÍA</w:t>
      </w:r>
      <w:r w:rsidRPr="00C03235">
        <w:rPr>
          <w:b/>
        </w:rPr>
        <w:t xml:space="preserve"> Y GAS</w:t>
      </w:r>
    </w:p>
    <w:p w14:paraId="5F144221" w14:textId="77777777" w:rsidR="00045D3D" w:rsidRPr="00C03235" w:rsidRDefault="00045D3D" w:rsidP="00045D3D">
      <w:pPr>
        <w:ind w:right="51"/>
      </w:pPr>
    </w:p>
    <w:p w14:paraId="2739C8D4" w14:textId="77777777" w:rsidR="00045D3D" w:rsidRPr="00C03235" w:rsidRDefault="00045D3D" w:rsidP="00045D3D">
      <w:pPr>
        <w:ind w:right="51"/>
      </w:pPr>
    </w:p>
    <w:p w14:paraId="6EDA2283" w14:textId="28EF14B3" w:rsidR="00045D3D" w:rsidRPr="00C03235" w:rsidRDefault="50F44BC7" w:rsidP="00045D3D">
      <w:pPr>
        <w:pStyle w:val="Textoindependiente3"/>
        <w:rPr>
          <w:rFonts w:ascii="Bookman Old Style" w:hAnsi="Bookman Old Style"/>
          <w:b w:val="0"/>
          <w:bCs w:val="0"/>
        </w:rPr>
      </w:pPr>
      <w:r w:rsidRPr="00C03235">
        <w:rPr>
          <w:rFonts w:ascii="Bookman Old Style" w:hAnsi="Bookman Old Style"/>
          <w:b w:val="0"/>
          <w:bCs w:val="0"/>
        </w:rPr>
        <w:t xml:space="preserve">En ejercicio de sus atribuciones constitucionales y legales, en especial las conferidas por las </w:t>
      </w:r>
      <w:r w:rsidR="763E31D5" w:rsidRPr="00C03235">
        <w:rPr>
          <w:rFonts w:ascii="Bookman Old Style" w:hAnsi="Bookman Old Style"/>
          <w:b w:val="0"/>
          <w:bCs w:val="0"/>
        </w:rPr>
        <w:t>l</w:t>
      </w:r>
      <w:r w:rsidRPr="00C03235">
        <w:rPr>
          <w:rFonts w:ascii="Bookman Old Style" w:hAnsi="Bookman Old Style"/>
          <w:b w:val="0"/>
          <w:bCs w:val="0"/>
        </w:rPr>
        <w:t xml:space="preserve">eyes 142 y 143 de 1994, y en desarrollo de los </w:t>
      </w:r>
      <w:r w:rsidR="763E31D5" w:rsidRPr="00C03235">
        <w:rPr>
          <w:rFonts w:ascii="Bookman Old Style" w:hAnsi="Bookman Old Style"/>
          <w:b w:val="0"/>
          <w:bCs w:val="0"/>
        </w:rPr>
        <w:t>d</w:t>
      </w:r>
      <w:r w:rsidRPr="00C03235">
        <w:rPr>
          <w:rFonts w:ascii="Bookman Old Style" w:hAnsi="Bookman Old Style"/>
          <w:b w:val="0"/>
          <w:bCs w:val="0"/>
        </w:rPr>
        <w:t>ecretos 2253 de 1994</w:t>
      </w:r>
      <w:r w:rsidR="0DB3D303" w:rsidRPr="00C03235">
        <w:rPr>
          <w:rFonts w:ascii="Bookman Old Style" w:hAnsi="Bookman Old Style"/>
          <w:b w:val="0"/>
          <w:bCs w:val="0"/>
        </w:rPr>
        <w:t xml:space="preserve"> y 1260 de 2013</w:t>
      </w:r>
    </w:p>
    <w:p w14:paraId="416AEFF4" w14:textId="77777777" w:rsidR="00045D3D" w:rsidRPr="00C03235" w:rsidRDefault="00045D3D" w:rsidP="00045D3D">
      <w:pPr>
        <w:ind w:right="51"/>
      </w:pPr>
    </w:p>
    <w:p w14:paraId="3E8440ED" w14:textId="77777777" w:rsidR="00045D3D" w:rsidRPr="00C03235" w:rsidRDefault="00045D3D" w:rsidP="00045D3D">
      <w:pPr>
        <w:ind w:right="51"/>
      </w:pPr>
    </w:p>
    <w:p w14:paraId="72BBA367" w14:textId="77777777" w:rsidR="00045D3D" w:rsidRPr="00F67DDB" w:rsidRDefault="00045D3D" w:rsidP="00045D3D">
      <w:pPr>
        <w:ind w:right="51"/>
        <w:jc w:val="center"/>
        <w:rPr>
          <w:b/>
          <w:lang w:val="pt-PT"/>
        </w:rPr>
      </w:pPr>
      <w:r w:rsidRPr="00F67DDB">
        <w:rPr>
          <w:b/>
          <w:lang w:val="pt-PT"/>
        </w:rPr>
        <w:t xml:space="preserve">C O N S I D E R A N D </w:t>
      </w:r>
      <w:r w:rsidR="007B5A60" w:rsidRPr="00F67DDB">
        <w:rPr>
          <w:b/>
          <w:lang w:val="pt-PT"/>
        </w:rPr>
        <w:t>O Q</w:t>
      </w:r>
      <w:r w:rsidRPr="00F67DDB">
        <w:rPr>
          <w:b/>
          <w:lang w:val="pt-PT"/>
        </w:rPr>
        <w:t xml:space="preserve"> U E:</w:t>
      </w:r>
    </w:p>
    <w:p w14:paraId="04D08FF7" w14:textId="77777777" w:rsidR="00045D3D" w:rsidRPr="00F67DDB" w:rsidRDefault="00045D3D" w:rsidP="00045D3D">
      <w:pPr>
        <w:jc w:val="both"/>
        <w:rPr>
          <w:lang w:val="pt-PT"/>
        </w:rPr>
      </w:pPr>
    </w:p>
    <w:p w14:paraId="774A4013" w14:textId="1FBC4995" w:rsidR="0040366A" w:rsidRPr="00C03235" w:rsidRDefault="0040366A" w:rsidP="00C41465">
      <w:pPr>
        <w:pStyle w:val="Prrafodelista"/>
        <w:numPr>
          <w:ilvl w:val="0"/>
          <w:numId w:val="16"/>
        </w:numPr>
        <w:rPr>
          <w:rStyle w:val="Ttulo6Car"/>
          <w:bCs w:val="0"/>
          <w:szCs w:val="26"/>
        </w:rPr>
      </w:pPr>
      <w:r w:rsidRPr="00C03235">
        <w:rPr>
          <w:rStyle w:val="Ttulo6Car"/>
          <w:bCs w:val="0"/>
          <w:szCs w:val="26"/>
        </w:rPr>
        <w:t>ANTECEDENTES</w:t>
      </w:r>
    </w:p>
    <w:p w14:paraId="76891116" w14:textId="77777777" w:rsidR="0040366A" w:rsidRPr="00C03235" w:rsidRDefault="0040366A" w:rsidP="7DD5D957">
      <w:pPr>
        <w:pStyle w:val="Textodebloque"/>
        <w:ind w:right="6"/>
        <w:contextualSpacing/>
        <w:rPr>
          <w:rFonts w:ascii="Bookman Old Style" w:hAnsi="Bookman Old Style"/>
          <w:b/>
          <w:bCs/>
          <w:lang w:val="es-CO"/>
        </w:rPr>
      </w:pPr>
    </w:p>
    <w:p w14:paraId="5404A791" w14:textId="3A359676" w:rsidR="37BF27D2" w:rsidRPr="00C03235" w:rsidRDefault="66516940" w:rsidP="0044612D">
      <w:pPr>
        <w:pStyle w:val="Textodebloque"/>
        <w:spacing w:line="259" w:lineRule="auto"/>
        <w:ind w:right="6"/>
        <w:contextualSpacing/>
        <w:rPr>
          <w:lang w:val="es-CO"/>
        </w:rPr>
      </w:pPr>
      <w:r w:rsidRPr="00C03235">
        <w:rPr>
          <w:rFonts w:ascii="Bookman Old Style" w:hAnsi="Bookman Old Style"/>
          <w:lang w:val="es-CO"/>
        </w:rPr>
        <w:t xml:space="preserve">Mediante comunicación con radicado CREG E2022006852 del 3 de junio de 2022, HELIOS ENERGÍA S.A. E.S.P. </w:t>
      </w:r>
      <w:r w:rsidR="00C9055E">
        <w:rPr>
          <w:rFonts w:ascii="Bookman Old Style" w:hAnsi="Bookman Old Style"/>
          <w:lang w:val="es-CO"/>
        </w:rPr>
        <w:t>(</w:t>
      </w:r>
      <w:r w:rsidRPr="00C03235">
        <w:rPr>
          <w:rFonts w:ascii="Bookman Old Style" w:hAnsi="Bookman Old Style"/>
          <w:lang w:val="es-CO"/>
        </w:rPr>
        <w:t>HELIOS</w:t>
      </w:r>
      <w:r w:rsidR="2C013754" w:rsidRPr="00C03235">
        <w:rPr>
          <w:rFonts w:ascii="Bookman Old Style" w:hAnsi="Bookman Old Style"/>
          <w:lang w:val="es-CO"/>
        </w:rPr>
        <w:t xml:space="preserve"> o recurrente</w:t>
      </w:r>
      <w:r w:rsidR="00C9055E">
        <w:rPr>
          <w:rFonts w:ascii="Bookman Old Style" w:hAnsi="Bookman Old Style"/>
          <w:lang w:val="es-CO"/>
        </w:rPr>
        <w:t>)</w:t>
      </w:r>
      <w:r w:rsidR="0044612D" w:rsidRPr="00C03235">
        <w:rPr>
          <w:rFonts w:ascii="Bookman Old Style" w:hAnsi="Bookman Old Style"/>
          <w:lang w:val="es-CO"/>
        </w:rPr>
        <w:t>,</w:t>
      </w:r>
      <w:r w:rsidRPr="00C03235">
        <w:rPr>
          <w:rFonts w:ascii="Bookman Old Style" w:hAnsi="Bookman Old Style"/>
          <w:lang w:val="es-CO"/>
        </w:rPr>
        <w:t xml:space="preserve"> </w:t>
      </w:r>
      <w:r w:rsidR="6234D96A" w:rsidRPr="00C03235">
        <w:rPr>
          <w:rFonts w:ascii="Bookman Old Style" w:hAnsi="Bookman Old Style"/>
          <w:lang w:val="es-CO"/>
        </w:rPr>
        <w:t>solicitó ante la</w:t>
      </w:r>
      <w:r w:rsidRPr="00C03235">
        <w:rPr>
          <w:rFonts w:ascii="Bookman Old Style" w:hAnsi="Bookman Old Style"/>
          <w:lang w:val="es-CO"/>
        </w:rPr>
        <w:t xml:space="preserve"> Comisión</w:t>
      </w:r>
      <w:r w:rsidR="09ED93FC" w:rsidRPr="00C03235">
        <w:rPr>
          <w:rFonts w:ascii="Bookman Old Style" w:hAnsi="Bookman Old Style"/>
          <w:lang w:val="es-CO"/>
        </w:rPr>
        <w:t xml:space="preserve"> de Regulación</w:t>
      </w:r>
      <w:r w:rsidRPr="00C03235">
        <w:rPr>
          <w:rFonts w:ascii="Bookman Old Style" w:hAnsi="Bookman Old Style"/>
          <w:lang w:val="es-CO"/>
        </w:rPr>
        <w:t xml:space="preserve"> </w:t>
      </w:r>
      <w:r w:rsidR="039A28BB" w:rsidRPr="00C03235">
        <w:rPr>
          <w:rFonts w:ascii="Bookman Old Style" w:hAnsi="Bookman Old Style"/>
          <w:lang w:val="es-CO"/>
        </w:rPr>
        <w:t xml:space="preserve">de Energía y Gas </w:t>
      </w:r>
      <w:r w:rsidR="00514C2A">
        <w:rPr>
          <w:rFonts w:ascii="Bookman Old Style" w:hAnsi="Bookman Old Style"/>
          <w:lang w:val="es-CO"/>
        </w:rPr>
        <w:t>(</w:t>
      </w:r>
      <w:r w:rsidR="039A28BB" w:rsidRPr="00C03235">
        <w:rPr>
          <w:rFonts w:ascii="Bookman Old Style" w:hAnsi="Bookman Old Style"/>
          <w:lang w:val="es-CO"/>
        </w:rPr>
        <w:t>CREG o Comisión</w:t>
      </w:r>
      <w:r w:rsidR="00514C2A">
        <w:rPr>
          <w:rFonts w:ascii="Bookman Old Style" w:hAnsi="Bookman Old Style"/>
          <w:lang w:val="es-CO"/>
        </w:rPr>
        <w:t>)</w:t>
      </w:r>
      <w:r w:rsidR="039A28BB" w:rsidRPr="00C03235">
        <w:rPr>
          <w:rFonts w:ascii="Bookman Old Style" w:hAnsi="Bookman Old Style"/>
          <w:lang w:val="es-CO"/>
        </w:rPr>
        <w:t xml:space="preserve"> </w:t>
      </w:r>
      <w:r w:rsidRPr="00C03235">
        <w:rPr>
          <w:rFonts w:ascii="Bookman Old Style" w:hAnsi="Bookman Old Style"/>
          <w:lang w:val="es-CO"/>
        </w:rPr>
        <w:t>la apr</w:t>
      </w:r>
      <w:r w:rsidR="01FCD57F" w:rsidRPr="00C03235">
        <w:rPr>
          <w:rFonts w:ascii="Bookman Old Style" w:hAnsi="Bookman Old Style"/>
          <w:lang w:val="es-CO"/>
        </w:rPr>
        <w:t>o</w:t>
      </w:r>
      <w:r w:rsidRPr="00C03235">
        <w:rPr>
          <w:rFonts w:ascii="Bookman Old Style" w:hAnsi="Bookman Old Style"/>
          <w:lang w:val="es-CO"/>
        </w:rPr>
        <w:t>bación del cargo de genera</w:t>
      </w:r>
      <w:r w:rsidR="4AE95B2A" w:rsidRPr="00C03235">
        <w:rPr>
          <w:rFonts w:ascii="Bookman Old Style" w:hAnsi="Bookman Old Style"/>
          <w:lang w:val="es-CO"/>
        </w:rPr>
        <w:t>ción del sistema de generación híbrido Diesel-Fotovoltaico, para el merca</w:t>
      </w:r>
      <w:r w:rsidR="3481FF7F" w:rsidRPr="00C03235">
        <w:rPr>
          <w:rFonts w:ascii="Bookman Old Style" w:hAnsi="Bookman Old Style"/>
          <w:lang w:val="es-CO"/>
        </w:rPr>
        <w:t>d</w:t>
      </w:r>
      <w:r w:rsidR="4AE95B2A" w:rsidRPr="00C03235">
        <w:rPr>
          <w:rFonts w:ascii="Bookman Old Style" w:hAnsi="Bookman Old Style"/>
          <w:lang w:val="es-CO"/>
        </w:rPr>
        <w:t>o relevante que ati</w:t>
      </w:r>
      <w:r w:rsidR="19028B7A" w:rsidRPr="00C03235">
        <w:rPr>
          <w:rFonts w:ascii="Bookman Old Style" w:hAnsi="Bookman Old Style"/>
          <w:lang w:val="es-CO"/>
        </w:rPr>
        <w:t>ende los centros poblados de Nazareth y Puerto Estrella en el municipio de Uribia, Guajira.</w:t>
      </w:r>
    </w:p>
    <w:p w14:paraId="5C7C75EE" w14:textId="6A03CEB9" w:rsidR="7DD5D957" w:rsidRPr="00C03235" w:rsidRDefault="7DD5D957" w:rsidP="7DD5D957">
      <w:pPr>
        <w:pStyle w:val="Textodebloque"/>
        <w:ind w:right="6"/>
        <w:contextualSpacing/>
        <w:rPr>
          <w:rFonts w:ascii="Bookman Old Style" w:hAnsi="Bookman Old Style"/>
          <w:b/>
          <w:bCs/>
          <w:lang w:val="es-CO"/>
        </w:rPr>
      </w:pPr>
    </w:p>
    <w:p w14:paraId="63735A2D" w14:textId="1CF35FB1" w:rsidR="166A2EEF" w:rsidRPr="00C03235" w:rsidRDefault="129795A4" w:rsidP="6BB24A92">
      <w:pPr>
        <w:pStyle w:val="Textodebloque"/>
        <w:spacing w:line="259" w:lineRule="auto"/>
        <w:ind w:right="6"/>
        <w:contextualSpacing/>
        <w:rPr>
          <w:rFonts w:ascii="Bookman Old Style" w:hAnsi="Bookman Old Style"/>
          <w:lang w:val="es-CO"/>
        </w:rPr>
      </w:pPr>
      <w:r w:rsidRPr="00C03235">
        <w:rPr>
          <w:rFonts w:ascii="Bookman Old Style" w:hAnsi="Bookman Old Style"/>
          <w:lang w:val="es-CO"/>
        </w:rPr>
        <w:t xml:space="preserve">A través del Auto </w:t>
      </w:r>
      <w:r w:rsidR="3E627BE1" w:rsidRPr="00C03235">
        <w:rPr>
          <w:rFonts w:ascii="Bookman Old Style" w:hAnsi="Bookman Old Style"/>
          <w:lang w:val="es-CO"/>
        </w:rPr>
        <w:t>con radicado CREG I2022007162 del 3 de octubre de 2022, la Comisión</w:t>
      </w:r>
      <w:r w:rsidRPr="00C03235">
        <w:rPr>
          <w:rFonts w:ascii="Bookman Old Style" w:hAnsi="Bookman Old Style"/>
          <w:lang w:val="es-CO"/>
        </w:rPr>
        <w:t xml:space="preserve"> </w:t>
      </w:r>
      <w:r w:rsidR="00C86E19" w:rsidRPr="00C03235">
        <w:rPr>
          <w:rFonts w:ascii="Bookman Old Style" w:hAnsi="Bookman Old Style"/>
          <w:lang w:val="es-CO"/>
        </w:rPr>
        <w:t>inició</w:t>
      </w:r>
      <w:r w:rsidR="1585F04D" w:rsidRPr="00C03235">
        <w:rPr>
          <w:rFonts w:ascii="Bookman Old Style" w:hAnsi="Bookman Old Style"/>
          <w:lang w:val="es-CO"/>
        </w:rPr>
        <w:t xml:space="preserve"> </w:t>
      </w:r>
      <w:r w:rsidR="3964FB0A" w:rsidRPr="00C03235">
        <w:rPr>
          <w:rFonts w:ascii="Bookman Old Style" w:hAnsi="Bookman Old Style"/>
          <w:lang w:val="es-CO"/>
        </w:rPr>
        <w:t>un</w:t>
      </w:r>
      <w:r w:rsidR="1585F04D" w:rsidRPr="00C03235">
        <w:rPr>
          <w:rFonts w:ascii="Bookman Old Style" w:hAnsi="Bookman Old Style"/>
          <w:lang w:val="es-CO"/>
        </w:rPr>
        <w:t>a actuación administrativa con base en la solicitud presentada por HELIOS.</w:t>
      </w:r>
    </w:p>
    <w:p w14:paraId="7FE9AB16" w14:textId="3D85D99E" w:rsidR="7DD5D957" w:rsidRPr="00C03235" w:rsidRDefault="7DD5D957" w:rsidP="7DD5D957">
      <w:pPr>
        <w:pStyle w:val="Textodebloque"/>
        <w:ind w:right="6"/>
        <w:contextualSpacing/>
        <w:rPr>
          <w:rFonts w:ascii="Bookman Old Style" w:hAnsi="Bookman Old Style"/>
          <w:lang w:val="es-CO"/>
        </w:rPr>
      </w:pPr>
    </w:p>
    <w:p w14:paraId="5B433B76" w14:textId="56277E31" w:rsidR="0040366A" w:rsidRPr="00C03235" w:rsidRDefault="0040366A" w:rsidP="00B833AB">
      <w:pPr>
        <w:pStyle w:val="Textodebloque"/>
        <w:spacing w:after="0" w:line="259" w:lineRule="auto"/>
        <w:ind w:right="6"/>
        <w:contextualSpacing/>
        <w:rPr>
          <w:rFonts w:ascii="Bookman Old Style" w:hAnsi="Bookman Old Style"/>
          <w:lang w:val="es-CO"/>
        </w:rPr>
      </w:pPr>
      <w:r w:rsidRPr="00C03235">
        <w:rPr>
          <w:rFonts w:ascii="Bookman Old Style" w:hAnsi="Bookman Old Style"/>
          <w:lang w:val="es-CO"/>
        </w:rPr>
        <w:t xml:space="preserve">El </w:t>
      </w:r>
      <w:r w:rsidR="00D309E6" w:rsidRPr="00C03235">
        <w:rPr>
          <w:rFonts w:ascii="Bookman Old Style" w:hAnsi="Bookman Old Style"/>
          <w:lang w:val="es-CO"/>
        </w:rPr>
        <w:t>3</w:t>
      </w:r>
      <w:r w:rsidRPr="00C03235">
        <w:rPr>
          <w:rFonts w:ascii="Bookman Old Style" w:hAnsi="Bookman Old Style"/>
          <w:lang w:val="es-CO"/>
        </w:rPr>
        <w:t xml:space="preserve"> de </w:t>
      </w:r>
      <w:r w:rsidR="00D309E6" w:rsidRPr="00C03235">
        <w:rPr>
          <w:rFonts w:ascii="Bookman Old Style" w:hAnsi="Bookman Old Style"/>
          <w:lang w:val="es-CO"/>
        </w:rPr>
        <w:t xml:space="preserve">febrero </w:t>
      </w:r>
      <w:r w:rsidRPr="00C03235">
        <w:rPr>
          <w:rFonts w:ascii="Bookman Old Style" w:hAnsi="Bookman Old Style"/>
          <w:lang w:val="es-CO"/>
        </w:rPr>
        <w:t>de</w:t>
      </w:r>
      <w:r w:rsidR="58E417E8" w:rsidRPr="00C03235">
        <w:rPr>
          <w:rFonts w:ascii="Bookman Old Style" w:hAnsi="Bookman Old Style"/>
          <w:lang w:val="es-CO"/>
        </w:rPr>
        <w:t xml:space="preserve"> </w:t>
      </w:r>
      <w:r w:rsidR="00FB4262" w:rsidRPr="00C03235">
        <w:rPr>
          <w:rFonts w:ascii="Bookman Old Style" w:hAnsi="Bookman Old Style"/>
          <w:lang w:val="es-CO"/>
        </w:rPr>
        <w:t>2023</w:t>
      </w:r>
      <w:r w:rsidR="427ED564" w:rsidRPr="00C03235">
        <w:rPr>
          <w:rFonts w:ascii="Bookman Old Style" w:hAnsi="Bookman Old Style"/>
          <w:lang w:val="es-CO"/>
        </w:rPr>
        <w:t>,</w:t>
      </w:r>
      <w:r w:rsidR="00FB4262" w:rsidRPr="00C03235">
        <w:rPr>
          <w:rFonts w:ascii="Bookman Old Style" w:hAnsi="Bookman Old Style"/>
          <w:lang w:val="es-CO"/>
        </w:rPr>
        <w:t xml:space="preserve"> </w:t>
      </w:r>
      <w:r w:rsidRPr="00C03235">
        <w:rPr>
          <w:rFonts w:ascii="Bookman Old Style" w:hAnsi="Bookman Old Style"/>
          <w:lang w:val="es-CO"/>
        </w:rPr>
        <w:t xml:space="preserve">la CREG expidió la Resolución 501 </w:t>
      </w:r>
      <w:r w:rsidR="00D309E6" w:rsidRPr="00C03235">
        <w:rPr>
          <w:rFonts w:ascii="Bookman Old Style" w:hAnsi="Bookman Old Style"/>
          <w:lang w:val="es-CO"/>
        </w:rPr>
        <w:t xml:space="preserve">004 </w:t>
      </w:r>
      <w:r w:rsidRPr="00C03235">
        <w:rPr>
          <w:rFonts w:ascii="Bookman Old Style" w:hAnsi="Bookman Old Style"/>
          <w:lang w:val="es-CO"/>
        </w:rPr>
        <w:t>de 202</w:t>
      </w:r>
      <w:r w:rsidR="00E84685" w:rsidRPr="00C03235">
        <w:rPr>
          <w:rFonts w:ascii="Bookman Old Style" w:hAnsi="Bookman Old Style"/>
          <w:lang w:val="es-CO"/>
        </w:rPr>
        <w:t>3</w:t>
      </w:r>
      <w:r w:rsidRPr="00C03235">
        <w:rPr>
          <w:rFonts w:ascii="Bookman Old Style" w:hAnsi="Bookman Old Style"/>
          <w:lang w:val="es-CO"/>
        </w:rPr>
        <w:t>, “</w:t>
      </w:r>
      <w:r w:rsidR="00D47653" w:rsidRPr="00C03235">
        <w:rPr>
          <w:rFonts w:ascii="Bookman Old Style" w:hAnsi="Bookman Old Style"/>
          <w:i/>
          <w:iCs/>
          <w:lang w:val="es-CO"/>
        </w:rPr>
        <w:t>Por la cual se determina el cargo máximo de generación solar fotovoltaica con acumulación para el mercado relevante de comercialización de los centros poblados de Nazareth y Puerto Estrella del municipio de Uribia en el Departamento de la Guajira</w:t>
      </w:r>
      <w:r w:rsidRPr="00C03235">
        <w:rPr>
          <w:rFonts w:ascii="Bookman Old Style" w:hAnsi="Bookman Old Style"/>
          <w:lang w:val="es-CO"/>
        </w:rPr>
        <w:t xml:space="preserve">”, </w:t>
      </w:r>
      <w:r w:rsidR="0B0E26C1" w:rsidRPr="00C03235">
        <w:rPr>
          <w:rFonts w:ascii="Bookman Old Style" w:hAnsi="Bookman Old Style"/>
          <w:lang w:val="es-CO"/>
        </w:rPr>
        <w:t xml:space="preserve">notificada electrónicamente a </w:t>
      </w:r>
      <w:r w:rsidR="480491F3" w:rsidRPr="00C03235">
        <w:rPr>
          <w:rFonts w:ascii="Bookman Old Style" w:hAnsi="Bookman Old Style"/>
          <w:lang w:val="es-CO"/>
        </w:rPr>
        <w:t xml:space="preserve">HELIOS </w:t>
      </w:r>
      <w:r w:rsidR="208BC361" w:rsidRPr="00C03235">
        <w:rPr>
          <w:rFonts w:ascii="Bookman Old Style" w:hAnsi="Bookman Old Style"/>
          <w:lang w:val="es-CO"/>
        </w:rPr>
        <w:t>el 27 de febrero del 2023</w:t>
      </w:r>
      <w:r w:rsidRPr="00C03235">
        <w:rPr>
          <w:rStyle w:val="Refdenotaalpie"/>
          <w:rFonts w:ascii="Bookman Old Style" w:hAnsi="Bookman Old Style"/>
          <w:lang w:val="es-CO"/>
        </w:rPr>
        <w:footnoteReference w:id="2"/>
      </w:r>
      <w:r w:rsidR="319707D3" w:rsidRPr="00C03235">
        <w:rPr>
          <w:rFonts w:ascii="Bookman Old Style" w:hAnsi="Bookman Old Style"/>
          <w:lang w:val="es-CO"/>
        </w:rPr>
        <w:t>.</w:t>
      </w:r>
    </w:p>
    <w:p w14:paraId="185DC228" w14:textId="2AF44529" w:rsidR="0040366A" w:rsidRPr="00C03235" w:rsidRDefault="0040366A" w:rsidP="127C26DC">
      <w:pPr>
        <w:pStyle w:val="Textodebloque"/>
        <w:ind w:right="6"/>
        <w:contextualSpacing/>
        <w:rPr>
          <w:rFonts w:ascii="Bookman Old Style" w:hAnsi="Bookman Old Style"/>
          <w:lang w:val="es-CO"/>
        </w:rPr>
      </w:pPr>
    </w:p>
    <w:p w14:paraId="03616053" w14:textId="023082B4" w:rsidR="0040366A" w:rsidRPr="00C03235" w:rsidRDefault="208BC361" w:rsidP="003E3143">
      <w:pPr>
        <w:pStyle w:val="Textodebloque"/>
        <w:spacing w:line="259" w:lineRule="auto"/>
        <w:ind w:right="6"/>
        <w:contextualSpacing/>
        <w:rPr>
          <w:rFonts w:ascii="Bookman Old Style" w:hAnsi="Bookman Old Style"/>
          <w:lang w:val="es-CO"/>
        </w:rPr>
      </w:pPr>
      <w:r w:rsidRPr="00C03235">
        <w:rPr>
          <w:rFonts w:ascii="Bookman Old Style" w:hAnsi="Bookman Old Style"/>
          <w:lang w:val="es-CO"/>
        </w:rPr>
        <w:t xml:space="preserve">La precitada Resolución, </w:t>
      </w:r>
      <w:r w:rsidR="1E931609" w:rsidRPr="00C03235">
        <w:rPr>
          <w:rFonts w:ascii="Bookman Old Style" w:hAnsi="Bookman Old Style"/>
          <w:lang w:val="es-CO"/>
        </w:rPr>
        <w:t>determinó en</w:t>
      </w:r>
      <w:r w:rsidR="08B64F93" w:rsidRPr="00C03235">
        <w:rPr>
          <w:rFonts w:ascii="Bookman Old Style" w:hAnsi="Bookman Old Style"/>
          <w:lang w:val="es-CO"/>
        </w:rPr>
        <w:t xml:space="preserve"> su </w:t>
      </w:r>
      <w:r w:rsidR="0040366A" w:rsidRPr="00C03235">
        <w:rPr>
          <w:rFonts w:ascii="Bookman Old Style" w:hAnsi="Bookman Old Style"/>
          <w:lang w:val="es-CO"/>
        </w:rPr>
        <w:t>artículo 1</w:t>
      </w:r>
      <w:r w:rsidR="6ABE0976" w:rsidRPr="00C03235">
        <w:rPr>
          <w:rFonts w:ascii="Bookman Old Style" w:hAnsi="Bookman Old Style"/>
          <w:lang w:val="es-CO"/>
        </w:rPr>
        <w:t xml:space="preserve"> que</w:t>
      </w:r>
      <w:r w:rsidR="0040366A" w:rsidRPr="00C03235">
        <w:rPr>
          <w:rFonts w:ascii="Bookman Old Style" w:hAnsi="Bookman Old Style"/>
          <w:lang w:val="es-CO"/>
        </w:rPr>
        <w:t xml:space="preserve"> lo</w:t>
      </w:r>
      <w:r w:rsidR="00550815" w:rsidRPr="00C03235">
        <w:rPr>
          <w:rFonts w:ascii="Bookman Old Style" w:hAnsi="Bookman Old Style"/>
          <w:lang w:val="es-CO"/>
        </w:rPr>
        <w:t>s componentes que remuneran los costos de inversión y</w:t>
      </w:r>
      <w:r w:rsidR="6075A46F" w:rsidRPr="00C03235">
        <w:rPr>
          <w:rFonts w:ascii="Bookman Old Style" w:hAnsi="Bookman Old Style"/>
          <w:lang w:val="es-CO"/>
        </w:rPr>
        <w:t xml:space="preserve"> Administración,</w:t>
      </w:r>
      <w:r w:rsidR="00550815" w:rsidRPr="00C03235">
        <w:rPr>
          <w:rFonts w:ascii="Bookman Old Style" w:hAnsi="Bookman Old Style"/>
          <w:lang w:val="es-CO"/>
        </w:rPr>
        <w:t xml:space="preserve"> </w:t>
      </w:r>
      <w:r w:rsidR="1392DBA5" w:rsidRPr="00C03235">
        <w:rPr>
          <w:rFonts w:ascii="Bookman Old Style" w:hAnsi="Bookman Old Style"/>
          <w:lang w:val="es-CO"/>
        </w:rPr>
        <w:t xml:space="preserve">Operación y </w:t>
      </w:r>
      <w:r w:rsidR="78243288" w:rsidRPr="00C03235">
        <w:rPr>
          <w:rFonts w:ascii="Bookman Old Style" w:hAnsi="Bookman Old Style"/>
          <w:lang w:val="es-CO"/>
        </w:rPr>
        <w:t>Ma</w:t>
      </w:r>
      <w:r w:rsidR="1392DBA5" w:rsidRPr="00C03235">
        <w:rPr>
          <w:rFonts w:ascii="Bookman Old Style" w:hAnsi="Bookman Old Style"/>
          <w:lang w:val="es-CO"/>
        </w:rPr>
        <w:t>ntenimiento (</w:t>
      </w:r>
      <w:r w:rsidR="00550815" w:rsidRPr="00C03235">
        <w:rPr>
          <w:rFonts w:ascii="Bookman Old Style" w:hAnsi="Bookman Old Style"/>
          <w:lang w:val="es-CO"/>
        </w:rPr>
        <w:t>AOM</w:t>
      </w:r>
      <w:r w:rsidR="115ADB07" w:rsidRPr="00C03235">
        <w:rPr>
          <w:rFonts w:ascii="Bookman Old Style" w:hAnsi="Bookman Old Style"/>
          <w:lang w:val="es-CO"/>
        </w:rPr>
        <w:t>)</w:t>
      </w:r>
      <w:r w:rsidR="00550815" w:rsidRPr="00C03235">
        <w:rPr>
          <w:rFonts w:ascii="Bookman Old Style" w:hAnsi="Bookman Old Style"/>
          <w:lang w:val="es-CO"/>
        </w:rPr>
        <w:t xml:space="preserve"> de generación que atiende el mercado de Nazareth y Puerto Estrella</w:t>
      </w:r>
      <w:r w:rsidR="3E2B6137" w:rsidRPr="00C03235">
        <w:rPr>
          <w:rFonts w:ascii="Bookman Old Style" w:hAnsi="Bookman Old Style"/>
          <w:lang w:val="es-CO"/>
        </w:rPr>
        <w:t>, serían</w:t>
      </w:r>
      <w:r w:rsidR="0040366A" w:rsidRPr="00C03235">
        <w:rPr>
          <w:rFonts w:ascii="Bookman Old Style" w:hAnsi="Bookman Old Style"/>
          <w:lang w:val="es-CO"/>
        </w:rPr>
        <w:t>:</w:t>
      </w:r>
    </w:p>
    <w:p w14:paraId="49B8EFD9" w14:textId="77777777" w:rsidR="0040366A" w:rsidRPr="00C03235" w:rsidRDefault="0040366A" w:rsidP="00734DC6">
      <w:pPr>
        <w:pStyle w:val="Textodebloque"/>
        <w:ind w:right="6"/>
        <w:contextualSpacing/>
        <w:rPr>
          <w:rFonts w:ascii="Bookman Old Style" w:hAnsi="Bookman Old Style"/>
          <w:szCs w:val="24"/>
          <w:lang w:val="es-CO"/>
        </w:rPr>
      </w:pPr>
    </w:p>
    <w:p w14:paraId="56D62B4D" w14:textId="744883FE" w:rsidR="0040366A" w:rsidRPr="00C03235" w:rsidRDefault="0040366A" w:rsidP="003E3143">
      <w:pPr>
        <w:pStyle w:val="Textodebloque"/>
        <w:ind w:left="284" w:right="6"/>
        <w:contextualSpacing/>
        <w:rPr>
          <w:rFonts w:ascii="Bookman Old Style" w:hAnsi="Bookman Old Style"/>
          <w:i/>
          <w:iCs/>
          <w:sz w:val="22"/>
          <w:szCs w:val="22"/>
          <w:lang w:val="es-CO"/>
        </w:rPr>
      </w:pPr>
      <w:r w:rsidRPr="00C03235">
        <w:rPr>
          <w:rFonts w:ascii="Bookman Old Style" w:hAnsi="Bookman Old Style"/>
          <w:i/>
          <w:iCs/>
          <w:sz w:val="22"/>
          <w:szCs w:val="22"/>
          <w:lang w:val="es-CO"/>
        </w:rPr>
        <w:t>“(</w:t>
      </w:r>
      <w:r w:rsidR="44049324" w:rsidRPr="00C03235">
        <w:rPr>
          <w:rFonts w:ascii="Bookman Old Style" w:hAnsi="Bookman Old Style"/>
          <w:i/>
          <w:iCs/>
          <w:sz w:val="22"/>
          <w:szCs w:val="22"/>
          <w:lang w:val="es-CO"/>
        </w:rPr>
        <w:t>.</w:t>
      </w:r>
      <w:r w:rsidRPr="00C03235">
        <w:rPr>
          <w:rFonts w:ascii="Bookman Old Style" w:hAnsi="Bookman Old Style"/>
          <w:i/>
          <w:iCs/>
          <w:sz w:val="22"/>
          <w:szCs w:val="22"/>
          <w:lang w:val="es-CO"/>
        </w:rPr>
        <w:t xml:space="preserve">..) </w:t>
      </w:r>
      <w:r w:rsidR="00EA698F" w:rsidRPr="00C03235">
        <w:rPr>
          <w:rFonts w:ascii="Bookman Old Style" w:hAnsi="Bookman Old Style"/>
          <w:i/>
          <w:iCs/>
          <w:sz w:val="22"/>
          <w:szCs w:val="22"/>
          <w:lang w:val="es-CO"/>
        </w:rPr>
        <w:t>Las componentes que remuneran los costos de inversión y de administración, operación y mantenimiento para sistemas híbridos diésel solar fotovoltaicos con acumulación en el mercado relevante de comercialización que atiende los centros poblados de Nazareth y Puerto Estrella del Municipio de Uribia en el Departamento de La Guajira, son las siguientes</w:t>
      </w:r>
      <w:r w:rsidRPr="00C03235">
        <w:rPr>
          <w:rFonts w:ascii="Bookman Old Style" w:hAnsi="Bookman Old Style"/>
          <w:i/>
          <w:iCs/>
          <w:sz w:val="22"/>
          <w:szCs w:val="22"/>
          <w:lang w:val="es-CO"/>
        </w:rPr>
        <w:t>:</w:t>
      </w:r>
    </w:p>
    <w:p w14:paraId="7262CFE1" w14:textId="77777777" w:rsidR="004D5645" w:rsidRPr="00C03235" w:rsidRDefault="004D5645" w:rsidP="004D5645">
      <w:pPr>
        <w:pStyle w:val="Piedepgina"/>
        <w:tabs>
          <w:tab w:val="clear" w:pos="4252"/>
          <w:tab w:val="clear" w:pos="8504"/>
          <w:tab w:val="center" w:pos="4845"/>
        </w:tabs>
        <w:ind w:left="284" w:right="142"/>
        <w:contextualSpacing/>
        <w:jc w:val="center"/>
        <w:rPr>
          <w:rFonts w:cs="Arial"/>
          <w:b/>
          <w:i/>
          <w:iCs/>
          <w:sz w:val="22"/>
          <w:szCs w:val="22"/>
        </w:rPr>
      </w:pPr>
      <w:r w:rsidRPr="00C03235">
        <w:rPr>
          <w:rFonts w:cs="Arial"/>
          <w:b/>
          <w:i/>
          <w:iCs/>
          <w:sz w:val="22"/>
          <w:szCs w:val="22"/>
        </w:rPr>
        <w:t>Tabla 1. Componentes de remuneración de costos de inversión y de administración,</w:t>
      </w:r>
      <w:r w:rsidRPr="00C03235">
        <w:rPr>
          <w:rFonts w:cs="Arial"/>
          <w:b/>
          <w:bCs/>
          <w:i/>
          <w:iCs/>
          <w:sz w:val="22"/>
          <w:szCs w:val="22"/>
        </w:rPr>
        <w:t xml:space="preserve"> operación y mantenimiento para sistemas híbridos diésel - </w:t>
      </w:r>
      <w:r w:rsidRPr="00C03235">
        <w:rPr>
          <w:rFonts w:cs="Arial"/>
          <w:b/>
          <w:i/>
          <w:iCs/>
          <w:sz w:val="22"/>
          <w:szCs w:val="22"/>
        </w:rPr>
        <w:t>solar fotovoltaico con acumulación</w:t>
      </w:r>
    </w:p>
    <w:p w14:paraId="53CDE1F8" w14:textId="77777777" w:rsidR="004D5645" w:rsidRPr="00C03235" w:rsidRDefault="004D5645" w:rsidP="004D5645">
      <w:pPr>
        <w:pStyle w:val="Piedepgina"/>
        <w:tabs>
          <w:tab w:val="clear" w:pos="4252"/>
          <w:tab w:val="clear" w:pos="8504"/>
          <w:tab w:val="center" w:pos="4845"/>
        </w:tabs>
        <w:ind w:left="284" w:right="142"/>
        <w:contextualSpacing/>
        <w:jc w:val="center"/>
        <w:rPr>
          <w:rFonts w:cs="Arial"/>
          <w:b/>
          <w:i/>
          <w:iCs/>
          <w:sz w:val="22"/>
          <w:szCs w:val="22"/>
        </w:rPr>
      </w:pPr>
      <w:r w:rsidRPr="00C03235">
        <w:rPr>
          <w:rFonts w:cs="Arial"/>
          <w:b/>
          <w:i/>
          <w:iCs/>
          <w:sz w:val="22"/>
          <w:szCs w:val="22"/>
        </w:rPr>
        <w:t>(pesos de diciembre de 2006)</w:t>
      </w:r>
    </w:p>
    <w:p w14:paraId="1C62B8D8" w14:textId="77777777" w:rsidR="004D5645" w:rsidRPr="00C03235" w:rsidRDefault="004D5645" w:rsidP="004D5645">
      <w:pPr>
        <w:pStyle w:val="Piedepgina"/>
        <w:tabs>
          <w:tab w:val="clear" w:pos="4252"/>
          <w:tab w:val="clear" w:pos="8504"/>
          <w:tab w:val="center" w:pos="4845"/>
        </w:tabs>
        <w:ind w:left="284" w:right="142"/>
        <w:contextualSpacing/>
        <w:jc w:val="both"/>
        <w:rPr>
          <w:rFonts w:cs="Arial"/>
          <w:i/>
          <w:iCs/>
          <w:sz w:val="22"/>
          <w:szCs w:val="22"/>
        </w:rPr>
      </w:pPr>
    </w:p>
    <w:tbl>
      <w:tblPr>
        <w:tblStyle w:val="Tablaconcuadrcula"/>
        <w:tblW w:w="9127" w:type="dxa"/>
        <w:jc w:val="center"/>
        <w:tblLayout w:type="fixed"/>
        <w:tblLook w:val="04A0" w:firstRow="1" w:lastRow="0" w:firstColumn="1" w:lastColumn="0" w:noHBand="0" w:noVBand="1"/>
      </w:tblPr>
      <w:tblGrid>
        <w:gridCol w:w="3005"/>
        <w:gridCol w:w="3061"/>
        <w:gridCol w:w="3061"/>
      </w:tblGrid>
      <w:tr w:rsidR="004D5645" w:rsidRPr="00C03235" w14:paraId="71A3FEE7" w14:textId="77777777">
        <w:trPr>
          <w:trHeight w:val="1120"/>
          <w:jc w:val="center"/>
        </w:trPr>
        <w:tc>
          <w:tcPr>
            <w:tcW w:w="3005" w:type="dxa"/>
            <w:vAlign w:val="center"/>
          </w:tcPr>
          <w:p w14:paraId="1259F077" w14:textId="77777777" w:rsidR="004D5645" w:rsidRPr="00C03235" w:rsidRDefault="004D5645" w:rsidP="00EE2DE6">
            <w:pPr>
              <w:pStyle w:val="Piedepgina"/>
              <w:tabs>
                <w:tab w:val="clear" w:pos="4252"/>
                <w:tab w:val="clear" w:pos="8504"/>
                <w:tab w:val="center" w:pos="4845"/>
              </w:tabs>
              <w:ind w:right="142"/>
              <w:contextualSpacing/>
              <w:jc w:val="center"/>
              <w:rPr>
                <w:rFonts w:cs="Arial"/>
                <w:b/>
                <w:i/>
                <w:iCs/>
                <w:sz w:val="22"/>
                <w:szCs w:val="22"/>
              </w:rPr>
            </w:pPr>
            <w:r w:rsidRPr="00C03235">
              <w:rPr>
                <w:rFonts w:cs="Arial"/>
                <w:b/>
                <w:i/>
                <w:iCs/>
                <w:sz w:val="22"/>
                <w:szCs w:val="22"/>
              </w:rPr>
              <w:t>Tipo de recurso energético</w:t>
            </w:r>
          </w:p>
        </w:tc>
        <w:tc>
          <w:tcPr>
            <w:tcW w:w="3061" w:type="dxa"/>
            <w:vAlign w:val="center"/>
          </w:tcPr>
          <w:p w14:paraId="1F6ACF56" w14:textId="77777777" w:rsidR="004D5645" w:rsidRPr="00C03235" w:rsidRDefault="004D5645" w:rsidP="00EE2DE6">
            <w:pPr>
              <w:pStyle w:val="Piedepgina"/>
              <w:tabs>
                <w:tab w:val="clear" w:pos="4252"/>
                <w:tab w:val="clear" w:pos="8504"/>
                <w:tab w:val="center" w:pos="4845"/>
              </w:tabs>
              <w:ind w:right="142"/>
              <w:contextualSpacing/>
              <w:jc w:val="center"/>
              <w:rPr>
                <w:rFonts w:cs="Arial"/>
                <w:b/>
                <w:i/>
                <w:iCs/>
                <w:sz w:val="22"/>
                <w:szCs w:val="22"/>
                <w:vertAlign w:val="subscript"/>
              </w:rPr>
            </w:pPr>
            <w:r w:rsidRPr="00C03235">
              <w:rPr>
                <w:rFonts w:cs="Arial"/>
                <w:b/>
                <w:i/>
                <w:iCs/>
                <w:sz w:val="22"/>
                <w:szCs w:val="22"/>
              </w:rPr>
              <w:t>Costo de inversión, CI</w:t>
            </w:r>
            <w:r w:rsidRPr="00C03235">
              <w:rPr>
                <w:rFonts w:cs="Arial"/>
                <w:b/>
                <w:i/>
                <w:iCs/>
                <w:sz w:val="22"/>
                <w:szCs w:val="22"/>
                <w:vertAlign w:val="subscript"/>
              </w:rPr>
              <w:t>j,0</w:t>
            </w:r>
          </w:p>
          <w:p w14:paraId="5FA0E25E" w14:textId="77777777" w:rsidR="004D5645" w:rsidRPr="00C03235" w:rsidRDefault="004D5645" w:rsidP="00EE2DE6">
            <w:pPr>
              <w:pStyle w:val="Piedepgina"/>
              <w:tabs>
                <w:tab w:val="clear" w:pos="4252"/>
                <w:tab w:val="clear" w:pos="8504"/>
                <w:tab w:val="center" w:pos="4845"/>
              </w:tabs>
              <w:ind w:right="142"/>
              <w:contextualSpacing/>
              <w:jc w:val="center"/>
              <w:rPr>
                <w:rFonts w:cs="Arial"/>
                <w:b/>
                <w:i/>
                <w:iCs/>
                <w:sz w:val="22"/>
                <w:szCs w:val="22"/>
              </w:rPr>
            </w:pPr>
            <w:r w:rsidRPr="00C03235">
              <w:rPr>
                <w:rFonts w:cs="Arial"/>
                <w:b/>
                <w:i/>
                <w:iCs/>
                <w:sz w:val="22"/>
                <w:szCs w:val="22"/>
              </w:rPr>
              <w:t>($/kWh)</w:t>
            </w:r>
          </w:p>
        </w:tc>
        <w:tc>
          <w:tcPr>
            <w:tcW w:w="3061" w:type="dxa"/>
            <w:vAlign w:val="center"/>
          </w:tcPr>
          <w:p w14:paraId="3A191EF8" w14:textId="77777777" w:rsidR="004D5645" w:rsidRPr="00C03235" w:rsidRDefault="004D5645" w:rsidP="00EE2DE6">
            <w:pPr>
              <w:pStyle w:val="Piedepgina"/>
              <w:tabs>
                <w:tab w:val="clear" w:pos="4252"/>
                <w:tab w:val="clear" w:pos="8504"/>
                <w:tab w:val="center" w:pos="4845"/>
              </w:tabs>
              <w:ind w:right="142"/>
              <w:contextualSpacing/>
              <w:jc w:val="center"/>
              <w:rPr>
                <w:rFonts w:cs="Arial"/>
                <w:b/>
                <w:i/>
                <w:iCs/>
                <w:sz w:val="22"/>
                <w:szCs w:val="22"/>
              </w:rPr>
            </w:pPr>
            <w:r w:rsidRPr="00C03235">
              <w:rPr>
                <w:rFonts w:cs="Arial"/>
                <w:b/>
                <w:i/>
                <w:iCs/>
                <w:sz w:val="22"/>
                <w:szCs w:val="22"/>
              </w:rPr>
              <w:t>Costos de administración, operación y mantenimiento,</w:t>
            </w:r>
          </w:p>
          <w:p w14:paraId="70C5DC5E" w14:textId="77777777" w:rsidR="004D5645" w:rsidRPr="00C03235" w:rsidRDefault="004D5645" w:rsidP="00EE2DE6">
            <w:pPr>
              <w:pStyle w:val="Piedepgina"/>
              <w:tabs>
                <w:tab w:val="clear" w:pos="4252"/>
                <w:tab w:val="clear" w:pos="8504"/>
                <w:tab w:val="center" w:pos="4845"/>
              </w:tabs>
              <w:ind w:right="142"/>
              <w:contextualSpacing/>
              <w:jc w:val="center"/>
              <w:rPr>
                <w:rFonts w:cs="Arial"/>
                <w:b/>
                <w:i/>
                <w:iCs/>
                <w:sz w:val="22"/>
                <w:szCs w:val="22"/>
              </w:rPr>
            </w:pPr>
            <w:r w:rsidRPr="00C03235">
              <w:rPr>
                <w:rFonts w:cs="Arial"/>
                <w:b/>
                <w:i/>
                <w:iCs/>
                <w:sz w:val="22"/>
                <w:szCs w:val="22"/>
              </w:rPr>
              <w:t>CM</w:t>
            </w:r>
            <w:r w:rsidRPr="00C03235">
              <w:rPr>
                <w:rFonts w:cs="Arial"/>
                <w:b/>
                <w:i/>
                <w:iCs/>
                <w:sz w:val="22"/>
                <w:szCs w:val="22"/>
                <w:vertAlign w:val="subscript"/>
              </w:rPr>
              <w:t>j,0</w:t>
            </w:r>
            <w:r w:rsidRPr="00C03235">
              <w:rPr>
                <w:rFonts w:cs="Arial"/>
                <w:b/>
                <w:i/>
                <w:iCs/>
                <w:sz w:val="22"/>
                <w:szCs w:val="22"/>
              </w:rPr>
              <w:t xml:space="preserve"> ($/kWh)</w:t>
            </w:r>
          </w:p>
        </w:tc>
      </w:tr>
      <w:tr w:rsidR="004D5645" w:rsidRPr="00C03235" w14:paraId="0D18774C" w14:textId="77777777">
        <w:trPr>
          <w:trHeight w:val="846"/>
          <w:jc w:val="center"/>
        </w:trPr>
        <w:tc>
          <w:tcPr>
            <w:tcW w:w="3005" w:type="dxa"/>
            <w:vAlign w:val="center"/>
          </w:tcPr>
          <w:p w14:paraId="3B76CE64" w14:textId="77777777" w:rsidR="004D5645" w:rsidRPr="00C03235" w:rsidRDefault="004D5645">
            <w:pPr>
              <w:pStyle w:val="Piedepgina"/>
              <w:tabs>
                <w:tab w:val="clear" w:pos="4252"/>
                <w:tab w:val="clear" w:pos="8504"/>
                <w:tab w:val="center" w:pos="4845"/>
              </w:tabs>
              <w:ind w:right="142"/>
              <w:contextualSpacing/>
              <w:rPr>
                <w:rFonts w:cs="Arial"/>
                <w:i/>
                <w:iCs/>
                <w:sz w:val="22"/>
                <w:szCs w:val="22"/>
              </w:rPr>
            </w:pPr>
            <w:r w:rsidRPr="00C03235">
              <w:rPr>
                <w:rFonts w:cs="Arial"/>
                <w:i/>
                <w:iCs/>
                <w:sz w:val="22"/>
                <w:szCs w:val="22"/>
              </w:rPr>
              <w:t>Solar fotovoltaico con alimentación directa a red.</w:t>
            </w:r>
          </w:p>
        </w:tc>
        <w:tc>
          <w:tcPr>
            <w:tcW w:w="3061" w:type="dxa"/>
            <w:vAlign w:val="center"/>
          </w:tcPr>
          <w:p w14:paraId="57D8B083" w14:textId="77777777" w:rsidR="004D5645" w:rsidRPr="00C03235" w:rsidRDefault="004D5645" w:rsidP="00E128B4">
            <w:pPr>
              <w:pStyle w:val="Piedepgina"/>
              <w:tabs>
                <w:tab w:val="center" w:pos="4845"/>
              </w:tabs>
              <w:ind w:right="142"/>
              <w:contextualSpacing/>
              <w:jc w:val="center"/>
              <w:rPr>
                <w:rFonts w:cs="Arial"/>
                <w:i/>
                <w:iCs/>
                <w:sz w:val="22"/>
                <w:szCs w:val="22"/>
              </w:rPr>
            </w:pPr>
            <w:r w:rsidRPr="00C03235">
              <w:rPr>
                <w:rFonts w:cs="Arial"/>
                <w:i/>
                <w:iCs/>
                <w:sz w:val="22"/>
                <w:szCs w:val="22"/>
              </w:rPr>
              <w:t>281,90</w:t>
            </w:r>
          </w:p>
        </w:tc>
        <w:tc>
          <w:tcPr>
            <w:tcW w:w="3061" w:type="dxa"/>
            <w:vAlign w:val="center"/>
          </w:tcPr>
          <w:p w14:paraId="2EF877CB" w14:textId="77777777" w:rsidR="004D5645" w:rsidRPr="00C03235" w:rsidRDefault="004D5645" w:rsidP="00E128B4">
            <w:pPr>
              <w:pStyle w:val="Piedepgina"/>
              <w:tabs>
                <w:tab w:val="clear" w:pos="4252"/>
                <w:tab w:val="clear" w:pos="8504"/>
                <w:tab w:val="center" w:pos="4845"/>
              </w:tabs>
              <w:ind w:right="142"/>
              <w:contextualSpacing/>
              <w:jc w:val="center"/>
              <w:rPr>
                <w:rFonts w:cs="Arial"/>
                <w:i/>
                <w:iCs/>
                <w:sz w:val="22"/>
                <w:szCs w:val="22"/>
              </w:rPr>
            </w:pPr>
            <w:r w:rsidRPr="00C03235">
              <w:rPr>
                <w:rFonts w:cs="Arial"/>
                <w:i/>
                <w:iCs/>
                <w:sz w:val="22"/>
                <w:szCs w:val="22"/>
              </w:rPr>
              <w:t>33,22</w:t>
            </w:r>
          </w:p>
        </w:tc>
      </w:tr>
      <w:tr w:rsidR="004D5645" w:rsidRPr="00C03235" w14:paraId="64EC3146" w14:textId="77777777">
        <w:trPr>
          <w:trHeight w:val="846"/>
          <w:jc w:val="center"/>
        </w:trPr>
        <w:tc>
          <w:tcPr>
            <w:tcW w:w="3005" w:type="dxa"/>
            <w:vAlign w:val="center"/>
          </w:tcPr>
          <w:p w14:paraId="7EA55C32" w14:textId="77777777" w:rsidR="004D5645" w:rsidRPr="00C03235" w:rsidRDefault="004D5645">
            <w:pPr>
              <w:pStyle w:val="Piedepgina"/>
              <w:tabs>
                <w:tab w:val="clear" w:pos="4252"/>
                <w:tab w:val="clear" w:pos="8504"/>
                <w:tab w:val="center" w:pos="4845"/>
              </w:tabs>
              <w:ind w:right="142"/>
              <w:contextualSpacing/>
              <w:jc w:val="both"/>
              <w:rPr>
                <w:rFonts w:cs="Arial"/>
                <w:i/>
                <w:iCs/>
                <w:sz w:val="22"/>
                <w:szCs w:val="22"/>
              </w:rPr>
            </w:pPr>
            <w:r w:rsidRPr="00C03235">
              <w:rPr>
                <w:rFonts w:cs="Arial"/>
                <w:i/>
                <w:iCs/>
                <w:sz w:val="22"/>
                <w:szCs w:val="22"/>
              </w:rPr>
              <w:t>Acumulación de recurso solar fotovoltaico.</w:t>
            </w:r>
          </w:p>
        </w:tc>
        <w:tc>
          <w:tcPr>
            <w:tcW w:w="3061" w:type="dxa"/>
            <w:vAlign w:val="center"/>
          </w:tcPr>
          <w:p w14:paraId="28CEF635" w14:textId="77777777" w:rsidR="004D5645" w:rsidRPr="00C03235" w:rsidRDefault="004D5645" w:rsidP="00E128B4">
            <w:pPr>
              <w:pStyle w:val="Piedepgina"/>
              <w:tabs>
                <w:tab w:val="clear" w:pos="4252"/>
                <w:tab w:val="clear" w:pos="8504"/>
                <w:tab w:val="center" w:pos="4845"/>
              </w:tabs>
              <w:ind w:right="142"/>
              <w:contextualSpacing/>
              <w:jc w:val="center"/>
              <w:rPr>
                <w:rFonts w:cs="Arial"/>
                <w:i/>
                <w:iCs/>
                <w:sz w:val="22"/>
                <w:szCs w:val="22"/>
              </w:rPr>
            </w:pPr>
            <w:r w:rsidRPr="00C03235">
              <w:rPr>
                <w:rFonts w:cs="Arial"/>
                <w:i/>
                <w:iCs/>
                <w:sz w:val="22"/>
                <w:szCs w:val="22"/>
              </w:rPr>
              <w:t>1.868,19</w:t>
            </w:r>
          </w:p>
        </w:tc>
        <w:tc>
          <w:tcPr>
            <w:tcW w:w="3061" w:type="dxa"/>
            <w:vAlign w:val="center"/>
          </w:tcPr>
          <w:p w14:paraId="26C81577" w14:textId="77777777" w:rsidR="004D5645" w:rsidRPr="00C03235" w:rsidRDefault="004D5645" w:rsidP="00E128B4">
            <w:pPr>
              <w:pStyle w:val="Piedepgina"/>
              <w:tabs>
                <w:tab w:val="clear" w:pos="4252"/>
                <w:tab w:val="clear" w:pos="8504"/>
                <w:tab w:val="center" w:pos="4845"/>
              </w:tabs>
              <w:ind w:right="142"/>
              <w:contextualSpacing/>
              <w:jc w:val="center"/>
              <w:rPr>
                <w:rFonts w:cs="Arial"/>
                <w:i/>
                <w:iCs/>
                <w:sz w:val="22"/>
                <w:szCs w:val="22"/>
              </w:rPr>
            </w:pPr>
            <w:r w:rsidRPr="00C03235">
              <w:rPr>
                <w:rFonts w:cs="Arial"/>
                <w:i/>
                <w:iCs/>
                <w:sz w:val="22"/>
                <w:szCs w:val="22"/>
              </w:rPr>
              <w:t>204,26</w:t>
            </w:r>
          </w:p>
        </w:tc>
      </w:tr>
      <w:tr w:rsidR="004D5645" w:rsidRPr="00C03235" w14:paraId="78AA189D" w14:textId="77777777">
        <w:trPr>
          <w:trHeight w:val="846"/>
          <w:jc w:val="center"/>
        </w:trPr>
        <w:tc>
          <w:tcPr>
            <w:tcW w:w="3005" w:type="dxa"/>
            <w:vAlign w:val="center"/>
          </w:tcPr>
          <w:p w14:paraId="542B295D" w14:textId="77777777" w:rsidR="004D5645" w:rsidRPr="00C03235" w:rsidRDefault="004D5645">
            <w:pPr>
              <w:pStyle w:val="Piedepgina"/>
              <w:tabs>
                <w:tab w:val="clear" w:pos="4252"/>
                <w:tab w:val="clear" w:pos="8504"/>
                <w:tab w:val="center" w:pos="4845"/>
              </w:tabs>
              <w:ind w:right="142"/>
              <w:contextualSpacing/>
              <w:jc w:val="both"/>
              <w:rPr>
                <w:rFonts w:cs="Arial"/>
                <w:i/>
                <w:iCs/>
                <w:sz w:val="22"/>
                <w:szCs w:val="22"/>
              </w:rPr>
            </w:pPr>
            <w:r w:rsidRPr="00C03235">
              <w:rPr>
                <w:rFonts w:cs="Arial"/>
                <w:i/>
                <w:iCs/>
                <w:sz w:val="22"/>
                <w:szCs w:val="22"/>
              </w:rPr>
              <w:t>Diésel.</w:t>
            </w:r>
          </w:p>
        </w:tc>
        <w:tc>
          <w:tcPr>
            <w:tcW w:w="6122" w:type="dxa"/>
            <w:gridSpan w:val="2"/>
            <w:vAlign w:val="center"/>
          </w:tcPr>
          <w:p w14:paraId="16DEB3F2" w14:textId="77777777" w:rsidR="004D5645" w:rsidRPr="00C03235" w:rsidRDefault="004D5645" w:rsidP="00E128B4">
            <w:pPr>
              <w:pStyle w:val="Piedepgina"/>
              <w:tabs>
                <w:tab w:val="clear" w:pos="4252"/>
                <w:tab w:val="clear" w:pos="8504"/>
                <w:tab w:val="center" w:pos="4845"/>
              </w:tabs>
              <w:ind w:right="142"/>
              <w:contextualSpacing/>
              <w:jc w:val="center"/>
              <w:rPr>
                <w:rFonts w:cs="Arial"/>
                <w:i/>
                <w:iCs/>
                <w:sz w:val="22"/>
                <w:szCs w:val="22"/>
              </w:rPr>
            </w:pPr>
            <w:r w:rsidRPr="00C03235">
              <w:rPr>
                <w:rFonts w:cs="Arial"/>
                <w:i/>
                <w:iCs/>
                <w:sz w:val="22"/>
                <w:szCs w:val="22"/>
              </w:rPr>
              <w:t>Según lo previsto en el literal a), del artículo 22, de la Resolución CREG 091 de 2007, modificada mediante Resolución CREG 057 de 2009.</w:t>
            </w:r>
          </w:p>
        </w:tc>
      </w:tr>
    </w:tbl>
    <w:p w14:paraId="307F26BD" w14:textId="77777777" w:rsidR="004D5645" w:rsidRPr="00C03235" w:rsidRDefault="004D5645" w:rsidP="004D5645">
      <w:pPr>
        <w:pStyle w:val="Piedepgina"/>
        <w:tabs>
          <w:tab w:val="clear" w:pos="4252"/>
          <w:tab w:val="clear" w:pos="8504"/>
          <w:tab w:val="center" w:pos="4845"/>
        </w:tabs>
        <w:ind w:left="284" w:right="142"/>
        <w:contextualSpacing/>
        <w:jc w:val="both"/>
        <w:rPr>
          <w:rFonts w:cs="Arial"/>
          <w:i/>
          <w:iCs/>
          <w:sz w:val="22"/>
          <w:szCs w:val="22"/>
        </w:rPr>
      </w:pPr>
    </w:p>
    <w:p w14:paraId="05AA249B" w14:textId="704444F8" w:rsidR="0040366A" w:rsidRPr="00D11017" w:rsidRDefault="0040366A" w:rsidP="002B7CBA">
      <w:pPr>
        <w:pStyle w:val="Textodebloque"/>
        <w:ind w:left="284" w:right="6"/>
        <w:contextualSpacing/>
        <w:rPr>
          <w:rFonts w:ascii="Bookman Old Style" w:hAnsi="Bookman Old Style"/>
          <w:sz w:val="22"/>
          <w:szCs w:val="22"/>
          <w:lang w:val="es-CO"/>
        </w:rPr>
      </w:pPr>
      <w:r w:rsidRPr="00D11017">
        <w:rPr>
          <w:rFonts w:ascii="Bookman Old Style" w:hAnsi="Bookman Old Style"/>
          <w:sz w:val="22"/>
          <w:szCs w:val="22"/>
          <w:lang w:val="es-CO"/>
        </w:rPr>
        <w:t>(...)”</w:t>
      </w:r>
    </w:p>
    <w:p w14:paraId="4A1FCD3F" w14:textId="42FF6C82" w:rsidR="15BDA82E" w:rsidRPr="00C03235" w:rsidRDefault="15BDA82E" w:rsidP="15BDA82E">
      <w:pPr>
        <w:pStyle w:val="Textodebloque"/>
        <w:ind w:right="6"/>
        <w:contextualSpacing/>
        <w:rPr>
          <w:rFonts w:ascii="Bookman Old Style" w:hAnsi="Bookman Old Style"/>
          <w:i/>
          <w:iCs/>
          <w:sz w:val="22"/>
          <w:szCs w:val="22"/>
          <w:lang w:val="es-CO"/>
        </w:rPr>
      </w:pPr>
    </w:p>
    <w:p w14:paraId="15CA1036" w14:textId="6673F517" w:rsidR="1D42D906" w:rsidRPr="00C03235" w:rsidRDefault="1D42D906" w:rsidP="719154D8">
      <w:pPr>
        <w:pStyle w:val="Textodebloque"/>
        <w:ind w:right="6"/>
        <w:contextualSpacing/>
        <w:rPr>
          <w:rFonts w:ascii="Bookman Old Style" w:hAnsi="Bookman Old Style"/>
          <w:lang w:val="es-CO"/>
        </w:rPr>
      </w:pPr>
      <w:r w:rsidRPr="00C03235">
        <w:rPr>
          <w:rFonts w:ascii="Bookman Old Style" w:hAnsi="Bookman Old Style"/>
          <w:lang w:val="es-CO"/>
        </w:rPr>
        <w:t xml:space="preserve">Mediante escritos con radicados CREG E2023004260 y E2023004261 del 6 de marzo de 2023, el representante legal de la empresa HELIOS interpuso recurso de reposición contra la </w:t>
      </w:r>
      <w:r w:rsidRPr="00C03235">
        <w:rPr>
          <w:rFonts w:ascii="Bookman Old Style" w:eastAsia="Bookman Old Style" w:hAnsi="Bookman Old Style" w:cs="Bookman Old Style"/>
          <w:szCs w:val="24"/>
          <w:lang w:val="es-CO"/>
        </w:rPr>
        <w:t>precitada</w:t>
      </w:r>
      <w:r w:rsidRPr="00C03235">
        <w:rPr>
          <w:rFonts w:ascii="Bookman Old Style" w:hAnsi="Bookman Old Style"/>
          <w:lang w:val="es-CO"/>
        </w:rPr>
        <w:t xml:space="preserve"> resolución.</w:t>
      </w:r>
    </w:p>
    <w:p w14:paraId="5755762F" w14:textId="77777777" w:rsidR="00DB234D" w:rsidRPr="00C03235" w:rsidRDefault="00DB234D" w:rsidP="719154D8">
      <w:pPr>
        <w:pStyle w:val="Textodebloque"/>
        <w:ind w:right="6"/>
        <w:contextualSpacing/>
        <w:rPr>
          <w:rFonts w:ascii="Bookman Old Style" w:hAnsi="Bookman Old Style"/>
          <w:lang w:val="es-CO"/>
        </w:rPr>
      </w:pPr>
    </w:p>
    <w:p w14:paraId="702F4615" w14:textId="0ABF7685" w:rsidR="001B2E7F" w:rsidRPr="00C03235" w:rsidRDefault="63F2AA61" w:rsidP="64CCE873">
      <w:pPr>
        <w:pStyle w:val="Textodebloque"/>
        <w:ind w:right="6"/>
        <w:contextualSpacing/>
        <w:rPr>
          <w:rFonts w:ascii="Bookman Old Style" w:hAnsi="Bookman Old Style"/>
          <w:lang w:val="es-CO"/>
        </w:rPr>
      </w:pPr>
      <w:r w:rsidRPr="00C03235">
        <w:rPr>
          <w:rFonts w:ascii="Bookman Old Style" w:hAnsi="Bookman Old Style"/>
          <w:lang w:val="es-CO"/>
        </w:rPr>
        <w:t>Mediante Auto de pruebas</w:t>
      </w:r>
      <w:r w:rsidR="71139A19" w:rsidRPr="00C03235">
        <w:rPr>
          <w:rFonts w:ascii="Bookman Old Style" w:hAnsi="Bookman Old Style"/>
          <w:lang w:val="es-CO"/>
        </w:rPr>
        <w:t xml:space="preserve"> No.</w:t>
      </w:r>
      <w:r w:rsidRPr="00C03235">
        <w:rPr>
          <w:rFonts w:ascii="Bookman Old Style" w:hAnsi="Bookman Old Style"/>
          <w:lang w:val="es-CO"/>
        </w:rPr>
        <w:t xml:space="preserve"> 0000107 del 17 de agosto de 2023</w:t>
      </w:r>
      <w:r w:rsidR="1BFEFE88" w:rsidRPr="00C03235">
        <w:rPr>
          <w:rFonts w:ascii="Bookman Old Style" w:hAnsi="Bookman Old Style"/>
          <w:lang w:val="es-CO"/>
        </w:rPr>
        <w:t>,</w:t>
      </w:r>
      <w:r w:rsidR="435B6B9E" w:rsidRPr="00C03235">
        <w:rPr>
          <w:rFonts w:ascii="Bookman Old Style" w:hAnsi="Bookman Old Style"/>
          <w:lang w:val="es-CO"/>
        </w:rPr>
        <w:t xml:space="preserve"> la Comisión</w:t>
      </w:r>
      <w:r w:rsidR="635E2364" w:rsidRPr="00C03235">
        <w:rPr>
          <w:rFonts w:ascii="Bookman Old Style" w:hAnsi="Bookman Old Style"/>
          <w:lang w:val="es-CO"/>
        </w:rPr>
        <w:t xml:space="preserve"> </w:t>
      </w:r>
      <w:r w:rsidR="2B8AE5CE" w:rsidRPr="00C03235">
        <w:rPr>
          <w:rFonts w:ascii="Bookman Old Style" w:hAnsi="Bookman Old Style"/>
          <w:lang w:val="es-CO"/>
        </w:rPr>
        <w:t>incorpor</w:t>
      </w:r>
      <w:r w:rsidR="20B59BB7" w:rsidRPr="00C03235">
        <w:rPr>
          <w:rFonts w:ascii="Bookman Old Style" w:hAnsi="Bookman Old Style"/>
          <w:lang w:val="es-CO"/>
        </w:rPr>
        <w:t>ó</w:t>
      </w:r>
      <w:r w:rsidR="7A2EB24A" w:rsidRPr="00C03235">
        <w:rPr>
          <w:rFonts w:ascii="Bookman Old Style" w:hAnsi="Bookman Old Style"/>
          <w:lang w:val="es-CO"/>
        </w:rPr>
        <w:t xml:space="preserve"> a</w:t>
      </w:r>
      <w:r w:rsidRPr="00C03235">
        <w:rPr>
          <w:rFonts w:ascii="Bookman Old Style" w:hAnsi="Bookman Old Style"/>
          <w:lang w:val="es-CO"/>
        </w:rPr>
        <w:t>l expediente administrativo el Documento CREG 092 del 10 de octubre del 2019,</w:t>
      </w:r>
      <w:r w:rsidR="012BA8E3" w:rsidRPr="00C03235">
        <w:rPr>
          <w:rFonts w:ascii="Bookman Old Style" w:hAnsi="Bookman Old Style"/>
          <w:lang w:val="es-CO"/>
        </w:rPr>
        <w:t xml:space="preserve"> por solicitud del recurrente,</w:t>
      </w:r>
      <w:r w:rsidRPr="00C03235">
        <w:rPr>
          <w:rFonts w:ascii="Bookman Old Style" w:hAnsi="Bookman Old Style"/>
          <w:lang w:val="es-CO"/>
        </w:rPr>
        <w:t xml:space="preserve"> el cual contiene la información relacionada con el cálculo del cargo para el mercado de Unguía y los corregimientos del Gilgal, Santa María y Tanela</w:t>
      </w:r>
      <w:r w:rsidR="445B8511" w:rsidRPr="00C03235">
        <w:rPr>
          <w:rFonts w:ascii="Bookman Old Style" w:hAnsi="Bookman Old Style"/>
          <w:lang w:val="es-CO"/>
        </w:rPr>
        <w:t>.</w:t>
      </w:r>
    </w:p>
    <w:p w14:paraId="4C220C44" w14:textId="77777777" w:rsidR="001B2E7F" w:rsidRPr="00C03235" w:rsidRDefault="001B2E7F" w:rsidP="00584429">
      <w:pPr>
        <w:pStyle w:val="Textodebloque"/>
        <w:ind w:right="6"/>
        <w:contextualSpacing/>
        <w:rPr>
          <w:rFonts w:ascii="Bookman Old Style" w:hAnsi="Bookman Old Style"/>
          <w:lang w:val="es-CO"/>
        </w:rPr>
      </w:pPr>
    </w:p>
    <w:p w14:paraId="4F278B26" w14:textId="7AD2B904" w:rsidR="00584429" w:rsidRPr="00C03235" w:rsidRDefault="121C47E9" w:rsidP="000E3774">
      <w:pPr>
        <w:pStyle w:val="Textodebloque"/>
        <w:spacing w:line="259" w:lineRule="auto"/>
        <w:ind w:right="6"/>
        <w:contextualSpacing/>
        <w:rPr>
          <w:rFonts w:ascii="Bookman Old Style" w:hAnsi="Bookman Old Style"/>
          <w:lang w:val="es-CO"/>
        </w:rPr>
      </w:pPr>
      <w:r w:rsidRPr="00C03235">
        <w:rPr>
          <w:rFonts w:ascii="Bookman Old Style" w:hAnsi="Bookman Old Style"/>
          <w:lang w:val="es-CO"/>
        </w:rPr>
        <w:t>M</w:t>
      </w:r>
      <w:r w:rsidR="63F2AA61" w:rsidRPr="00C03235">
        <w:rPr>
          <w:rFonts w:ascii="Bookman Old Style" w:hAnsi="Bookman Old Style"/>
          <w:lang w:val="es-CO"/>
        </w:rPr>
        <w:t>ediante comunicación</w:t>
      </w:r>
      <w:r w:rsidR="522C7C21" w:rsidRPr="00C03235">
        <w:rPr>
          <w:rFonts w:ascii="Bookman Old Style" w:hAnsi="Bookman Old Style"/>
          <w:lang w:val="es-CO"/>
        </w:rPr>
        <w:t xml:space="preserve"> CREG</w:t>
      </w:r>
      <w:r w:rsidR="63F2AA61" w:rsidRPr="00C03235">
        <w:rPr>
          <w:rFonts w:ascii="Bookman Old Style" w:hAnsi="Bookman Old Style"/>
          <w:lang w:val="es-CO"/>
        </w:rPr>
        <w:t xml:space="preserve"> E2023016484 del 13 de septiembre de 2023</w:t>
      </w:r>
      <w:r w:rsidR="6ED342F6" w:rsidRPr="00C03235">
        <w:rPr>
          <w:rFonts w:ascii="Bookman Old Style" w:hAnsi="Bookman Old Style"/>
          <w:lang w:val="es-CO"/>
        </w:rPr>
        <w:t>,</w:t>
      </w:r>
      <w:r w:rsidR="63F2AA61" w:rsidRPr="00C03235">
        <w:rPr>
          <w:rFonts w:ascii="Bookman Old Style" w:hAnsi="Bookman Old Style"/>
          <w:lang w:val="es-CO"/>
        </w:rPr>
        <w:t xml:space="preserve"> </w:t>
      </w:r>
      <w:r w:rsidR="7466B61C" w:rsidRPr="00C03235">
        <w:rPr>
          <w:rFonts w:ascii="Bookman Old Style" w:hAnsi="Bookman Old Style"/>
          <w:lang w:val="es-CO"/>
        </w:rPr>
        <w:t>HELIOS</w:t>
      </w:r>
      <w:r w:rsidRPr="00C03235">
        <w:rPr>
          <w:rFonts w:ascii="Bookman Old Style" w:hAnsi="Bookman Old Style"/>
          <w:lang w:val="es-CO"/>
        </w:rPr>
        <w:t xml:space="preserve"> </w:t>
      </w:r>
      <w:r w:rsidR="1713280A" w:rsidRPr="00C03235">
        <w:rPr>
          <w:rFonts w:ascii="Bookman Old Style" w:hAnsi="Bookman Old Style"/>
          <w:lang w:val="es-CO"/>
        </w:rPr>
        <w:t xml:space="preserve">advirtió no haber recibido </w:t>
      </w:r>
      <w:r w:rsidR="63F2AA61" w:rsidRPr="00C03235">
        <w:rPr>
          <w:rFonts w:ascii="Bookman Old Style" w:hAnsi="Bookman Old Style"/>
          <w:lang w:val="es-CO"/>
        </w:rPr>
        <w:t>el documento</w:t>
      </w:r>
      <w:r w:rsidR="67042ABC" w:rsidRPr="00C03235">
        <w:rPr>
          <w:rFonts w:ascii="Bookman Old Style" w:hAnsi="Bookman Old Style"/>
          <w:lang w:val="es-CO"/>
        </w:rPr>
        <w:t xml:space="preserve"> antes mencionado</w:t>
      </w:r>
      <w:r w:rsidR="26FB17A7" w:rsidRPr="00C03235">
        <w:rPr>
          <w:rFonts w:ascii="Bookman Old Style" w:hAnsi="Bookman Old Style"/>
          <w:lang w:val="es-CO"/>
        </w:rPr>
        <w:t xml:space="preserve">, por lo cual, </w:t>
      </w:r>
      <w:r w:rsidR="63F2AA61" w:rsidRPr="00C03235">
        <w:rPr>
          <w:rFonts w:ascii="Bookman Old Style" w:hAnsi="Bookman Old Style"/>
          <w:lang w:val="es-CO"/>
        </w:rPr>
        <w:t xml:space="preserve">la Comisión procedió a </w:t>
      </w:r>
      <w:r w:rsidR="7458D45C" w:rsidRPr="00C03235">
        <w:rPr>
          <w:rFonts w:ascii="Bookman Old Style" w:hAnsi="Bookman Old Style"/>
          <w:lang w:val="es-CO"/>
        </w:rPr>
        <w:t>remitir vía correo electrónico</w:t>
      </w:r>
      <w:r w:rsidR="2C1C3BEA" w:rsidRPr="00C03235">
        <w:rPr>
          <w:rFonts w:ascii="Bookman Old Style" w:hAnsi="Bookman Old Style"/>
          <w:lang w:val="es-CO"/>
        </w:rPr>
        <w:t xml:space="preserve"> el enlace contentivo del </w:t>
      </w:r>
      <w:r w:rsidR="63F2AA61" w:rsidRPr="00C03235">
        <w:rPr>
          <w:rFonts w:ascii="Bookman Old Style" w:hAnsi="Bookman Old Style"/>
          <w:lang w:val="es-CO"/>
        </w:rPr>
        <w:t xml:space="preserve">expediente virtual y </w:t>
      </w:r>
      <w:r w:rsidR="7AF7406F" w:rsidRPr="00C03235">
        <w:rPr>
          <w:rFonts w:ascii="Bookman Old Style" w:hAnsi="Bookman Old Style"/>
          <w:lang w:val="es-CO"/>
        </w:rPr>
        <w:t>e</w:t>
      </w:r>
      <w:r w:rsidR="63F2AA61" w:rsidRPr="00C03235">
        <w:rPr>
          <w:rFonts w:ascii="Bookman Old Style" w:hAnsi="Bookman Old Style"/>
          <w:lang w:val="es-CO"/>
        </w:rPr>
        <w:t>l documento CREG 092 del 2019</w:t>
      </w:r>
      <w:r w:rsidR="1761ECF8" w:rsidRPr="00C03235">
        <w:rPr>
          <w:rFonts w:ascii="Bookman Old Style" w:hAnsi="Bookman Old Style"/>
          <w:lang w:val="es-CO"/>
        </w:rPr>
        <w:t>.</w:t>
      </w:r>
      <w:r w:rsidR="63F2AA61" w:rsidRPr="00C03235">
        <w:rPr>
          <w:rFonts w:ascii="Bookman Old Style" w:hAnsi="Bookman Old Style"/>
          <w:lang w:val="es-CO"/>
        </w:rPr>
        <w:t xml:space="preserve"> </w:t>
      </w:r>
      <w:r w:rsidR="70B3A035" w:rsidRPr="00C03235">
        <w:rPr>
          <w:rFonts w:ascii="Bookman Old Style" w:hAnsi="Bookman Old Style"/>
          <w:lang w:val="es-CO"/>
        </w:rPr>
        <w:t>Sin</w:t>
      </w:r>
      <w:r w:rsidR="63F2AA61" w:rsidRPr="00C03235">
        <w:rPr>
          <w:rFonts w:ascii="Bookman Old Style" w:hAnsi="Bookman Old Style"/>
          <w:lang w:val="es-CO"/>
        </w:rPr>
        <w:t xml:space="preserve"> embargo, </w:t>
      </w:r>
      <w:r w:rsidR="0D7F949E" w:rsidRPr="00C03235">
        <w:rPr>
          <w:rFonts w:ascii="Bookman Old Style" w:hAnsi="Bookman Old Style"/>
          <w:lang w:val="es-CO"/>
        </w:rPr>
        <w:t>l</w:t>
      </w:r>
      <w:r w:rsidR="63F2AA61" w:rsidRPr="00C03235">
        <w:rPr>
          <w:rFonts w:ascii="Bookman Old Style" w:hAnsi="Bookman Old Style"/>
          <w:lang w:val="es-CO"/>
        </w:rPr>
        <w:t xml:space="preserve">a empresa no accedió a este enlace, por tal motivo, la </w:t>
      </w:r>
      <w:r w:rsidR="3E703BFC" w:rsidRPr="00C03235">
        <w:rPr>
          <w:rFonts w:ascii="Bookman Old Style" w:hAnsi="Bookman Old Style"/>
          <w:lang w:val="es-CO"/>
        </w:rPr>
        <w:t xml:space="preserve">CREG </w:t>
      </w:r>
      <w:r w:rsidR="63F2AA61" w:rsidRPr="00C03235">
        <w:rPr>
          <w:rFonts w:ascii="Bookman Old Style" w:hAnsi="Bookman Old Style"/>
          <w:lang w:val="es-CO"/>
        </w:rPr>
        <w:t>realizó nuevamente el envío del documento soporte mediante comunicación de radicado CREG S2023005675 del 29 de noviembre del 2023.</w:t>
      </w:r>
    </w:p>
    <w:p w14:paraId="7BB3D984" w14:textId="3B120E05" w:rsidR="00DB234D" w:rsidRPr="00C03235" w:rsidRDefault="00DB234D" w:rsidP="719154D8">
      <w:pPr>
        <w:pStyle w:val="Textodebloque"/>
        <w:ind w:right="6"/>
        <w:contextualSpacing/>
        <w:rPr>
          <w:rFonts w:ascii="Bookman Old Style" w:hAnsi="Bookman Old Style"/>
          <w:lang w:val="es-CO"/>
        </w:rPr>
      </w:pPr>
    </w:p>
    <w:p w14:paraId="5B44CB02" w14:textId="538BE852" w:rsidR="00584429" w:rsidRPr="00C03235" w:rsidRDefault="54CB3FBB" w:rsidP="000B07A1">
      <w:pPr>
        <w:pStyle w:val="Textodebloque"/>
        <w:spacing w:line="259" w:lineRule="auto"/>
        <w:ind w:right="6"/>
        <w:contextualSpacing/>
        <w:rPr>
          <w:rFonts w:ascii="Bookman Old Style" w:hAnsi="Bookman Old Style"/>
          <w:lang w:val="es-CO"/>
        </w:rPr>
      </w:pPr>
      <w:r w:rsidRPr="00C03235">
        <w:rPr>
          <w:rFonts w:ascii="Bookman Old Style" w:hAnsi="Bookman Old Style"/>
          <w:lang w:val="es-CO"/>
        </w:rPr>
        <w:t>Mediante el comunicado CREG E2023020941</w:t>
      </w:r>
      <w:r w:rsidR="0857A003" w:rsidRPr="00C03235">
        <w:rPr>
          <w:rFonts w:ascii="Bookman Old Style" w:hAnsi="Bookman Old Style"/>
          <w:lang w:val="es-CO"/>
        </w:rPr>
        <w:t xml:space="preserve"> del 11 de diciembre de 2023,</w:t>
      </w:r>
      <w:r w:rsidRPr="00C03235">
        <w:rPr>
          <w:rFonts w:ascii="Bookman Old Style" w:hAnsi="Bookman Old Style"/>
          <w:lang w:val="es-CO"/>
        </w:rPr>
        <w:t xml:space="preserve"> </w:t>
      </w:r>
      <w:r w:rsidR="635F35C9" w:rsidRPr="00C03235">
        <w:rPr>
          <w:rFonts w:ascii="Bookman Old Style" w:hAnsi="Bookman Old Style"/>
          <w:lang w:val="es-CO"/>
        </w:rPr>
        <w:t>HELIOS</w:t>
      </w:r>
      <w:r w:rsidR="3BEEE29F" w:rsidRPr="00C03235">
        <w:rPr>
          <w:rFonts w:ascii="Bookman Old Style" w:hAnsi="Bookman Old Style"/>
          <w:lang w:val="es-CO"/>
        </w:rPr>
        <w:t xml:space="preserve"> d</w:t>
      </w:r>
      <w:r w:rsidR="3A3DAD45" w:rsidRPr="00C03235">
        <w:rPr>
          <w:rFonts w:ascii="Bookman Old Style" w:hAnsi="Bookman Old Style"/>
          <w:lang w:val="es-CO"/>
        </w:rPr>
        <w:t>io</w:t>
      </w:r>
      <w:r w:rsidR="3BEEE29F" w:rsidRPr="00C03235">
        <w:rPr>
          <w:rFonts w:ascii="Bookman Old Style" w:hAnsi="Bookman Old Style"/>
          <w:lang w:val="es-CO"/>
        </w:rPr>
        <w:t xml:space="preserve"> respuesta </w:t>
      </w:r>
      <w:r w:rsidR="6E410A14" w:rsidRPr="00C03235">
        <w:rPr>
          <w:rFonts w:ascii="Bookman Old Style" w:hAnsi="Bookman Old Style"/>
          <w:lang w:val="es-CO"/>
        </w:rPr>
        <w:t xml:space="preserve">al </w:t>
      </w:r>
      <w:r w:rsidR="0AB5E426" w:rsidRPr="00C03235">
        <w:rPr>
          <w:rFonts w:ascii="Bookman Old Style" w:hAnsi="Bookman Old Style"/>
          <w:lang w:val="es-CO"/>
        </w:rPr>
        <w:t xml:space="preserve">radicado CREG S2023005675, en el cual allegan comentarios adicionales relacionados con la metodología utilizada para el cálculo </w:t>
      </w:r>
      <w:r w:rsidR="4E8205E5" w:rsidRPr="00C03235">
        <w:rPr>
          <w:rFonts w:ascii="Bookman Old Style" w:hAnsi="Bookman Old Style"/>
          <w:lang w:val="es-CO"/>
        </w:rPr>
        <w:t xml:space="preserve">del cargo </w:t>
      </w:r>
      <w:r w:rsidR="5EBBDAD3" w:rsidRPr="00C03235">
        <w:rPr>
          <w:rFonts w:ascii="Bookman Old Style" w:hAnsi="Bookman Old Style"/>
          <w:lang w:val="es-CO"/>
        </w:rPr>
        <w:t>de generación</w:t>
      </w:r>
      <w:r w:rsidR="4E8205E5" w:rsidRPr="00C03235">
        <w:rPr>
          <w:rFonts w:ascii="Bookman Old Style" w:hAnsi="Bookman Old Style"/>
          <w:lang w:val="es-CO"/>
        </w:rPr>
        <w:t xml:space="preserve"> de la </w:t>
      </w:r>
      <w:r w:rsidR="00981B86">
        <w:rPr>
          <w:rFonts w:ascii="Bookman Old Style" w:hAnsi="Bookman Old Style"/>
          <w:lang w:val="es-CO"/>
        </w:rPr>
        <w:t>R</w:t>
      </w:r>
      <w:r w:rsidR="4E8205E5" w:rsidRPr="00C03235">
        <w:rPr>
          <w:rFonts w:ascii="Bookman Old Style" w:hAnsi="Bookman Old Style"/>
          <w:lang w:val="es-CO"/>
        </w:rPr>
        <w:t>esolución CREG 501 004 del 2023</w:t>
      </w:r>
      <w:r w:rsidR="3BEEE29F" w:rsidRPr="00C03235">
        <w:rPr>
          <w:rFonts w:ascii="Bookman Old Style" w:hAnsi="Bookman Old Style"/>
          <w:lang w:val="es-CO"/>
        </w:rPr>
        <w:t>.</w:t>
      </w:r>
    </w:p>
    <w:p w14:paraId="2B435C39" w14:textId="77777777" w:rsidR="000B07A1" w:rsidRPr="00C03235" w:rsidRDefault="000B07A1" w:rsidP="000B07A1">
      <w:pPr>
        <w:pStyle w:val="Textodebloque"/>
        <w:spacing w:line="259" w:lineRule="auto"/>
        <w:ind w:right="6"/>
        <w:contextualSpacing/>
        <w:rPr>
          <w:rFonts w:ascii="Bookman Old Style" w:hAnsi="Bookman Old Style"/>
          <w:lang w:val="es-CO"/>
        </w:rPr>
      </w:pPr>
    </w:p>
    <w:p w14:paraId="166B2012" w14:textId="54F414BE" w:rsidR="00734DC6" w:rsidRPr="00C03235" w:rsidRDefault="00734DC6" w:rsidP="0021783D">
      <w:pPr>
        <w:pStyle w:val="Prrafodelista"/>
        <w:numPr>
          <w:ilvl w:val="0"/>
          <w:numId w:val="16"/>
        </w:numPr>
      </w:pPr>
      <w:r w:rsidRPr="00C03235">
        <w:rPr>
          <w:rStyle w:val="Ttulo6Car"/>
        </w:rPr>
        <w:lastRenderedPageBreak/>
        <w:t>RECURSO DE REPOSICIÓN</w:t>
      </w:r>
    </w:p>
    <w:p w14:paraId="7E5C8B78" w14:textId="77777777" w:rsidR="00AC6BAF" w:rsidRPr="00C03235" w:rsidRDefault="00AC6BAF" w:rsidP="00AC6BAF">
      <w:pPr>
        <w:rPr>
          <w:rStyle w:val="Ttulo7Car"/>
        </w:rPr>
      </w:pPr>
    </w:p>
    <w:p w14:paraId="4B6E4324" w14:textId="4468F28E" w:rsidR="00734DC6" w:rsidRPr="00C03235" w:rsidRDefault="00734DC6" w:rsidP="0021783D">
      <w:pPr>
        <w:pStyle w:val="Prrafodelista"/>
        <w:numPr>
          <w:ilvl w:val="1"/>
          <w:numId w:val="16"/>
        </w:numPr>
      </w:pPr>
      <w:r w:rsidRPr="00C03235">
        <w:rPr>
          <w:rStyle w:val="Ttulo7Car"/>
        </w:rPr>
        <w:t>Procedencia y admisibilidad del recurso</w:t>
      </w:r>
      <w:r w:rsidRPr="00C03235">
        <w:t xml:space="preserve"> </w:t>
      </w:r>
    </w:p>
    <w:p w14:paraId="60128B6D" w14:textId="77777777" w:rsidR="00734DC6" w:rsidRPr="00C03235" w:rsidRDefault="00734DC6" w:rsidP="00734DC6">
      <w:pPr>
        <w:pStyle w:val="Textodebloque"/>
        <w:spacing w:after="0"/>
        <w:ind w:right="6"/>
        <w:contextualSpacing/>
        <w:rPr>
          <w:rFonts w:ascii="Bookman Old Style" w:hAnsi="Bookman Old Style"/>
          <w:szCs w:val="24"/>
          <w:lang w:val="es-CO"/>
        </w:rPr>
      </w:pPr>
    </w:p>
    <w:p w14:paraId="427BBC26" w14:textId="21F4D087" w:rsidR="00734DC6" w:rsidRPr="00C03235" w:rsidRDefault="00734DC6" w:rsidP="00734DC6">
      <w:pPr>
        <w:ind w:right="-142"/>
        <w:contextualSpacing/>
        <w:jc w:val="both"/>
        <w:rPr>
          <w:rFonts w:cs="Arial"/>
          <w:spacing w:val="-5"/>
        </w:rPr>
      </w:pPr>
      <w:r w:rsidRPr="00C03235">
        <w:rPr>
          <w:rFonts w:cs="Arial"/>
          <w:spacing w:val="-5"/>
        </w:rPr>
        <w:t>De acuerdo con el artículo 113 de la Ley 142 de 1994, contra los actos de las comisiones de regulación que pongan fin a las actuaciones administrativas</w:t>
      </w:r>
      <w:r w:rsidR="0BC25B14" w:rsidRPr="00C03235">
        <w:rPr>
          <w:rFonts w:cs="Arial"/>
          <w:spacing w:val="-5"/>
        </w:rPr>
        <w:t>,</w:t>
      </w:r>
      <w:r w:rsidRPr="00C03235">
        <w:rPr>
          <w:rFonts w:cs="Arial"/>
          <w:spacing w:val="-5"/>
        </w:rPr>
        <w:t xml:space="preserve"> </w:t>
      </w:r>
      <w:r w:rsidR="59BDC010" w:rsidRPr="00C03235">
        <w:rPr>
          <w:rFonts w:cs="Arial"/>
          <w:spacing w:val="-5"/>
        </w:rPr>
        <w:t>únicamente es procedente el</w:t>
      </w:r>
      <w:r w:rsidRPr="00C03235">
        <w:rPr>
          <w:rFonts w:cs="Arial"/>
          <w:spacing w:val="-5"/>
        </w:rPr>
        <w:t xml:space="preserve"> recurso de reposición, el cual podrá interponerse dentro de los cinco días siguientes a la notificación del acto administrativo.</w:t>
      </w:r>
    </w:p>
    <w:p w14:paraId="1FEDD8B2" w14:textId="77777777" w:rsidR="00734DC6" w:rsidRPr="00C03235" w:rsidRDefault="00734DC6" w:rsidP="00734DC6">
      <w:pPr>
        <w:pStyle w:val="Textodebloque"/>
        <w:spacing w:after="0"/>
        <w:ind w:right="6"/>
        <w:contextualSpacing/>
        <w:rPr>
          <w:rFonts w:ascii="Bookman Old Style" w:hAnsi="Bookman Old Style"/>
          <w:lang w:val="es-CO"/>
        </w:rPr>
      </w:pPr>
    </w:p>
    <w:p w14:paraId="1F9FFA66" w14:textId="6103595D" w:rsidR="5F85E821" w:rsidRPr="00C03235" w:rsidRDefault="50AA6D93" w:rsidP="5F85E821">
      <w:pPr>
        <w:pStyle w:val="Textodebloque"/>
        <w:spacing w:after="0"/>
        <w:ind w:right="6"/>
        <w:contextualSpacing/>
        <w:rPr>
          <w:rFonts w:ascii="Bookman Old Style" w:hAnsi="Bookman Old Style"/>
          <w:lang w:val="es-CO"/>
        </w:rPr>
      </w:pPr>
      <w:r w:rsidRPr="00C03235">
        <w:rPr>
          <w:rFonts w:ascii="Bookman Old Style" w:hAnsi="Bookman Old Style"/>
          <w:lang w:val="es-CO"/>
        </w:rPr>
        <w:t xml:space="preserve">En ese sentido, se verificó que el recurso se interpuso dentro del término legal, teniendo en cuenta que la decisión recurrida fue notificada electrónicamente el </w:t>
      </w:r>
      <w:r w:rsidR="5515CE53" w:rsidRPr="00C03235">
        <w:rPr>
          <w:rFonts w:ascii="Bookman Old Style" w:hAnsi="Bookman Old Style"/>
          <w:lang w:val="es-CO"/>
        </w:rPr>
        <w:t>27 de febrero de 2023, y el recurso fue presentado el 6 de marzo de 2023</w:t>
      </w:r>
    </w:p>
    <w:p w14:paraId="7F309D92" w14:textId="77777777" w:rsidR="00734DC6" w:rsidRPr="00C03235" w:rsidRDefault="00734DC6" w:rsidP="00734DC6">
      <w:pPr>
        <w:pStyle w:val="Textodebloque"/>
        <w:ind w:right="6"/>
        <w:contextualSpacing/>
        <w:rPr>
          <w:rFonts w:ascii="Bookman Old Style" w:hAnsi="Bookman Old Style"/>
          <w:szCs w:val="24"/>
          <w:lang w:val="es-CO"/>
        </w:rPr>
      </w:pPr>
    </w:p>
    <w:p w14:paraId="4D9E1CA8" w14:textId="6D5EC4BA" w:rsidR="00E428E1" w:rsidRPr="00C03235" w:rsidRDefault="00734DC6" w:rsidP="00734DC6">
      <w:pPr>
        <w:pStyle w:val="Textodebloque"/>
        <w:ind w:right="6"/>
        <w:contextualSpacing/>
        <w:rPr>
          <w:rFonts w:ascii="Bookman Old Style" w:hAnsi="Bookman Old Style"/>
          <w:lang w:val="es-CO"/>
        </w:rPr>
      </w:pPr>
      <w:r w:rsidRPr="00C03235">
        <w:rPr>
          <w:rFonts w:ascii="Bookman Old Style" w:hAnsi="Bookman Old Style"/>
          <w:lang w:val="es-CO"/>
        </w:rPr>
        <w:t>En virtud de lo anterior, y una vez verificado el cumplimiento de los requisitos a los que hace referencia el artículo 77 del Código de Procedimiento Administrativo y de lo Contencioso Administrativo, en concordancia con el artículo 113 de la Ley 142 de 1994, procede la CREG a realizar un análisis y pronunciarse en relación con los argumentos en que se sustenta la impugnación presentada por el recurrente.</w:t>
      </w:r>
    </w:p>
    <w:p w14:paraId="2CE14BFC" w14:textId="16BBFC0D" w:rsidR="00734DC6" w:rsidRPr="00C03235" w:rsidRDefault="00734DC6" w:rsidP="0021783D">
      <w:pPr>
        <w:pStyle w:val="Prrafodelista"/>
        <w:numPr>
          <w:ilvl w:val="1"/>
          <w:numId w:val="16"/>
        </w:numPr>
        <w:rPr>
          <w:bCs/>
          <w:iCs/>
        </w:rPr>
      </w:pPr>
      <w:r w:rsidRPr="00C03235">
        <w:rPr>
          <w:b/>
          <w:bCs/>
          <w:i/>
          <w:iCs/>
          <w:sz w:val="24"/>
          <w:szCs w:val="24"/>
        </w:rPr>
        <w:t>Fundamentos del recurso</w:t>
      </w:r>
    </w:p>
    <w:p w14:paraId="5A2CDC89" w14:textId="77777777" w:rsidR="00734DC6" w:rsidRPr="00C03235" w:rsidRDefault="00734DC6" w:rsidP="00734DC6">
      <w:pPr>
        <w:pStyle w:val="Textodebloque"/>
        <w:ind w:right="6"/>
        <w:contextualSpacing/>
        <w:rPr>
          <w:rFonts w:ascii="Bookman Old Style" w:hAnsi="Bookman Old Style"/>
          <w:szCs w:val="24"/>
          <w:lang w:val="es-CO"/>
        </w:rPr>
      </w:pPr>
    </w:p>
    <w:p w14:paraId="06155362" w14:textId="5DBF07E1" w:rsidR="00734DC6" w:rsidRPr="00C03235" w:rsidRDefault="64B25FEE" w:rsidP="00734DC6">
      <w:pPr>
        <w:pStyle w:val="Textodebloque"/>
        <w:spacing w:after="0"/>
        <w:ind w:right="6"/>
        <w:contextualSpacing/>
        <w:rPr>
          <w:rFonts w:ascii="Bookman Old Style" w:hAnsi="Bookman Old Style"/>
          <w:sz w:val="22"/>
          <w:szCs w:val="22"/>
          <w:lang w:val="es-CO"/>
        </w:rPr>
      </w:pPr>
      <w:r w:rsidRPr="00C03235">
        <w:rPr>
          <w:rFonts w:ascii="Bookman Old Style" w:hAnsi="Bookman Old Style"/>
          <w:lang w:val="es-CO"/>
        </w:rPr>
        <w:t xml:space="preserve">En las comunicaciones </w:t>
      </w:r>
      <w:r w:rsidR="7BFAD558" w:rsidRPr="00C03235">
        <w:rPr>
          <w:rFonts w:ascii="Bookman Old Style" w:hAnsi="Bookman Old Style"/>
          <w:lang w:val="es-CO"/>
        </w:rPr>
        <w:t>presentadas</w:t>
      </w:r>
      <w:r w:rsidR="64FEABA5" w:rsidRPr="00C03235">
        <w:rPr>
          <w:rFonts w:ascii="Bookman Old Style" w:hAnsi="Bookman Old Style"/>
          <w:lang w:val="es-CO"/>
        </w:rPr>
        <w:t>,</w:t>
      </w:r>
      <w:r w:rsidRPr="00C03235">
        <w:rPr>
          <w:rFonts w:ascii="Bookman Old Style" w:hAnsi="Bookman Old Style"/>
          <w:lang w:val="es-CO"/>
        </w:rPr>
        <w:t xml:space="preserve"> </w:t>
      </w:r>
      <w:r w:rsidR="3EDE68E6" w:rsidRPr="00C03235">
        <w:rPr>
          <w:rFonts w:ascii="Bookman Old Style" w:hAnsi="Bookman Old Style"/>
          <w:lang w:val="es-CO"/>
        </w:rPr>
        <w:t>HELIOS</w:t>
      </w:r>
      <w:r w:rsidR="7D7D69C3" w:rsidRPr="00C03235">
        <w:rPr>
          <w:rFonts w:ascii="Bookman Old Style" w:hAnsi="Bookman Old Style"/>
          <w:lang w:val="es-CO"/>
        </w:rPr>
        <w:t xml:space="preserve"> sustenta su recu</w:t>
      </w:r>
      <w:r w:rsidRPr="00C03235">
        <w:rPr>
          <w:rFonts w:ascii="Bookman Old Style" w:hAnsi="Bookman Old Style"/>
          <w:lang w:val="es-CO"/>
        </w:rPr>
        <w:t xml:space="preserve">rso en los siguientes argumentos: </w:t>
      </w:r>
    </w:p>
    <w:p w14:paraId="0EB922F4" w14:textId="77777777" w:rsidR="00980D25" w:rsidRPr="00C03235" w:rsidRDefault="00980D25" w:rsidP="00045D3D">
      <w:pPr>
        <w:jc w:val="both"/>
      </w:pPr>
    </w:p>
    <w:p w14:paraId="175BEFC2" w14:textId="26CD5460" w:rsidR="006B379B" w:rsidRPr="00C03235" w:rsidRDefault="006B379B" w:rsidP="00F67CF8">
      <w:pPr>
        <w:ind w:left="284"/>
        <w:jc w:val="both"/>
        <w:rPr>
          <w:i/>
          <w:iCs/>
          <w:sz w:val="22"/>
          <w:szCs w:val="22"/>
        </w:rPr>
      </w:pPr>
      <w:r w:rsidRPr="00C03235">
        <w:rPr>
          <w:i/>
          <w:iCs/>
          <w:sz w:val="22"/>
          <w:szCs w:val="22"/>
        </w:rPr>
        <w:t>“</w:t>
      </w:r>
      <w:r w:rsidR="000E6210" w:rsidRPr="00C03235">
        <w:rPr>
          <w:i/>
          <w:iCs/>
          <w:sz w:val="22"/>
          <w:szCs w:val="22"/>
        </w:rPr>
        <w:t xml:space="preserve">(…) </w:t>
      </w:r>
      <w:r w:rsidRPr="00C03235">
        <w:rPr>
          <w:i/>
          <w:iCs/>
          <w:sz w:val="22"/>
          <w:szCs w:val="22"/>
        </w:rPr>
        <w:t xml:space="preserve">2.1 Metodología para la definición del cargo máximo de generación </w:t>
      </w:r>
    </w:p>
    <w:p w14:paraId="3D099EA6" w14:textId="77777777" w:rsidR="006B379B" w:rsidRPr="00C03235" w:rsidRDefault="006B379B" w:rsidP="00F67CF8">
      <w:pPr>
        <w:ind w:left="284"/>
        <w:jc w:val="both"/>
        <w:rPr>
          <w:i/>
          <w:iCs/>
          <w:sz w:val="22"/>
          <w:szCs w:val="22"/>
        </w:rPr>
      </w:pPr>
    </w:p>
    <w:p w14:paraId="53C59BC9" w14:textId="3A1E8884" w:rsidR="006B379B" w:rsidRPr="00C03235" w:rsidRDefault="006B379B" w:rsidP="00F67CF8">
      <w:pPr>
        <w:ind w:left="284"/>
        <w:jc w:val="both"/>
        <w:rPr>
          <w:i/>
          <w:iCs/>
          <w:sz w:val="22"/>
          <w:szCs w:val="22"/>
        </w:rPr>
      </w:pPr>
      <w:r w:rsidRPr="00C03235">
        <w:rPr>
          <w:i/>
          <w:iCs/>
          <w:sz w:val="22"/>
          <w:szCs w:val="22"/>
        </w:rPr>
        <w:t xml:space="preserve">Mediante el documento CREG 501 002 del 03 de febrero de 2003, denominado </w:t>
      </w:r>
      <w:r w:rsidR="00F67CF8" w:rsidRPr="00C03235">
        <w:rPr>
          <w:i/>
          <w:iCs/>
          <w:sz w:val="22"/>
          <w:szCs w:val="22"/>
        </w:rPr>
        <w:t>‘</w:t>
      </w:r>
      <w:r w:rsidRPr="00C03235">
        <w:rPr>
          <w:i/>
          <w:iCs/>
          <w:sz w:val="22"/>
          <w:szCs w:val="22"/>
        </w:rPr>
        <w:t xml:space="preserve">determinación de los cargos máximos de generación de energía </w:t>
      </w:r>
      <w:r w:rsidR="00E46B97" w:rsidRPr="00C03235">
        <w:rPr>
          <w:i/>
          <w:iCs/>
          <w:sz w:val="22"/>
          <w:szCs w:val="22"/>
        </w:rPr>
        <w:t>eléctrica</w:t>
      </w:r>
      <w:r w:rsidRPr="00C03235">
        <w:rPr>
          <w:i/>
          <w:iCs/>
          <w:sz w:val="22"/>
          <w:szCs w:val="22"/>
        </w:rPr>
        <w:t xml:space="preserve"> para el mercado relevante de </w:t>
      </w:r>
      <w:r w:rsidR="00103D98" w:rsidRPr="00C03235">
        <w:rPr>
          <w:i/>
          <w:iCs/>
          <w:sz w:val="22"/>
          <w:szCs w:val="22"/>
        </w:rPr>
        <w:t>Nazareth</w:t>
      </w:r>
      <w:r w:rsidRPr="00C03235">
        <w:rPr>
          <w:i/>
          <w:iCs/>
          <w:sz w:val="22"/>
          <w:szCs w:val="22"/>
        </w:rPr>
        <w:t xml:space="preserve"> y puerto estrella en el municipio de </w:t>
      </w:r>
      <w:r w:rsidR="00103D98" w:rsidRPr="00C03235">
        <w:rPr>
          <w:i/>
          <w:iCs/>
          <w:sz w:val="22"/>
          <w:szCs w:val="22"/>
        </w:rPr>
        <w:t>Uribia</w:t>
      </w:r>
      <w:r w:rsidR="00F67CF8" w:rsidRPr="00C03235">
        <w:rPr>
          <w:i/>
          <w:iCs/>
          <w:sz w:val="22"/>
          <w:szCs w:val="22"/>
        </w:rPr>
        <w:t>’</w:t>
      </w:r>
      <w:r w:rsidRPr="00C03235">
        <w:rPr>
          <w:i/>
          <w:iCs/>
          <w:sz w:val="22"/>
          <w:szCs w:val="22"/>
        </w:rPr>
        <w:t xml:space="preserve">, la Comisión comparte el análisis metodológico realizado para la definición de los cargos máximos que obran en los artículos 1 y 2 de la resolución impugnada mediante este recurso. </w:t>
      </w:r>
    </w:p>
    <w:p w14:paraId="5EF65AD0" w14:textId="77777777" w:rsidR="006B379B" w:rsidRPr="00C03235" w:rsidRDefault="006B379B" w:rsidP="00F67CF8">
      <w:pPr>
        <w:ind w:left="284"/>
        <w:jc w:val="both"/>
        <w:rPr>
          <w:i/>
          <w:iCs/>
          <w:sz w:val="22"/>
          <w:szCs w:val="22"/>
        </w:rPr>
      </w:pPr>
    </w:p>
    <w:p w14:paraId="6790360D" w14:textId="21EB0712" w:rsidR="00980D25" w:rsidRPr="00C03235" w:rsidRDefault="006B379B" w:rsidP="00F67CF8">
      <w:pPr>
        <w:ind w:left="284"/>
        <w:jc w:val="both"/>
        <w:rPr>
          <w:i/>
          <w:iCs/>
          <w:sz w:val="22"/>
          <w:szCs w:val="22"/>
        </w:rPr>
      </w:pPr>
      <w:r w:rsidRPr="00C03235">
        <w:rPr>
          <w:i/>
          <w:iCs/>
          <w:sz w:val="22"/>
          <w:szCs w:val="22"/>
        </w:rPr>
        <w:t>Como parte de este análisis, la Comisión indica que</w:t>
      </w:r>
    </w:p>
    <w:p w14:paraId="0513F787" w14:textId="77777777" w:rsidR="004B4A53" w:rsidRPr="00C03235" w:rsidRDefault="004B4A53" w:rsidP="00F67CF8">
      <w:pPr>
        <w:ind w:left="284"/>
        <w:jc w:val="both"/>
        <w:rPr>
          <w:i/>
          <w:iCs/>
          <w:sz w:val="22"/>
          <w:szCs w:val="22"/>
        </w:rPr>
      </w:pPr>
    </w:p>
    <w:p w14:paraId="4CAF0D4E" w14:textId="5672C78C" w:rsidR="005D26C6" w:rsidRPr="00C03235" w:rsidRDefault="00F67CF8" w:rsidP="00F67CF8">
      <w:pPr>
        <w:ind w:left="567"/>
        <w:jc w:val="both"/>
        <w:rPr>
          <w:i/>
          <w:iCs/>
          <w:sz w:val="22"/>
          <w:szCs w:val="22"/>
        </w:rPr>
      </w:pPr>
      <w:r w:rsidRPr="00C03235">
        <w:rPr>
          <w:i/>
          <w:iCs/>
          <w:sz w:val="22"/>
          <w:szCs w:val="22"/>
        </w:rPr>
        <w:t>‘</w:t>
      </w:r>
      <w:r w:rsidR="005D26C6" w:rsidRPr="00C03235">
        <w:rPr>
          <w:i/>
          <w:iCs/>
          <w:sz w:val="22"/>
          <w:szCs w:val="22"/>
        </w:rPr>
        <w:t xml:space="preserve">En este sentido, a partir de lo aprobado en el marco de la Resolución 136 de 2019, </w:t>
      </w:r>
      <w:r w:rsidRPr="00C03235">
        <w:rPr>
          <w:i/>
          <w:iCs/>
          <w:sz w:val="22"/>
          <w:szCs w:val="22"/>
        </w:rPr>
        <w:t>‘</w:t>
      </w:r>
      <w:r w:rsidR="005D26C6" w:rsidRPr="00C03235">
        <w:rPr>
          <w:i/>
          <w:iCs/>
          <w:sz w:val="22"/>
          <w:szCs w:val="22"/>
        </w:rPr>
        <w:t xml:space="preserve">Por la cual se determina el cargo máximo de generación para sistemas híbridos </w:t>
      </w:r>
      <w:r w:rsidR="00103D98" w:rsidRPr="00C03235">
        <w:rPr>
          <w:i/>
          <w:iCs/>
          <w:sz w:val="22"/>
          <w:szCs w:val="22"/>
        </w:rPr>
        <w:t>diésel</w:t>
      </w:r>
      <w:r w:rsidR="005D26C6" w:rsidRPr="00C03235">
        <w:rPr>
          <w:i/>
          <w:iCs/>
          <w:sz w:val="22"/>
          <w:szCs w:val="22"/>
        </w:rPr>
        <w:t xml:space="preserve"> solar</w:t>
      </w:r>
      <w:r w:rsidR="00F263AC" w:rsidRPr="00C03235">
        <w:rPr>
          <w:i/>
          <w:iCs/>
          <w:sz w:val="22"/>
          <w:szCs w:val="22"/>
        </w:rPr>
        <w:t xml:space="preserve"> </w:t>
      </w:r>
      <w:r w:rsidR="005D26C6" w:rsidRPr="00C03235">
        <w:rPr>
          <w:i/>
          <w:iCs/>
          <w:sz w:val="22"/>
          <w:szCs w:val="22"/>
        </w:rPr>
        <w:t>fotovoltaicos con acumulación en el mercado relevante de comercialización de la cabecera municipal del municipio de Unguía (Chocó)</w:t>
      </w:r>
      <w:r w:rsidR="001C7453" w:rsidRPr="00C03235">
        <w:rPr>
          <w:i/>
          <w:iCs/>
          <w:sz w:val="22"/>
          <w:szCs w:val="22"/>
        </w:rPr>
        <w:t>’</w:t>
      </w:r>
      <w:r w:rsidR="005D26C6" w:rsidRPr="00C03235">
        <w:rPr>
          <w:i/>
          <w:iCs/>
          <w:sz w:val="22"/>
          <w:szCs w:val="22"/>
        </w:rPr>
        <w:t>, se estiman los costos eficientes de generación en sistemas solares fotovoltaicos y acumulación, considerando las condiciones particulares de radiación, costo de transporte e instalación de equipos para el mercado</w:t>
      </w:r>
      <w:r w:rsidR="00F263AC" w:rsidRPr="00C03235">
        <w:rPr>
          <w:i/>
          <w:iCs/>
          <w:sz w:val="22"/>
          <w:szCs w:val="22"/>
        </w:rPr>
        <w:t xml:space="preserve"> </w:t>
      </w:r>
      <w:r w:rsidR="005D26C6" w:rsidRPr="00C03235">
        <w:rPr>
          <w:i/>
          <w:iCs/>
          <w:sz w:val="22"/>
          <w:szCs w:val="22"/>
        </w:rPr>
        <w:t>de Unguía, ajustándolos a las condiciones de radiación y costos de transporte e instalación de equipos en el mercado relevante de Nazareth y Puerto Estrella.</w:t>
      </w:r>
    </w:p>
    <w:p w14:paraId="2C35198D" w14:textId="77777777" w:rsidR="00A35238" w:rsidRPr="00C03235" w:rsidRDefault="00A35238" w:rsidP="00F67CF8">
      <w:pPr>
        <w:ind w:left="567"/>
        <w:jc w:val="both"/>
        <w:rPr>
          <w:i/>
          <w:iCs/>
          <w:sz w:val="22"/>
          <w:szCs w:val="22"/>
        </w:rPr>
      </w:pPr>
    </w:p>
    <w:p w14:paraId="729E3935" w14:textId="3571F851" w:rsidR="005D26C6" w:rsidRPr="00C03235" w:rsidRDefault="005D26C6" w:rsidP="00D017BF">
      <w:pPr>
        <w:ind w:left="567"/>
        <w:jc w:val="both"/>
        <w:rPr>
          <w:i/>
          <w:iCs/>
          <w:sz w:val="22"/>
          <w:szCs w:val="22"/>
        </w:rPr>
      </w:pPr>
      <w:r w:rsidRPr="00C03235">
        <w:rPr>
          <w:i/>
          <w:iCs/>
          <w:sz w:val="22"/>
          <w:szCs w:val="22"/>
        </w:rPr>
        <w:t>(…)</w:t>
      </w:r>
    </w:p>
    <w:p w14:paraId="1228237A" w14:textId="77777777" w:rsidR="00A35238" w:rsidRPr="00C03235" w:rsidRDefault="00A35238" w:rsidP="00F67CF8">
      <w:pPr>
        <w:ind w:left="567"/>
        <w:jc w:val="both"/>
        <w:rPr>
          <w:i/>
          <w:iCs/>
          <w:sz w:val="22"/>
          <w:szCs w:val="22"/>
        </w:rPr>
      </w:pPr>
    </w:p>
    <w:p w14:paraId="4B190A56" w14:textId="5F238ADD" w:rsidR="005D26C6" w:rsidRPr="00C03235" w:rsidRDefault="005D26C6" w:rsidP="00F67CF8">
      <w:pPr>
        <w:ind w:left="567"/>
        <w:jc w:val="both"/>
        <w:rPr>
          <w:i/>
          <w:iCs/>
          <w:sz w:val="22"/>
          <w:szCs w:val="22"/>
        </w:rPr>
      </w:pPr>
      <w:r w:rsidRPr="00C03235">
        <w:rPr>
          <w:i/>
          <w:sz w:val="22"/>
          <w:szCs w:val="22"/>
          <w:u w:val="single"/>
        </w:rPr>
        <w:t xml:space="preserve">Dadas estas condiciones particulares del mercado de Nazareth, </w:t>
      </w:r>
      <w:r w:rsidRPr="00C03235">
        <w:rPr>
          <w:b/>
          <w:i/>
          <w:sz w:val="22"/>
          <w:szCs w:val="22"/>
          <w:u w:val="single"/>
        </w:rPr>
        <w:t>los cargos aprobados</w:t>
      </w:r>
      <w:r w:rsidR="00D20AE9" w:rsidRPr="00C03235">
        <w:rPr>
          <w:b/>
          <w:i/>
          <w:sz w:val="22"/>
          <w:szCs w:val="22"/>
          <w:u w:val="single"/>
        </w:rPr>
        <w:t xml:space="preserve"> </w:t>
      </w:r>
      <w:r w:rsidRPr="00C03235">
        <w:rPr>
          <w:b/>
          <w:i/>
          <w:sz w:val="22"/>
          <w:szCs w:val="22"/>
          <w:u w:val="single"/>
        </w:rPr>
        <w:t xml:space="preserve">para el mercado de Unguía </w:t>
      </w:r>
      <w:r w:rsidRPr="00C03235">
        <w:rPr>
          <w:i/>
          <w:sz w:val="22"/>
          <w:szCs w:val="22"/>
          <w:u w:val="single"/>
        </w:rPr>
        <w:t>y el ejercicio desarrollado por la Comisión, se determinan los</w:t>
      </w:r>
      <w:r w:rsidR="00D20AE9" w:rsidRPr="00C03235">
        <w:rPr>
          <w:i/>
          <w:sz w:val="22"/>
          <w:szCs w:val="22"/>
          <w:u w:val="single"/>
        </w:rPr>
        <w:t xml:space="preserve"> </w:t>
      </w:r>
      <w:r w:rsidRPr="00C03235">
        <w:rPr>
          <w:i/>
          <w:sz w:val="22"/>
          <w:szCs w:val="22"/>
          <w:u w:val="single"/>
        </w:rPr>
        <w:t>costos de generación eficiente</w:t>
      </w:r>
      <w:r w:rsidRPr="00C03235">
        <w:rPr>
          <w:i/>
          <w:iCs/>
          <w:sz w:val="22"/>
          <w:szCs w:val="22"/>
        </w:rPr>
        <w:t>. A continuación, se presentan los resultados del ejercicio</w:t>
      </w:r>
      <w:r w:rsidR="00D20AE9" w:rsidRPr="00C03235">
        <w:rPr>
          <w:i/>
          <w:iCs/>
          <w:sz w:val="22"/>
          <w:szCs w:val="22"/>
        </w:rPr>
        <w:t xml:space="preserve"> </w:t>
      </w:r>
      <w:r w:rsidRPr="00C03235">
        <w:rPr>
          <w:i/>
          <w:iCs/>
          <w:sz w:val="22"/>
          <w:szCs w:val="22"/>
        </w:rPr>
        <w:t>para las condiciones con las que se aprobaron los cargos máximos de generación para el mercado relevante de Unguía y cómo cambian al considerar las particularidades del mercado de Nazareth.</w:t>
      </w:r>
    </w:p>
    <w:p w14:paraId="12D1C234" w14:textId="77777777" w:rsidR="00A35238" w:rsidRPr="00C03235" w:rsidRDefault="00A35238" w:rsidP="00F67CF8">
      <w:pPr>
        <w:ind w:left="567"/>
        <w:jc w:val="both"/>
        <w:rPr>
          <w:i/>
          <w:iCs/>
          <w:sz w:val="22"/>
          <w:szCs w:val="22"/>
        </w:rPr>
      </w:pPr>
    </w:p>
    <w:p w14:paraId="1AAE6920" w14:textId="2720F2B4" w:rsidR="005D26C6" w:rsidRPr="00C03235" w:rsidRDefault="005D26C6" w:rsidP="005E2964">
      <w:pPr>
        <w:ind w:left="567"/>
        <w:jc w:val="both"/>
        <w:rPr>
          <w:i/>
          <w:iCs/>
          <w:sz w:val="22"/>
          <w:szCs w:val="22"/>
        </w:rPr>
      </w:pPr>
      <w:r w:rsidRPr="00C03235">
        <w:rPr>
          <w:i/>
          <w:iCs/>
          <w:sz w:val="22"/>
          <w:szCs w:val="22"/>
        </w:rPr>
        <w:lastRenderedPageBreak/>
        <w:t>(…)</w:t>
      </w:r>
    </w:p>
    <w:p w14:paraId="5BF2ADEA" w14:textId="77777777" w:rsidR="00A35238" w:rsidRPr="00C03235" w:rsidRDefault="00A35238" w:rsidP="00F67CF8">
      <w:pPr>
        <w:ind w:left="567"/>
        <w:jc w:val="both"/>
        <w:rPr>
          <w:i/>
          <w:iCs/>
          <w:sz w:val="22"/>
          <w:szCs w:val="22"/>
        </w:rPr>
      </w:pPr>
    </w:p>
    <w:p w14:paraId="2D30803C" w14:textId="2BC576A8" w:rsidR="009831ED" w:rsidRPr="00C03235" w:rsidRDefault="005D26C6" w:rsidP="00F67CF8">
      <w:pPr>
        <w:ind w:left="567"/>
        <w:jc w:val="both"/>
        <w:rPr>
          <w:i/>
          <w:iCs/>
          <w:sz w:val="22"/>
          <w:szCs w:val="22"/>
        </w:rPr>
      </w:pPr>
      <w:r w:rsidRPr="00C03235">
        <w:rPr>
          <w:i/>
          <w:iCs/>
          <w:sz w:val="22"/>
          <w:szCs w:val="22"/>
        </w:rPr>
        <w:t>En el caso de la estimación de los costos de generación, para Nazareth y Puerto Estrella</w:t>
      </w:r>
      <w:r w:rsidR="00D20AE9" w:rsidRPr="00C03235">
        <w:rPr>
          <w:i/>
          <w:iCs/>
          <w:sz w:val="22"/>
          <w:szCs w:val="22"/>
        </w:rPr>
        <w:t xml:space="preserve"> </w:t>
      </w:r>
      <w:r w:rsidRPr="00C03235">
        <w:rPr>
          <w:i/>
          <w:iCs/>
          <w:sz w:val="22"/>
          <w:szCs w:val="22"/>
        </w:rPr>
        <w:t>frente a Unguía, se tiene mayor radiación solar y menor porcentaje de sobrecostos de</w:t>
      </w:r>
      <w:r w:rsidR="00D20AE9" w:rsidRPr="00C03235">
        <w:rPr>
          <w:i/>
          <w:iCs/>
          <w:sz w:val="22"/>
          <w:szCs w:val="22"/>
        </w:rPr>
        <w:t xml:space="preserve"> </w:t>
      </w:r>
      <w:r w:rsidRPr="00C03235">
        <w:rPr>
          <w:i/>
          <w:iCs/>
          <w:sz w:val="22"/>
          <w:szCs w:val="22"/>
        </w:rPr>
        <w:t>transporte e instalación de equipos, lo que tiene como consecuencia que para generar el</w:t>
      </w:r>
      <w:r w:rsidR="00D20AE9" w:rsidRPr="00C03235">
        <w:rPr>
          <w:i/>
          <w:iCs/>
          <w:sz w:val="22"/>
          <w:szCs w:val="22"/>
        </w:rPr>
        <w:t xml:space="preserve"> m</w:t>
      </w:r>
      <w:r w:rsidRPr="00C03235">
        <w:rPr>
          <w:i/>
          <w:iCs/>
          <w:sz w:val="22"/>
          <w:szCs w:val="22"/>
        </w:rPr>
        <w:t xml:space="preserve">ismo kilovatio hora se requiere menor potencia, pasando de 0.277 a 0.242 kWp. </w:t>
      </w:r>
      <w:r w:rsidRPr="00C03235">
        <w:rPr>
          <w:b/>
          <w:i/>
          <w:sz w:val="22"/>
          <w:szCs w:val="22"/>
          <w:u w:val="single"/>
        </w:rPr>
        <w:t>Aplicando una regla de 3 para determinar el costo de inversión de la respectiva potencia</w:t>
      </w:r>
      <w:r w:rsidRPr="00C03235">
        <w:rPr>
          <w:i/>
          <w:iCs/>
          <w:sz w:val="22"/>
          <w:szCs w:val="22"/>
        </w:rPr>
        <w:t xml:space="preserve"> se obtiene un valor de $1,742.79 por kWh al </w:t>
      </w:r>
      <w:r w:rsidR="006731D4" w:rsidRPr="00C03235">
        <w:rPr>
          <w:i/>
          <w:iCs/>
          <w:sz w:val="22"/>
          <w:szCs w:val="22"/>
        </w:rPr>
        <w:t>año</w:t>
      </w:r>
      <w:r w:rsidRPr="00C03235">
        <w:rPr>
          <w:i/>
          <w:iCs/>
          <w:sz w:val="22"/>
          <w:szCs w:val="22"/>
        </w:rPr>
        <w:t>, en pesos de diciembre de 2006</w:t>
      </w:r>
      <w:r w:rsidR="00053BA2" w:rsidRPr="00C03235">
        <w:rPr>
          <w:i/>
          <w:iCs/>
          <w:sz w:val="22"/>
          <w:szCs w:val="22"/>
        </w:rPr>
        <w:t>’</w:t>
      </w:r>
      <w:r w:rsidRPr="00C03235">
        <w:rPr>
          <w:i/>
          <w:iCs/>
          <w:sz w:val="22"/>
          <w:szCs w:val="22"/>
        </w:rPr>
        <w:t>.</w:t>
      </w:r>
    </w:p>
    <w:p w14:paraId="780ECB58" w14:textId="77777777" w:rsidR="009831ED" w:rsidRPr="00C03235" w:rsidRDefault="009831ED" w:rsidP="002F5088">
      <w:pPr>
        <w:ind w:left="284"/>
        <w:jc w:val="both"/>
        <w:rPr>
          <w:i/>
          <w:iCs/>
          <w:sz w:val="22"/>
          <w:szCs w:val="22"/>
        </w:rPr>
      </w:pPr>
    </w:p>
    <w:p w14:paraId="5A2B9F3D" w14:textId="621A8A4D" w:rsidR="004B4A53" w:rsidRPr="00C03235" w:rsidRDefault="009831ED" w:rsidP="002F5088">
      <w:pPr>
        <w:ind w:left="284"/>
        <w:jc w:val="both"/>
        <w:rPr>
          <w:i/>
          <w:iCs/>
          <w:sz w:val="22"/>
          <w:szCs w:val="22"/>
        </w:rPr>
      </w:pPr>
      <w:r w:rsidRPr="00C03235">
        <w:rPr>
          <w:i/>
          <w:iCs/>
          <w:sz w:val="22"/>
          <w:szCs w:val="22"/>
        </w:rPr>
        <w:t xml:space="preserve">Al respecto fundamentaremos nuestra inconformidad con i) la manera como la CREG define costos eficientes y precios de referencia, sin tener en cuenta la información aportada por el prestador en el marco de la actuación administrativa ii) la omisión de fundamentar metodológicamente la escogencia de la </w:t>
      </w:r>
      <w:r w:rsidR="000511DF" w:rsidRPr="00C03235">
        <w:rPr>
          <w:i/>
          <w:iCs/>
          <w:sz w:val="22"/>
          <w:szCs w:val="22"/>
        </w:rPr>
        <w:t>‘</w:t>
      </w:r>
      <w:r w:rsidRPr="00C03235">
        <w:rPr>
          <w:i/>
          <w:iCs/>
          <w:sz w:val="22"/>
          <w:szCs w:val="22"/>
        </w:rPr>
        <w:t>regla de 3</w:t>
      </w:r>
      <w:r w:rsidR="000511DF" w:rsidRPr="00C03235">
        <w:rPr>
          <w:i/>
          <w:iCs/>
          <w:sz w:val="22"/>
          <w:szCs w:val="22"/>
        </w:rPr>
        <w:t>’</w:t>
      </w:r>
      <w:r w:rsidRPr="00C03235">
        <w:rPr>
          <w:i/>
          <w:iCs/>
          <w:sz w:val="22"/>
          <w:szCs w:val="22"/>
        </w:rPr>
        <w:t>, entre otros, como mecanismos para definir el cargo máximo de inversión y AOM y iii) la equivocada extensión de costos eficientes de un sistema de generación de energía eléctrica híbrido diésel solar en el Chocó, a uno en Nazareth y Puerto Estrella, localidades ubicadas en la Alta Guajira colombiana, donde se registran condiciones radicalmente diferentes.</w:t>
      </w:r>
    </w:p>
    <w:p w14:paraId="172AB127" w14:textId="77777777" w:rsidR="009831ED" w:rsidRPr="00C03235" w:rsidRDefault="009831ED" w:rsidP="002F5088">
      <w:pPr>
        <w:ind w:left="284"/>
        <w:jc w:val="both"/>
        <w:rPr>
          <w:i/>
          <w:iCs/>
          <w:sz w:val="22"/>
          <w:szCs w:val="22"/>
        </w:rPr>
      </w:pPr>
    </w:p>
    <w:p w14:paraId="616FAE32" w14:textId="5495AC1F" w:rsidR="00980D25" w:rsidRPr="00C03235" w:rsidRDefault="001A7969" w:rsidP="002F5088">
      <w:pPr>
        <w:ind w:left="284"/>
        <w:jc w:val="both"/>
        <w:rPr>
          <w:i/>
          <w:iCs/>
          <w:sz w:val="22"/>
          <w:szCs w:val="22"/>
        </w:rPr>
      </w:pPr>
      <w:r w:rsidRPr="00C03235">
        <w:rPr>
          <w:i/>
          <w:iCs/>
          <w:sz w:val="22"/>
          <w:szCs w:val="22"/>
        </w:rPr>
        <w:t>2.1.1 La Comisión no fundamentó la decisión con base en la información de costos eficientes y precios de referencia presentada por Helios al inicio de la actuación administrativa</w:t>
      </w:r>
    </w:p>
    <w:p w14:paraId="3B5E590B" w14:textId="77777777" w:rsidR="002D43B5" w:rsidRPr="00C03235" w:rsidRDefault="002D43B5" w:rsidP="002F5088">
      <w:pPr>
        <w:ind w:left="284"/>
        <w:jc w:val="both"/>
        <w:rPr>
          <w:i/>
          <w:iCs/>
          <w:sz w:val="22"/>
          <w:szCs w:val="22"/>
        </w:rPr>
      </w:pPr>
    </w:p>
    <w:p w14:paraId="42C33F86" w14:textId="31E8CEEA" w:rsidR="002D43B5" w:rsidRPr="00C03235" w:rsidRDefault="002D43B5" w:rsidP="002F5088">
      <w:pPr>
        <w:ind w:left="284"/>
        <w:jc w:val="both"/>
        <w:rPr>
          <w:i/>
          <w:iCs/>
          <w:sz w:val="22"/>
          <w:szCs w:val="22"/>
        </w:rPr>
      </w:pPr>
      <w:r w:rsidRPr="00C03235">
        <w:rPr>
          <w:i/>
          <w:iCs/>
          <w:sz w:val="22"/>
          <w:szCs w:val="22"/>
        </w:rPr>
        <w:t>Helios presentó a la CREG, mediante radicado CREG E2022006852 del 13 de junio de 2022,</w:t>
      </w:r>
      <w:r w:rsidR="005E0158" w:rsidRPr="00C03235">
        <w:rPr>
          <w:i/>
          <w:iCs/>
          <w:sz w:val="22"/>
          <w:szCs w:val="22"/>
        </w:rPr>
        <w:t xml:space="preserve"> </w:t>
      </w:r>
      <w:r w:rsidRPr="00C03235">
        <w:rPr>
          <w:i/>
          <w:iCs/>
          <w:sz w:val="22"/>
          <w:szCs w:val="22"/>
        </w:rPr>
        <w:t>la solicitud inicial de aprobación de un cargo máximo tarifario de generación para un</w:t>
      </w:r>
      <w:r w:rsidR="00A26512" w:rsidRPr="00C03235">
        <w:rPr>
          <w:i/>
          <w:iCs/>
          <w:sz w:val="22"/>
          <w:szCs w:val="22"/>
        </w:rPr>
        <w:t xml:space="preserve"> </w:t>
      </w:r>
      <w:r w:rsidRPr="00C03235">
        <w:rPr>
          <w:i/>
          <w:iCs/>
          <w:sz w:val="22"/>
          <w:szCs w:val="22"/>
        </w:rPr>
        <w:t xml:space="preserve">sistema híbrido </w:t>
      </w:r>
      <w:r w:rsidR="00E46B97" w:rsidRPr="00C03235">
        <w:rPr>
          <w:i/>
          <w:iCs/>
          <w:sz w:val="22"/>
          <w:szCs w:val="22"/>
        </w:rPr>
        <w:t>diésel</w:t>
      </w:r>
      <w:r w:rsidRPr="00C03235">
        <w:rPr>
          <w:i/>
          <w:iCs/>
          <w:sz w:val="22"/>
          <w:szCs w:val="22"/>
        </w:rPr>
        <w:t xml:space="preserve"> fotovoltaico que atiende el mercado relevante de los centros</w:t>
      </w:r>
      <w:r w:rsidR="00A26512" w:rsidRPr="00C03235">
        <w:rPr>
          <w:i/>
          <w:iCs/>
          <w:sz w:val="22"/>
          <w:szCs w:val="22"/>
        </w:rPr>
        <w:t xml:space="preserve"> </w:t>
      </w:r>
      <w:r w:rsidRPr="00C03235">
        <w:rPr>
          <w:i/>
          <w:iCs/>
          <w:sz w:val="22"/>
          <w:szCs w:val="22"/>
        </w:rPr>
        <w:t>poblados de Nazareth y Puerto Estrella en el municipio de Uribia, Departamento de la</w:t>
      </w:r>
      <w:r w:rsidR="00A26512" w:rsidRPr="00C03235">
        <w:rPr>
          <w:i/>
          <w:iCs/>
          <w:sz w:val="22"/>
          <w:szCs w:val="22"/>
        </w:rPr>
        <w:t xml:space="preserve"> </w:t>
      </w:r>
      <w:r w:rsidRPr="00C03235">
        <w:rPr>
          <w:i/>
          <w:iCs/>
          <w:sz w:val="22"/>
          <w:szCs w:val="22"/>
        </w:rPr>
        <w:t>Guajira, con una capacidad de generación solar fotovoltaica de 443 kWp, con</w:t>
      </w:r>
      <w:r w:rsidR="00A26512" w:rsidRPr="00C03235">
        <w:rPr>
          <w:i/>
          <w:iCs/>
          <w:sz w:val="22"/>
          <w:szCs w:val="22"/>
        </w:rPr>
        <w:t xml:space="preserve"> </w:t>
      </w:r>
      <w:r w:rsidRPr="00C03235">
        <w:rPr>
          <w:i/>
          <w:iCs/>
          <w:sz w:val="22"/>
          <w:szCs w:val="22"/>
        </w:rPr>
        <w:t>acumulación de 1.929 kWh. En esta solicitud, se allegaron la totalidad de soportes</w:t>
      </w:r>
      <w:r w:rsidR="00A26512" w:rsidRPr="00C03235">
        <w:rPr>
          <w:i/>
          <w:iCs/>
          <w:sz w:val="22"/>
          <w:szCs w:val="22"/>
        </w:rPr>
        <w:t xml:space="preserve"> </w:t>
      </w:r>
      <w:r w:rsidRPr="00C03235">
        <w:rPr>
          <w:i/>
          <w:iCs/>
          <w:sz w:val="22"/>
          <w:szCs w:val="22"/>
        </w:rPr>
        <w:t>técnicos que daban cuenta de los costos eficientes, tanto del componente de inversión</w:t>
      </w:r>
      <w:r w:rsidR="00A26512" w:rsidRPr="00C03235">
        <w:rPr>
          <w:i/>
          <w:iCs/>
          <w:sz w:val="22"/>
          <w:szCs w:val="22"/>
        </w:rPr>
        <w:t xml:space="preserve"> </w:t>
      </w:r>
      <w:r w:rsidRPr="00C03235">
        <w:rPr>
          <w:i/>
          <w:iCs/>
          <w:sz w:val="22"/>
          <w:szCs w:val="22"/>
        </w:rPr>
        <w:t>como de AOM, que Helios pretende sean tenidos en cuenta para la definición del cargo</w:t>
      </w:r>
      <w:r w:rsidR="00A26512" w:rsidRPr="00C03235">
        <w:rPr>
          <w:i/>
          <w:iCs/>
          <w:sz w:val="22"/>
          <w:szCs w:val="22"/>
        </w:rPr>
        <w:t xml:space="preserve"> </w:t>
      </w:r>
      <w:r w:rsidRPr="00C03235">
        <w:rPr>
          <w:i/>
          <w:iCs/>
          <w:sz w:val="22"/>
          <w:szCs w:val="22"/>
        </w:rPr>
        <w:t>máximo en cuestión. Estos soportes, consignados en los memoriales de cálculo anexadas</w:t>
      </w:r>
      <w:r w:rsidR="00A26512" w:rsidRPr="00C03235">
        <w:rPr>
          <w:i/>
          <w:iCs/>
          <w:sz w:val="22"/>
          <w:szCs w:val="22"/>
        </w:rPr>
        <w:t xml:space="preserve"> </w:t>
      </w:r>
      <w:r w:rsidRPr="00C03235">
        <w:rPr>
          <w:i/>
          <w:iCs/>
          <w:sz w:val="22"/>
          <w:szCs w:val="22"/>
        </w:rPr>
        <w:t>a la comunicación que referenciamos anteriormente, reflejan los costos eficientes</w:t>
      </w:r>
      <w:r w:rsidR="00A26512" w:rsidRPr="00C03235">
        <w:rPr>
          <w:i/>
          <w:iCs/>
          <w:sz w:val="22"/>
          <w:szCs w:val="22"/>
        </w:rPr>
        <w:t xml:space="preserve"> </w:t>
      </w:r>
      <w:r w:rsidRPr="00C03235">
        <w:rPr>
          <w:i/>
          <w:iCs/>
          <w:sz w:val="22"/>
          <w:szCs w:val="22"/>
        </w:rPr>
        <w:t>mínimos para adelantar la prestación del servicio mediante la solución tecnológica que</w:t>
      </w:r>
      <w:r w:rsidR="00A26512" w:rsidRPr="00C03235">
        <w:rPr>
          <w:i/>
          <w:iCs/>
          <w:sz w:val="22"/>
          <w:szCs w:val="22"/>
        </w:rPr>
        <w:t xml:space="preserve"> </w:t>
      </w:r>
      <w:r w:rsidRPr="00C03235">
        <w:rPr>
          <w:i/>
          <w:iCs/>
          <w:sz w:val="22"/>
          <w:szCs w:val="22"/>
        </w:rPr>
        <w:t>ahí se establece, teniendo en cuenta las condiciones propias de operar infraestructura</w:t>
      </w:r>
      <w:r w:rsidR="00A26512" w:rsidRPr="00C03235">
        <w:rPr>
          <w:i/>
          <w:iCs/>
          <w:sz w:val="22"/>
          <w:szCs w:val="22"/>
        </w:rPr>
        <w:t xml:space="preserve"> </w:t>
      </w:r>
      <w:r w:rsidRPr="00C03235">
        <w:rPr>
          <w:i/>
          <w:iCs/>
          <w:sz w:val="22"/>
          <w:szCs w:val="22"/>
        </w:rPr>
        <w:t>de generación eléctrica en los centros poblados de Nazareth y Puerto Estrella, ambas</w:t>
      </w:r>
      <w:r w:rsidR="00A26512" w:rsidRPr="00C03235">
        <w:rPr>
          <w:i/>
          <w:iCs/>
          <w:sz w:val="22"/>
          <w:szCs w:val="22"/>
        </w:rPr>
        <w:t xml:space="preserve"> </w:t>
      </w:r>
      <w:r w:rsidRPr="00C03235">
        <w:rPr>
          <w:i/>
          <w:iCs/>
          <w:sz w:val="22"/>
          <w:szCs w:val="22"/>
        </w:rPr>
        <w:t xml:space="preserve">localidades ubicadas en la denominada Alta Guajira Colombiana. </w:t>
      </w:r>
    </w:p>
    <w:p w14:paraId="029C80AC" w14:textId="77777777" w:rsidR="002E5789" w:rsidRPr="00C03235" w:rsidRDefault="002E5789" w:rsidP="002F5088">
      <w:pPr>
        <w:ind w:left="284"/>
        <w:jc w:val="both"/>
        <w:rPr>
          <w:i/>
          <w:iCs/>
          <w:sz w:val="22"/>
          <w:szCs w:val="22"/>
        </w:rPr>
      </w:pPr>
    </w:p>
    <w:p w14:paraId="431AFFB8" w14:textId="0073BA7C" w:rsidR="002E5789" w:rsidRPr="00C03235" w:rsidRDefault="002E5789" w:rsidP="002F5088">
      <w:pPr>
        <w:ind w:left="284"/>
        <w:jc w:val="both"/>
        <w:rPr>
          <w:i/>
          <w:iCs/>
          <w:sz w:val="22"/>
          <w:szCs w:val="22"/>
        </w:rPr>
      </w:pPr>
      <w:r w:rsidRPr="00C03235">
        <w:rPr>
          <w:i/>
          <w:iCs/>
          <w:sz w:val="22"/>
          <w:szCs w:val="22"/>
        </w:rPr>
        <w:t xml:space="preserve">Esta misma Comisión, ante la presentación de nuestra solicitud, mediante oficio con número de radicado CREG S2022002703 del 25 de julio de 2022, solicitó complementar la información </w:t>
      </w:r>
      <w:r w:rsidR="00570033" w:rsidRPr="00C03235">
        <w:rPr>
          <w:i/>
          <w:iCs/>
          <w:sz w:val="22"/>
          <w:szCs w:val="22"/>
        </w:rPr>
        <w:t>técnica</w:t>
      </w:r>
      <w:r w:rsidRPr="00C03235">
        <w:rPr>
          <w:i/>
          <w:iCs/>
          <w:sz w:val="22"/>
          <w:szCs w:val="22"/>
        </w:rPr>
        <w:t xml:space="preserve"> necesaria para el an</w:t>
      </w:r>
      <w:r w:rsidRPr="00C03235">
        <w:rPr>
          <w:rFonts w:cs="Bookman Old Style"/>
          <w:i/>
          <w:iCs/>
          <w:sz w:val="22"/>
          <w:szCs w:val="22"/>
        </w:rPr>
        <w:t>á</w:t>
      </w:r>
      <w:r w:rsidRPr="00C03235">
        <w:rPr>
          <w:i/>
          <w:iCs/>
          <w:sz w:val="22"/>
          <w:szCs w:val="22"/>
        </w:rPr>
        <w:t>lisis del cargo solicitado por Helios, lo cual fue</w:t>
      </w:r>
      <w:r w:rsidR="00570033" w:rsidRPr="00C03235">
        <w:rPr>
          <w:i/>
          <w:iCs/>
          <w:sz w:val="22"/>
          <w:szCs w:val="22"/>
        </w:rPr>
        <w:t xml:space="preserve"> </w:t>
      </w:r>
      <w:r w:rsidRPr="00C03235">
        <w:rPr>
          <w:i/>
          <w:iCs/>
          <w:sz w:val="22"/>
          <w:szCs w:val="22"/>
        </w:rPr>
        <w:t>debidamente aportado a través del oficio con número de radicado CREG E2022008662, de fecha 09 de agosto de 2022. En esta oportunidad, se allegaron soportes, bajo exclusivo</w:t>
      </w:r>
      <w:r w:rsidR="00570033" w:rsidRPr="00C03235">
        <w:rPr>
          <w:i/>
          <w:iCs/>
          <w:sz w:val="22"/>
          <w:szCs w:val="22"/>
        </w:rPr>
        <w:t xml:space="preserve"> </w:t>
      </w:r>
      <w:r w:rsidRPr="00C03235">
        <w:rPr>
          <w:i/>
          <w:iCs/>
          <w:sz w:val="22"/>
          <w:szCs w:val="22"/>
        </w:rPr>
        <w:t>requerimiento de la Comisión, que daban cuenta de, por ejemplo:</w:t>
      </w:r>
    </w:p>
    <w:p w14:paraId="2D51E8FE" w14:textId="77777777" w:rsidR="002E5789" w:rsidRPr="00C03235" w:rsidRDefault="002E5789" w:rsidP="002F5088">
      <w:pPr>
        <w:ind w:left="284"/>
        <w:jc w:val="both"/>
        <w:rPr>
          <w:i/>
          <w:iCs/>
          <w:sz w:val="22"/>
          <w:szCs w:val="22"/>
        </w:rPr>
      </w:pPr>
    </w:p>
    <w:p w14:paraId="25708F4E" w14:textId="77777777" w:rsidR="009E26C8" w:rsidRPr="00C03235" w:rsidRDefault="009E26C8" w:rsidP="002F5088">
      <w:pPr>
        <w:ind w:left="284"/>
        <w:jc w:val="both"/>
        <w:rPr>
          <w:i/>
          <w:iCs/>
          <w:sz w:val="22"/>
          <w:szCs w:val="22"/>
        </w:rPr>
      </w:pPr>
      <w:r w:rsidRPr="00C03235">
        <w:rPr>
          <w:i/>
          <w:iCs/>
          <w:sz w:val="22"/>
          <w:szCs w:val="22"/>
        </w:rPr>
        <w:t>• Costos de mantenimiento de las plantas de generación y acumulación</w:t>
      </w:r>
    </w:p>
    <w:p w14:paraId="6A36692B" w14:textId="77777777" w:rsidR="009E26C8" w:rsidRPr="00C03235" w:rsidRDefault="009E26C8" w:rsidP="002F5088">
      <w:pPr>
        <w:ind w:left="284"/>
        <w:jc w:val="both"/>
        <w:rPr>
          <w:i/>
          <w:iCs/>
          <w:sz w:val="22"/>
          <w:szCs w:val="22"/>
        </w:rPr>
      </w:pPr>
      <w:r w:rsidRPr="00C03235">
        <w:rPr>
          <w:i/>
          <w:iCs/>
          <w:sz w:val="22"/>
          <w:szCs w:val="22"/>
        </w:rPr>
        <w:t>• Costos de mantenimiento de la red de distribución</w:t>
      </w:r>
    </w:p>
    <w:p w14:paraId="446D7B8D" w14:textId="77777777" w:rsidR="009E26C8" w:rsidRPr="00C03235" w:rsidRDefault="009E26C8" w:rsidP="002F5088">
      <w:pPr>
        <w:ind w:left="284"/>
        <w:jc w:val="both"/>
        <w:rPr>
          <w:i/>
          <w:iCs/>
          <w:sz w:val="22"/>
          <w:szCs w:val="22"/>
        </w:rPr>
      </w:pPr>
      <w:r w:rsidRPr="00C03235">
        <w:rPr>
          <w:i/>
          <w:iCs/>
          <w:sz w:val="22"/>
          <w:szCs w:val="22"/>
        </w:rPr>
        <w:t>• Costos de herramientas y equipos</w:t>
      </w:r>
    </w:p>
    <w:p w14:paraId="37299D66" w14:textId="77777777" w:rsidR="009E26C8" w:rsidRPr="00C03235" w:rsidRDefault="009E26C8" w:rsidP="002F5088">
      <w:pPr>
        <w:ind w:left="284"/>
        <w:jc w:val="both"/>
        <w:rPr>
          <w:i/>
          <w:iCs/>
          <w:sz w:val="22"/>
          <w:szCs w:val="22"/>
        </w:rPr>
      </w:pPr>
      <w:r w:rsidRPr="00C03235">
        <w:rPr>
          <w:i/>
          <w:iCs/>
          <w:sz w:val="22"/>
          <w:szCs w:val="22"/>
        </w:rPr>
        <w:t xml:space="preserve">• Costo de los insumos y sus rendimientos </w:t>
      </w:r>
    </w:p>
    <w:p w14:paraId="52882F57" w14:textId="77777777" w:rsidR="009E26C8" w:rsidRPr="00C03235" w:rsidRDefault="009E26C8" w:rsidP="002F5088">
      <w:pPr>
        <w:ind w:left="284"/>
        <w:jc w:val="both"/>
        <w:rPr>
          <w:i/>
          <w:iCs/>
          <w:sz w:val="22"/>
          <w:szCs w:val="22"/>
        </w:rPr>
      </w:pPr>
      <w:r w:rsidRPr="00C03235">
        <w:rPr>
          <w:i/>
          <w:iCs/>
          <w:sz w:val="22"/>
          <w:szCs w:val="22"/>
        </w:rPr>
        <w:t>• Costos detallados de transporte</w:t>
      </w:r>
    </w:p>
    <w:p w14:paraId="4D8CFBEA" w14:textId="77777777" w:rsidR="009E26C8" w:rsidRPr="00C03235" w:rsidRDefault="009E26C8" w:rsidP="002F5088">
      <w:pPr>
        <w:ind w:left="284"/>
        <w:jc w:val="both"/>
        <w:rPr>
          <w:i/>
          <w:iCs/>
          <w:sz w:val="22"/>
          <w:szCs w:val="22"/>
        </w:rPr>
      </w:pPr>
      <w:r w:rsidRPr="00C03235">
        <w:rPr>
          <w:i/>
          <w:iCs/>
          <w:sz w:val="22"/>
          <w:szCs w:val="22"/>
        </w:rPr>
        <w:t>• Costos de personal incluyendo gastos de manutención</w:t>
      </w:r>
    </w:p>
    <w:p w14:paraId="34A91BA5" w14:textId="77777777" w:rsidR="009E26C8" w:rsidRPr="00C03235" w:rsidRDefault="009E26C8" w:rsidP="002F5088">
      <w:pPr>
        <w:ind w:left="284"/>
        <w:jc w:val="both"/>
        <w:rPr>
          <w:i/>
          <w:iCs/>
          <w:sz w:val="22"/>
          <w:szCs w:val="22"/>
        </w:rPr>
      </w:pPr>
      <w:r w:rsidRPr="00C03235">
        <w:rPr>
          <w:i/>
          <w:iCs/>
          <w:sz w:val="22"/>
          <w:szCs w:val="22"/>
        </w:rPr>
        <w:t>• Costos de administración</w:t>
      </w:r>
    </w:p>
    <w:p w14:paraId="2ECF8C22" w14:textId="56966866" w:rsidR="002E5789" w:rsidRPr="00C03235" w:rsidRDefault="009E26C8" w:rsidP="002F5088">
      <w:pPr>
        <w:ind w:left="284"/>
        <w:jc w:val="both"/>
        <w:rPr>
          <w:i/>
          <w:iCs/>
          <w:sz w:val="22"/>
          <w:szCs w:val="22"/>
        </w:rPr>
      </w:pPr>
      <w:r w:rsidRPr="00C03235">
        <w:rPr>
          <w:i/>
          <w:iCs/>
          <w:sz w:val="22"/>
          <w:szCs w:val="22"/>
        </w:rPr>
        <w:t>• Costos de seguridad y vigilancia</w:t>
      </w:r>
    </w:p>
    <w:p w14:paraId="712CE99A" w14:textId="77777777" w:rsidR="00D64733" w:rsidRPr="00C03235" w:rsidRDefault="00D64733" w:rsidP="002F5088">
      <w:pPr>
        <w:ind w:left="284"/>
        <w:jc w:val="both"/>
      </w:pPr>
    </w:p>
    <w:p w14:paraId="483015D2" w14:textId="5BE9264F" w:rsidR="001A7969" w:rsidRPr="00C03235" w:rsidRDefault="00D64733" w:rsidP="002F5088">
      <w:pPr>
        <w:ind w:left="284"/>
        <w:jc w:val="both"/>
        <w:rPr>
          <w:i/>
          <w:iCs/>
          <w:sz w:val="22"/>
          <w:szCs w:val="22"/>
        </w:rPr>
      </w:pPr>
      <w:r w:rsidRPr="00C03235">
        <w:rPr>
          <w:i/>
          <w:iCs/>
          <w:sz w:val="22"/>
          <w:szCs w:val="22"/>
        </w:rPr>
        <w:lastRenderedPageBreak/>
        <w:t>Es con base en estos soportes de costos y precios de referencia aportados por Helios, tanto por su voluntad al inicio de la solicitud de expedición de cargos, como por la propia solicitud de esta Comisión que hemos referenciado, que a través de Auto con radicado CREG I2022007162 del 03 de octubre de 2022, la Comisión ordenó dar inicio a la actuación administrativa solicitada por Helios, la cual pretende llegue a su fin con la resolución que impugnamos mediante este recurso.</w:t>
      </w:r>
    </w:p>
    <w:p w14:paraId="0D4615FD" w14:textId="77777777" w:rsidR="0040051F" w:rsidRPr="00C03235" w:rsidRDefault="0040051F" w:rsidP="002F5088">
      <w:pPr>
        <w:ind w:left="284"/>
        <w:jc w:val="both"/>
        <w:rPr>
          <w:i/>
          <w:iCs/>
          <w:sz w:val="22"/>
          <w:szCs w:val="22"/>
        </w:rPr>
      </w:pPr>
    </w:p>
    <w:p w14:paraId="54964AA9" w14:textId="772B8238" w:rsidR="0040051F" w:rsidRPr="00C03235" w:rsidRDefault="0040051F" w:rsidP="002F5088">
      <w:pPr>
        <w:ind w:left="284"/>
        <w:jc w:val="both"/>
        <w:rPr>
          <w:i/>
          <w:iCs/>
          <w:sz w:val="22"/>
          <w:szCs w:val="22"/>
        </w:rPr>
      </w:pPr>
      <w:r w:rsidRPr="00C03235">
        <w:rPr>
          <w:i/>
          <w:iCs/>
          <w:sz w:val="22"/>
          <w:szCs w:val="22"/>
        </w:rPr>
        <w:t xml:space="preserve">Según observamos en los considerandos de la resolución CREG 501 004 de 2023 y su documento CREG 501 002 de 2023, la información de costos y precios de </w:t>
      </w:r>
      <w:r w:rsidR="00B467D0" w:rsidRPr="00C03235">
        <w:rPr>
          <w:i/>
          <w:iCs/>
          <w:sz w:val="22"/>
          <w:szCs w:val="22"/>
        </w:rPr>
        <w:t>referencia aportada</w:t>
      </w:r>
      <w:r w:rsidRPr="00C03235">
        <w:rPr>
          <w:i/>
          <w:iCs/>
          <w:sz w:val="22"/>
          <w:szCs w:val="22"/>
        </w:rPr>
        <w:t xml:space="preserve"> por Helios, tanto al inicio de la solicitud como por el mismo requerimiento de la Comisión, no fueron tenidas en cuenta al momento de determinar el cargo máximo</w:t>
      </w:r>
      <w:r w:rsidR="00B467D0" w:rsidRPr="00C03235">
        <w:rPr>
          <w:i/>
          <w:iCs/>
          <w:sz w:val="22"/>
          <w:szCs w:val="22"/>
        </w:rPr>
        <w:t xml:space="preserve"> que obra en los artículos 1 y 2 de la resolución CREG 501 004 de 2023. Como bien se observa en este documento, ninguno de los costos y precios aportados por Helios durante la actuación administrativa, fueron tenidos en cuenta por la CREG para la definición de los cargos máximos por inversión y AOM, viendo en este documento única y exclusivamente una definición del cargo máximo de inversión y AOM en función de los costos eficientes definidos para un sistema de similar tecnología en Unguía, Chocó, cuya determinación obedeció a una actuación administrativa de la cual Helios no fue parte, con base en unos costos eficientes y precios de referencia que no conoció y de los cuales no se identifica en el documento CREG 501 002 de 2023 análisis de aplicación estrictamente idéntica de los mismos al caso en referencia. </w:t>
      </w:r>
    </w:p>
    <w:p w14:paraId="6F9142FA" w14:textId="77777777" w:rsidR="00B467D0" w:rsidRPr="00C03235" w:rsidRDefault="00B467D0" w:rsidP="002F5088">
      <w:pPr>
        <w:ind w:left="284"/>
        <w:jc w:val="both"/>
        <w:rPr>
          <w:i/>
          <w:iCs/>
          <w:sz w:val="22"/>
          <w:szCs w:val="22"/>
        </w:rPr>
      </w:pPr>
    </w:p>
    <w:p w14:paraId="6933ECA8" w14:textId="0D7BF289" w:rsidR="001A7969" w:rsidRPr="00C03235" w:rsidRDefault="00F377AB" w:rsidP="002F5088">
      <w:pPr>
        <w:ind w:left="284"/>
        <w:jc w:val="both"/>
        <w:rPr>
          <w:i/>
          <w:iCs/>
          <w:sz w:val="22"/>
          <w:szCs w:val="22"/>
        </w:rPr>
      </w:pPr>
      <w:r w:rsidRPr="00C03235">
        <w:rPr>
          <w:i/>
          <w:iCs/>
          <w:sz w:val="22"/>
          <w:szCs w:val="22"/>
        </w:rPr>
        <w:t>Como bien reconoce la Comisión en los considerandos de la resolución CREG 501 004 de</w:t>
      </w:r>
      <w:r w:rsidR="003E774F" w:rsidRPr="00C03235">
        <w:rPr>
          <w:i/>
          <w:iCs/>
          <w:sz w:val="22"/>
          <w:szCs w:val="22"/>
        </w:rPr>
        <w:t xml:space="preserve"> </w:t>
      </w:r>
      <w:r w:rsidRPr="00C03235">
        <w:rPr>
          <w:i/>
          <w:iCs/>
          <w:sz w:val="22"/>
          <w:szCs w:val="22"/>
        </w:rPr>
        <w:t xml:space="preserve">2023, en donde indica, </w:t>
      </w:r>
      <w:r w:rsidR="00FC0FA8" w:rsidRPr="00C03235">
        <w:rPr>
          <w:i/>
          <w:iCs/>
          <w:sz w:val="22"/>
          <w:szCs w:val="22"/>
        </w:rPr>
        <w:t>‘</w:t>
      </w:r>
      <w:r w:rsidRPr="00C03235">
        <w:rPr>
          <w:i/>
          <w:iCs/>
          <w:sz w:val="22"/>
          <w:szCs w:val="22"/>
        </w:rPr>
        <w:t xml:space="preserve">en esta actuación administrativa se definirá el cargo de generación en su totalidad, incluyendo el costo de inversión y los gastos de administración, operación y mantenimiento, aplicables para el cálculo de costo unitario de prestación del servicio de los usuarios ubicados en el mercado de comercialización relevante de los centros poblados de Nazareth y Puerto Estrella, </w:t>
      </w:r>
      <w:r w:rsidRPr="00C03235">
        <w:rPr>
          <w:b/>
          <w:i/>
          <w:sz w:val="22"/>
          <w:szCs w:val="22"/>
          <w:u w:val="single"/>
        </w:rPr>
        <w:t>a partir de la mejor</w:t>
      </w:r>
      <w:r w:rsidR="00A27708" w:rsidRPr="00C03235">
        <w:rPr>
          <w:b/>
          <w:i/>
          <w:sz w:val="22"/>
          <w:szCs w:val="22"/>
          <w:u w:val="single"/>
        </w:rPr>
        <w:t xml:space="preserve"> </w:t>
      </w:r>
      <w:r w:rsidRPr="00C03235">
        <w:rPr>
          <w:b/>
          <w:i/>
          <w:sz w:val="22"/>
          <w:szCs w:val="22"/>
          <w:u w:val="single"/>
        </w:rPr>
        <w:t>información disponible</w:t>
      </w:r>
      <w:r w:rsidRPr="00C03235">
        <w:rPr>
          <w:i/>
          <w:sz w:val="22"/>
          <w:szCs w:val="22"/>
          <w:u w:val="single"/>
        </w:rPr>
        <w:t>, con el fin de dar se</w:t>
      </w:r>
      <w:r w:rsidR="00A27708" w:rsidRPr="00C03235">
        <w:rPr>
          <w:i/>
          <w:sz w:val="22"/>
          <w:szCs w:val="22"/>
          <w:u w:val="single"/>
        </w:rPr>
        <w:t>ñ</w:t>
      </w:r>
      <w:r w:rsidRPr="00C03235">
        <w:rPr>
          <w:i/>
          <w:sz w:val="22"/>
          <w:szCs w:val="22"/>
          <w:u w:val="single"/>
        </w:rPr>
        <w:t xml:space="preserve">ales adecuadas que </w:t>
      </w:r>
      <w:r w:rsidRPr="00C03235">
        <w:rPr>
          <w:b/>
          <w:i/>
          <w:sz w:val="22"/>
          <w:szCs w:val="22"/>
          <w:u w:val="single"/>
        </w:rPr>
        <w:t>reflejen la estructura</w:t>
      </w:r>
      <w:r w:rsidR="00A27708" w:rsidRPr="00C03235">
        <w:rPr>
          <w:b/>
          <w:i/>
          <w:sz w:val="22"/>
          <w:szCs w:val="22"/>
          <w:u w:val="single"/>
        </w:rPr>
        <w:t xml:space="preserve"> </w:t>
      </w:r>
      <w:r w:rsidRPr="00C03235">
        <w:rPr>
          <w:b/>
          <w:i/>
          <w:sz w:val="22"/>
          <w:szCs w:val="22"/>
          <w:u w:val="single"/>
        </w:rPr>
        <w:t>de costos económicos que acarrea la prestación del servicio</w:t>
      </w:r>
      <w:r w:rsidRPr="00C03235">
        <w:rPr>
          <w:i/>
          <w:sz w:val="22"/>
          <w:szCs w:val="22"/>
          <w:u w:val="single"/>
        </w:rPr>
        <w:t>, y que se permitan utilizar</w:t>
      </w:r>
      <w:r w:rsidR="00F27DFA" w:rsidRPr="00C03235">
        <w:rPr>
          <w:i/>
          <w:sz w:val="22"/>
          <w:szCs w:val="22"/>
          <w:u w:val="single"/>
        </w:rPr>
        <w:t xml:space="preserve"> </w:t>
      </w:r>
      <w:r w:rsidRPr="00C03235">
        <w:rPr>
          <w:i/>
          <w:sz w:val="22"/>
          <w:szCs w:val="22"/>
          <w:u w:val="single"/>
        </w:rPr>
        <w:t>las tecnologías y sistemas administrativos que garanticen la mejor calidad, continuidad</w:t>
      </w:r>
      <w:r w:rsidR="00F27DFA" w:rsidRPr="00C03235">
        <w:rPr>
          <w:i/>
          <w:sz w:val="22"/>
          <w:szCs w:val="22"/>
          <w:u w:val="single"/>
        </w:rPr>
        <w:t xml:space="preserve"> </w:t>
      </w:r>
      <w:r w:rsidRPr="00C03235">
        <w:rPr>
          <w:i/>
          <w:sz w:val="22"/>
          <w:szCs w:val="22"/>
          <w:u w:val="single"/>
        </w:rPr>
        <w:t>y seguridad a los usuarios</w:t>
      </w:r>
      <w:r w:rsidR="00593E7B" w:rsidRPr="00C03235">
        <w:rPr>
          <w:i/>
          <w:sz w:val="22"/>
          <w:szCs w:val="22"/>
          <w:u w:val="single"/>
        </w:rPr>
        <w:t>.</w:t>
      </w:r>
      <w:r w:rsidR="00231A3C" w:rsidRPr="00C03235">
        <w:rPr>
          <w:i/>
          <w:iCs/>
          <w:sz w:val="22"/>
          <w:szCs w:val="22"/>
        </w:rPr>
        <w:t>’</w:t>
      </w:r>
    </w:p>
    <w:p w14:paraId="3CDF555C" w14:textId="77777777" w:rsidR="00F27DFA" w:rsidRPr="00C03235" w:rsidRDefault="00F27DFA" w:rsidP="002F5088">
      <w:pPr>
        <w:ind w:left="284"/>
        <w:jc w:val="both"/>
        <w:rPr>
          <w:i/>
          <w:iCs/>
          <w:sz w:val="22"/>
          <w:szCs w:val="22"/>
        </w:rPr>
      </w:pPr>
    </w:p>
    <w:p w14:paraId="7F5038AC" w14:textId="04ABDFA9" w:rsidR="00F27DFA" w:rsidRPr="00C03235" w:rsidRDefault="00A95DFA" w:rsidP="002F5088">
      <w:pPr>
        <w:ind w:left="284"/>
        <w:jc w:val="both"/>
        <w:rPr>
          <w:i/>
          <w:iCs/>
          <w:sz w:val="22"/>
          <w:szCs w:val="22"/>
        </w:rPr>
      </w:pPr>
      <w:r w:rsidRPr="00C03235">
        <w:rPr>
          <w:i/>
          <w:iCs/>
          <w:sz w:val="22"/>
          <w:szCs w:val="22"/>
        </w:rPr>
        <w:t xml:space="preserve">Es en función de esto que destacamos nuestro primer elemento de inconformidad, puesto que la Comisión, teniendo suficientes soportes técnicos de costos eficientes y precios de referencia obrando en el expediente de la actuación administrativa, algunos inclusive aportados por solicitud expresa de </w:t>
      </w:r>
      <w:r w:rsidRPr="00C03235">
        <w:rPr>
          <w:i/>
          <w:sz w:val="22"/>
          <w:szCs w:val="22"/>
        </w:rPr>
        <w:t>esta Comisión, no tuvo en cuenta los costos y soportes técnicos aportados durante la actuación administrativa, definiendo un cargo máximo con base en información utilizada para la definición del cargo máximo de un sistema de generación híbrido diésel solar con acumulación en una cabecera municipal con condiciones severamente diferentes como es el caso de Unguía, Chocó</w:t>
      </w:r>
      <w:r w:rsidRPr="00C03235">
        <w:rPr>
          <w:i/>
          <w:iCs/>
          <w:sz w:val="22"/>
          <w:szCs w:val="22"/>
        </w:rPr>
        <w:t>. El resultado de no tener en cuenta los costos y precios de referencia aportados durante la actuación administrativa o de no haber solicitado más información de la oportunamente entregada, conllevó a la CREG, por error, a producir un cargo máximo tarifario que no reconoce adecuadamente los costos de prestación del servicio, impidiendo que se cumpla con el principio de suficiencia financiera previsto en la ley, sin haber siquiera argumentado las razones por las cuales no tuvo en cuenta la abundante y detallada información aportada durante la actuación administrativa.</w:t>
      </w:r>
    </w:p>
    <w:p w14:paraId="7C113AB1" w14:textId="77777777" w:rsidR="00A64F1B" w:rsidRPr="00C03235" w:rsidRDefault="00A64F1B" w:rsidP="002F5088">
      <w:pPr>
        <w:ind w:left="284"/>
        <w:jc w:val="both"/>
        <w:rPr>
          <w:i/>
          <w:iCs/>
          <w:sz w:val="22"/>
          <w:szCs w:val="22"/>
        </w:rPr>
      </w:pPr>
    </w:p>
    <w:p w14:paraId="6C2F283F" w14:textId="7A1009A6" w:rsidR="00A64F1B" w:rsidRPr="00C03235" w:rsidRDefault="00A64F1B" w:rsidP="002F5088">
      <w:pPr>
        <w:ind w:left="284"/>
        <w:jc w:val="both"/>
        <w:rPr>
          <w:i/>
          <w:iCs/>
          <w:sz w:val="22"/>
          <w:szCs w:val="22"/>
        </w:rPr>
      </w:pPr>
      <w:r w:rsidRPr="00C03235">
        <w:rPr>
          <w:i/>
          <w:iCs/>
          <w:sz w:val="22"/>
          <w:szCs w:val="22"/>
        </w:rPr>
        <w:t xml:space="preserve">2.1.2 </w:t>
      </w:r>
      <w:r w:rsidRPr="00C03235">
        <w:rPr>
          <w:i/>
          <w:sz w:val="22"/>
          <w:szCs w:val="22"/>
        </w:rPr>
        <w:t xml:space="preserve">La Comisión no fundamentó la escogencia del </w:t>
      </w:r>
      <w:r w:rsidR="00103D98" w:rsidRPr="00C03235">
        <w:rPr>
          <w:i/>
          <w:sz w:val="22"/>
          <w:szCs w:val="22"/>
        </w:rPr>
        <w:t>método</w:t>
      </w:r>
      <w:r w:rsidRPr="00C03235">
        <w:rPr>
          <w:i/>
          <w:sz w:val="22"/>
          <w:szCs w:val="22"/>
        </w:rPr>
        <w:t xml:space="preserve"> de </w:t>
      </w:r>
      <w:r w:rsidR="00C80033" w:rsidRPr="00C03235">
        <w:rPr>
          <w:i/>
          <w:sz w:val="22"/>
          <w:szCs w:val="22"/>
        </w:rPr>
        <w:t>‘</w:t>
      </w:r>
      <w:r w:rsidRPr="00C03235">
        <w:rPr>
          <w:i/>
          <w:sz w:val="22"/>
          <w:szCs w:val="22"/>
        </w:rPr>
        <w:t>regla de 3</w:t>
      </w:r>
      <w:r w:rsidR="00C80033" w:rsidRPr="00C03235">
        <w:rPr>
          <w:rFonts w:cs="Bookman Old Style"/>
          <w:i/>
          <w:sz w:val="22"/>
          <w:szCs w:val="22"/>
        </w:rPr>
        <w:t>’</w:t>
      </w:r>
      <w:r w:rsidRPr="00C03235">
        <w:rPr>
          <w:i/>
          <w:sz w:val="22"/>
          <w:szCs w:val="22"/>
        </w:rPr>
        <w:t xml:space="preserve"> como metodología adecuada e idónea para la definición del cargo máximo de inversión y AOM </w:t>
      </w:r>
      <w:r w:rsidRPr="00C03235">
        <w:rPr>
          <w:i/>
          <w:iCs/>
          <w:sz w:val="22"/>
          <w:szCs w:val="22"/>
        </w:rPr>
        <w:t>para solución solar fotovoltaica con acumulación.</w:t>
      </w:r>
    </w:p>
    <w:p w14:paraId="6827DD37" w14:textId="77777777" w:rsidR="00A64F1B" w:rsidRPr="00C03235" w:rsidRDefault="00A64F1B" w:rsidP="002F5088">
      <w:pPr>
        <w:ind w:left="284"/>
        <w:jc w:val="both"/>
        <w:rPr>
          <w:i/>
          <w:iCs/>
          <w:sz w:val="22"/>
          <w:szCs w:val="22"/>
        </w:rPr>
      </w:pPr>
    </w:p>
    <w:p w14:paraId="2F50C140" w14:textId="5CE97959" w:rsidR="000E2D93" w:rsidRPr="00C03235" w:rsidRDefault="00A64F1B" w:rsidP="002F5088">
      <w:pPr>
        <w:ind w:left="284"/>
        <w:jc w:val="both"/>
        <w:rPr>
          <w:i/>
          <w:iCs/>
          <w:sz w:val="22"/>
          <w:szCs w:val="22"/>
        </w:rPr>
      </w:pPr>
      <w:r w:rsidRPr="00C03235">
        <w:rPr>
          <w:i/>
          <w:iCs/>
          <w:sz w:val="22"/>
          <w:szCs w:val="22"/>
        </w:rPr>
        <w:t>En adición a lo anterior, la Comisión decidió adoptar como metodología para la definición de los cargos de inversión del caso en referencia, la de aplicar una regla de 3 a los cargos máximos</w:t>
      </w:r>
      <w:r w:rsidR="000E2D93" w:rsidRPr="00C03235">
        <w:rPr>
          <w:i/>
          <w:iCs/>
          <w:sz w:val="22"/>
          <w:szCs w:val="22"/>
        </w:rPr>
        <w:t xml:space="preserve"> autorizados para un sistema que, erróneamente, argumentan </w:t>
      </w:r>
      <w:r w:rsidR="000E2D93" w:rsidRPr="00C03235">
        <w:rPr>
          <w:i/>
          <w:iCs/>
          <w:sz w:val="22"/>
          <w:szCs w:val="22"/>
        </w:rPr>
        <w:lastRenderedPageBreak/>
        <w:t>cuenta con similares características en Unguía, Chocó, con el fin de obtener un cargo máximo de inversión y AOM para Nazareth y Puerto Estrella, en función de la potencia del sistema solar fotovoltaico.</w:t>
      </w:r>
    </w:p>
    <w:p w14:paraId="48128A44" w14:textId="77777777" w:rsidR="000E2D93" w:rsidRPr="00C03235" w:rsidRDefault="000E2D93" w:rsidP="002F5088">
      <w:pPr>
        <w:ind w:left="284"/>
        <w:jc w:val="both"/>
        <w:rPr>
          <w:i/>
          <w:iCs/>
          <w:sz w:val="22"/>
          <w:szCs w:val="22"/>
        </w:rPr>
      </w:pPr>
    </w:p>
    <w:p w14:paraId="3BEC734E" w14:textId="2ABFBBD2" w:rsidR="00A64F1B" w:rsidRPr="00C03235" w:rsidRDefault="000E2D93" w:rsidP="002F5088">
      <w:pPr>
        <w:ind w:left="284"/>
        <w:jc w:val="both"/>
        <w:rPr>
          <w:i/>
          <w:iCs/>
          <w:sz w:val="22"/>
          <w:szCs w:val="22"/>
        </w:rPr>
      </w:pPr>
      <w:r w:rsidRPr="00C03235">
        <w:rPr>
          <w:i/>
          <w:iCs/>
          <w:sz w:val="22"/>
          <w:szCs w:val="22"/>
        </w:rPr>
        <w:t>Al respecto consideramos que la Comisión i) omite justificar la procedencia y razonabilidad del método adoptado para definir el cargo máximo para Nazareth y Puerto Estrella y ii) desconoce, con el método definido, las diferencias técnicas, operativas, comerciales y logísticas de invertir y operar este tipo de infraestructura entre Unguía, Chocó y la Alta Guajira colombiana.</w:t>
      </w:r>
    </w:p>
    <w:p w14:paraId="2E8C1C35" w14:textId="77777777" w:rsidR="000E2D93" w:rsidRPr="00C03235" w:rsidRDefault="000E2D93" w:rsidP="002F5088">
      <w:pPr>
        <w:ind w:left="284"/>
        <w:jc w:val="both"/>
        <w:rPr>
          <w:i/>
          <w:iCs/>
          <w:sz w:val="22"/>
          <w:szCs w:val="22"/>
        </w:rPr>
      </w:pPr>
    </w:p>
    <w:p w14:paraId="67AD8E0E" w14:textId="1D65893F" w:rsidR="000E2D93" w:rsidRPr="00C03235" w:rsidRDefault="00E35F59" w:rsidP="0081334A">
      <w:pPr>
        <w:ind w:left="284"/>
        <w:jc w:val="both"/>
        <w:rPr>
          <w:i/>
          <w:iCs/>
          <w:sz w:val="22"/>
          <w:szCs w:val="22"/>
        </w:rPr>
      </w:pPr>
      <w:r w:rsidRPr="00C03235">
        <w:rPr>
          <w:i/>
          <w:iCs/>
          <w:sz w:val="22"/>
          <w:szCs w:val="22"/>
        </w:rPr>
        <w:t>2.1.2.1 Sobre la metodología que utiliza la CREG</w:t>
      </w:r>
    </w:p>
    <w:p w14:paraId="7F526FD2" w14:textId="77777777" w:rsidR="00E35F59" w:rsidRPr="00C03235" w:rsidRDefault="00E35F59" w:rsidP="002F5088">
      <w:pPr>
        <w:ind w:left="284"/>
        <w:jc w:val="both"/>
        <w:rPr>
          <w:i/>
          <w:iCs/>
          <w:sz w:val="22"/>
          <w:szCs w:val="22"/>
        </w:rPr>
      </w:pPr>
    </w:p>
    <w:p w14:paraId="1AA9DF8B" w14:textId="20865EA3" w:rsidR="001E1C30" w:rsidRPr="00C03235" w:rsidRDefault="001E1C30" w:rsidP="002F5088">
      <w:pPr>
        <w:ind w:left="284"/>
        <w:jc w:val="both"/>
        <w:rPr>
          <w:i/>
          <w:iCs/>
          <w:sz w:val="22"/>
          <w:szCs w:val="22"/>
        </w:rPr>
      </w:pPr>
      <w:r w:rsidRPr="00C03235">
        <w:rPr>
          <w:i/>
          <w:iCs/>
          <w:sz w:val="22"/>
          <w:szCs w:val="22"/>
        </w:rPr>
        <w:t>En el documento 501 002 del 03 de febrero de 2023, con claridad se indica, respecto de la definición del cargo máximo de inversión para solar fotovoltaico con acumulación, y el de AOM, respectivamente, que:</w:t>
      </w:r>
    </w:p>
    <w:p w14:paraId="33D79BE0" w14:textId="77777777" w:rsidR="0081334A" w:rsidRPr="00C03235" w:rsidRDefault="0081334A" w:rsidP="002F5088">
      <w:pPr>
        <w:ind w:left="284"/>
        <w:jc w:val="both"/>
        <w:rPr>
          <w:i/>
          <w:iCs/>
          <w:sz w:val="22"/>
          <w:szCs w:val="22"/>
        </w:rPr>
      </w:pPr>
    </w:p>
    <w:p w14:paraId="7A2F3B47" w14:textId="0A541329" w:rsidR="001E1C30" w:rsidRPr="00C03235" w:rsidRDefault="0081334A" w:rsidP="0081334A">
      <w:pPr>
        <w:ind w:left="567"/>
        <w:jc w:val="both"/>
        <w:rPr>
          <w:i/>
          <w:iCs/>
          <w:sz w:val="22"/>
          <w:szCs w:val="22"/>
        </w:rPr>
      </w:pPr>
      <w:r w:rsidRPr="00C03235">
        <w:rPr>
          <w:i/>
          <w:iCs/>
          <w:sz w:val="22"/>
          <w:szCs w:val="22"/>
        </w:rPr>
        <w:t>‘</w:t>
      </w:r>
      <w:r w:rsidR="001E1C30" w:rsidRPr="00C03235">
        <w:rPr>
          <w:i/>
          <w:iCs/>
          <w:sz w:val="22"/>
          <w:szCs w:val="22"/>
        </w:rPr>
        <w:t xml:space="preserve">En el caso de la estimación de los costos de generación, para Nazareth y Puerto Estrella frente a Unguía, se tiene mayor radiación solar y menor porcentaje de sobrecostos de transporte e instalación de equipos, lo que tiene como consecuencia que para generar el mismo kilovatio hora se requiere menor potencia, pasando de 0.277 a 0.242 kWp. </w:t>
      </w:r>
      <w:r w:rsidR="001E1C30" w:rsidRPr="00C03235">
        <w:rPr>
          <w:b/>
          <w:bCs/>
          <w:i/>
          <w:iCs/>
          <w:sz w:val="22"/>
          <w:szCs w:val="22"/>
          <w:u w:val="single"/>
        </w:rPr>
        <w:t xml:space="preserve">Aplicando una regla de 3 </w:t>
      </w:r>
      <w:r w:rsidR="001E1C30" w:rsidRPr="00C03235">
        <w:rPr>
          <w:i/>
          <w:iCs/>
          <w:sz w:val="22"/>
          <w:szCs w:val="22"/>
        </w:rPr>
        <w:t>para determinar el costo de inversión de la respectiva potencia se obtiene un valor de $1,742.79 por kWh al año, en pesos de diciembre de 2006.</w:t>
      </w:r>
    </w:p>
    <w:p w14:paraId="3214D131" w14:textId="77777777" w:rsidR="001E1C30" w:rsidRPr="00C03235" w:rsidRDefault="001E1C30" w:rsidP="0081334A">
      <w:pPr>
        <w:ind w:left="567"/>
        <w:jc w:val="both"/>
        <w:rPr>
          <w:i/>
          <w:iCs/>
          <w:sz w:val="22"/>
          <w:szCs w:val="22"/>
        </w:rPr>
      </w:pPr>
    </w:p>
    <w:p w14:paraId="763BCFF8" w14:textId="3D5E9361" w:rsidR="001E1C30" w:rsidRPr="00C03235" w:rsidRDefault="001E1C30" w:rsidP="0081334A">
      <w:pPr>
        <w:ind w:left="567"/>
        <w:jc w:val="both"/>
        <w:rPr>
          <w:i/>
          <w:iCs/>
          <w:sz w:val="22"/>
          <w:szCs w:val="22"/>
        </w:rPr>
      </w:pPr>
      <w:r w:rsidRPr="00C03235">
        <w:rPr>
          <w:i/>
          <w:iCs/>
          <w:sz w:val="22"/>
          <w:szCs w:val="22"/>
        </w:rPr>
        <w:t>Aplicando una función de Costo Anual Equivalente con una tasa de descuento del 15.22%, la misma vida útil de los activos fijada en 20 años y el costo de inversiones de $1,742.79, se obtiene un resultado de cargo máximo de inversión de $281.90 por kWh para la generación con sistema solar fotovoltaico.</w:t>
      </w:r>
    </w:p>
    <w:p w14:paraId="057987AF" w14:textId="77777777" w:rsidR="001E1C30" w:rsidRPr="00C03235" w:rsidRDefault="001E1C30" w:rsidP="0081334A">
      <w:pPr>
        <w:ind w:left="567"/>
        <w:jc w:val="both"/>
        <w:rPr>
          <w:i/>
          <w:iCs/>
          <w:sz w:val="22"/>
          <w:szCs w:val="22"/>
        </w:rPr>
      </w:pPr>
    </w:p>
    <w:p w14:paraId="16E13130" w14:textId="4F0E7E1B" w:rsidR="001E1C30" w:rsidRPr="00C03235" w:rsidRDefault="001E1C30" w:rsidP="0081334A">
      <w:pPr>
        <w:ind w:left="567"/>
        <w:jc w:val="both"/>
        <w:rPr>
          <w:i/>
          <w:iCs/>
          <w:sz w:val="22"/>
          <w:szCs w:val="22"/>
        </w:rPr>
      </w:pPr>
      <w:r w:rsidRPr="00C03235">
        <w:rPr>
          <w:i/>
          <w:iCs/>
          <w:sz w:val="22"/>
          <w:szCs w:val="22"/>
        </w:rPr>
        <w:t xml:space="preserve">Para la estimación de los costos estimados de AOM, </w:t>
      </w:r>
      <w:r w:rsidRPr="00C03235">
        <w:rPr>
          <w:b/>
          <w:bCs/>
          <w:i/>
          <w:iCs/>
          <w:sz w:val="22"/>
          <w:szCs w:val="22"/>
          <w:u w:val="single"/>
        </w:rPr>
        <w:t>se parte de que estos son proporcionales a la potencia instalada</w:t>
      </w:r>
      <w:r w:rsidRPr="00C03235">
        <w:rPr>
          <w:i/>
          <w:iCs/>
          <w:sz w:val="22"/>
          <w:szCs w:val="22"/>
        </w:rPr>
        <w:t>, en la medida en que el mayor componente de dichos costos corresponde a repuestos y mantenimiento de la infraestructura. En el caso del mercado relevante de Nazareth y Puerto Estrella, el AOM proporcional para una potencia pico de 0.242 kWp, corresponde a $33.22 por kWh</w:t>
      </w:r>
      <w:r w:rsidR="00C136CB" w:rsidRPr="00C03235">
        <w:rPr>
          <w:i/>
          <w:iCs/>
          <w:sz w:val="22"/>
          <w:szCs w:val="22"/>
        </w:rPr>
        <w:t>’</w:t>
      </w:r>
      <w:r w:rsidRPr="00C03235">
        <w:rPr>
          <w:i/>
          <w:iCs/>
          <w:sz w:val="22"/>
          <w:szCs w:val="22"/>
        </w:rPr>
        <w:t>.</w:t>
      </w:r>
    </w:p>
    <w:p w14:paraId="2AFAD47A" w14:textId="77777777" w:rsidR="009639BE" w:rsidRPr="00C03235" w:rsidRDefault="009639BE" w:rsidP="002F5088">
      <w:pPr>
        <w:ind w:left="284"/>
        <w:jc w:val="both"/>
        <w:rPr>
          <w:i/>
          <w:iCs/>
          <w:sz w:val="22"/>
          <w:szCs w:val="22"/>
        </w:rPr>
      </w:pPr>
    </w:p>
    <w:p w14:paraId="62C0DF16" w14:textId="3518D3E2" w:rsidR="001E1C30" w:rsidRPr="00C03235" w:rsidRDefault="001E1C30" w:rsidP="002F5088">
      <w:pPr>
        <w:ind w:left="284"/>
        <w:jc w:val="both"/>
        <w:rPr>
          <w:i/>
          <w:iCs/>
          <w:sz w:val="22"/>
          <w:szCs w:val="22"/>
        </w:rPr>
      </w:pPr>
      <w:r w:rsidRPr="00C03235">
        <w:rPr>
          <w:i/>
          <w:iCs/>
          <w:sz w:val="22"/>
          <w:szCs w:val="22"/>
        </w:rPr>
        <w:t>La Comisión, entre las distintas posibilidades metodológicas posibles que existen para la</w:t>
      </w:r>
      <w:r w:rsidR="00D94496" w:rsidRPr="00C03235">
        <w:rPr>
          <w:i/>
          <w:iCs/>
          <w:sz w:val="22"/>
          <w:szCs w:val="22"/>
        </w:rPr>
        <w:t xml:space="preserve"> </w:t>
      </w:r>
      <w:r w:rsidRPr="00C03235">
        <w:rPr>
          <w:i/>
          <w:iCs/>
          <w:sz w:val="22"/>
          <w:szCs w:val="22"/>
        </w:rPr>
        <w:t xml:space="preserve">definición del cargo máximo de inversión y AOM de tecnología solar fotovoltaica, decidió adoptar la de aplicar una regla de 3 -y, en general, un criterio de </w:t>
      </w:r>
      <w:r w:rsidR="00C136CB" w:rsidRPr="00C03235">
        <w:rPr>
          <w:i/>
          <w:iCs/>
          <w:sz w:val="22"/>
          <w:szCs w:val="22"/>
        </w:rPr>
        <w:t>‘</w:t>
      </w:r>
      <w:r w:rsidRPr="00C03235">
        <w:rPr>
          <w:i/>
          <w:iCs/>
          <w:sz w:val="22"/>
          <w:szCs w:val="22"/>
        </w:rPr>
        <w:t>proporcionalidad</w:t>
      </w:r>
      <w:r w:rsidR="00C136CB" w:rsidRPr="00C03235">
        <w:rPr>
          <w:i/>
          <w:iCs/>
          <w:sz w:val="22"/>
          <w:szCs w:val="22"/>
        </w:rPr>
        <w:t>’</w:t>
      </w:r>
      <w:r w:rsidRPr="00C03235">
        <w:rPr>
          <w:i/>
          <w:iCs/>
          <w:sz w:val="22"/>
          <w:szCs w:val="22"/>
        </w:rPr>
        <w:t xml:space="preserve">- entre los cargos previamente definidos para una solución en Unguía, Chocó y el cargo por definir para Nazareth y Puerto Estrella, sin que en el acto administrativo se evidencie las razones por las cuales la Comisión escoge esta metodología, cuales </w:t>
      </w:r>
      <w:r w:rsidR="009639BE" w:rsidRPr="00C03235">
        <w:rPr>
          <w:i/>
          <w:iCs/>
          <w:sz w:val="22"/>
          <w:szCs w:val="22"/>
        </w:rPr>
        <w:t>otras metodologías observaron</w:t>
      </w:r>
      <w:r w:rsidRPr="00C03235">
        <w:rPr>
          <w:i/>
          <w:iCs/>
          <w:sz w:val="22"/>
          <w:szCs w:val="22"/>
        </w:rPr>
        <w:t xml:space="preserve"> y comparó, y en general, cuáles son las motivaciones de la Comisión para usar una metodología que desconoce por</w:t>
      </w:r>
      <w:r w:rsidR="00F1566E" w:rsidRPr="00C03235">
        <w:rPr>
          <w:i/>
          <w:iCs/>
          <w:sz w:val="22"/>
          <w:szCs w:val="22"/>
        </w:rPr>
        <w:t xml:space="preserve"> </w:t>
      </w:r>
      <w:r w:rsidRPr="00C03235">
        <w:rPr>
          <w:i/>
          <w:iCs/>
          <w:sz w:val="22"/>
          <w:szCs w:val="22"/>
        </w:rPr>
        <w:t>completo los soportes probatorios sobre el costo de prestación del servicio aportados durante la</w:t>
      </w:r>
      <w:r w:rsidR="00F1566E" w:rsidRPr="00C03235">
        <w:rPr>
          <w:i/>
          <w:iCs/>
          <w:sz w:val="22"/>
          <w:szCs w:val="22"/>
        </w:rPr>
        <w:t xml:space="preserve"> </w:t>
      </w:r>
      <w:r w:rsidRPr="00C03235">
        <w:rPr>
          <w:i/>
          <w:iCs/>
          <w:sz w:val="22"/>
          <w:szCs w:val="22"/>
        </w:rPr>
        <w:t>actuación administrativa. Consideramos que la ausencia de una justificación en este sentido, por</w:t>
      </w:r>
      <w:r w:rsidR="00F1566E" w:rsidRPr="00C03235">
        <w:rPr>
          <w:i/>
          <w:iCs/>
          <w:sz w:val="22"/>
          <w:szCs w:val="22"/>
        </w:rPr>
        <w:t xml:space="preserve"> </w:t>
      </w:r>
      <w:r w:rsidRPr="00C03235">
        <w:rPr>
          <w:i/>
          <w:iCs/>
          <w:sz w:val="22"/>
          <w:szCs w:val="22"/>
        </w:rPr>
        <w:t>demás, puede viciar el acto administrativo y la decisión de la administración por no estar</w:t>
      </w:r>
      <w:r w:rsidR="00F1566E" w:rsidRPr="00C03235">
        <w:rPr>
          <w:i/>
          <w:iCs/>
          <w:sz w:val="22"/>
          <w:szCs w:val="22"/>
        </w:rPr>
        <w:t xml:space="preserve"> </w:t>
      </w:r>
      <w:r w:rsidRPr="00C03235">
        <w:rPr>
          <w:i/>
          <w:iCs/>
          <w:sz w:val="22"/>
          <w:szCs w:val="22"/>
        </w:rPr>
        <w:t>adecuadamente motivado, con los indeseables efectos que ello puede derivar para garantizar la</w:t>
      </w:r>
      <w:r w:rsidR="00F1566E" w:rsidRPr="00C03235">
        <w:rPr>
          <w:i/>
          <w:iCs/>
          <w:sz w:val="22"/>
          <w:szCs w:val="22"/>
        </w:rPr>
        <w:t xml:space="preserve"> </w:t>
      </w:r>
      <w:r w:rsidRPr="00C03235">
        <w:rPr>
          <w:i/>
          <w:iCs/>
          <w:sz w:val="22"/>
          <w:szCs w:val="22"/>
        </w:rPr>
        <w:t>calidad, continuidad y seguridad en la prestación del servicio</w:t>
      </w:r>
      <w:r w:rsidR="00BD6C03" w:rsidRPr="00C03235">
        <w:rPr>
          <w:i/>
          <w:iCs/>
          <w:sz w:val="22"/>
          <w:szCs w:val="22"/>
        </w:rPr>
        <w:t>.</w:t>
      </w:r>
    </w:p>
    <w:p w14:paraId="2536162F" w14:textId="77777777" w:rsidR="00103D98" w:rsidRPr="00C03235" w:rsidRDefault="00103D98" w:rsidP="002F5088">
      <w:pPr>
        <w:ind w:left="284"/>
        <w:jc w:val="both"/>
        <w:rPr>
          <w:i/>
          <w:iCs/>
          <w:sz w:val="22"/>
          <w:szCs w:val="22"/>
        </w:rPr>
      </w:pPr>
    </w:p>
    <w:p w14:paraId="6E7025AB" w14:textId="051F914D" w:rsidR="00BD6C03" w:rsidRPr="00C03235" w:rsidRDefault="00804CD3" w:rsidP="002F5088">
      <w:pPr>
        <w:ind w:left="284"/>
        <w:jc w:val="both"/>
        <w:rPr>
          <w:i/>
          <w:iCs/>
          <w:sz w:val="22"/>
          <w:szCs w:val="22"/>
        </w:rPr>
      </w:pPr>
      <w:r w:rsidRPr="00C03235">
        <w:rPr>
          <w:i/>
          <w:iCs/>
          <w:sz w:val="22"/>
          <w:szCs w:val="22"/>
        </w:rPr>
        <w:t xml:space="preserve">Si la Comisión considera que el análisis realizado para Unguía, Chocó, y los costos eficientes allí definidos, son suficientes para la determinación mediante una simple regla de 3 de cualquier cargo tarifario para una solución de similares características en todo el territorio nacional, entonces ello debe consignarse en una metodología tarifaria de carácter general, la cual debe desplegarse mediante un procedimiento </w:t>
      </w:r>
      <w:r w:rsidRPr="00C03235">
        <w:rPr>
          <w:i/>
          <w:iCs/>
          <w:sz w:val="22"/>
          <w:szCs w:val="22"/>
        </w:rPr>
        <w:lastRenderedPageBreak/>
        <w:t>administrativo particular, sesiones de audiencias públicas, periodos de publicidad, consultas a la autoridad de competencia, entre muchas otras. Para el caso de la actuación administrativa en referencia, esta fue iniciada y tramitada como una</w:t>
      </w:r>
      <w:r w:rsidR="00E30C98" w:rsidRPr="00C03235">
        <w:rPr>
          <w:i/>
          <w:iCs/>
          <w:sz w:val="22"/>
          <w:szCs w:val="22"/>
        </w:rPr>
        <w:t xml:space="preserve"> de carácter particular para el respectivo mercado de comercialización, partiendo de la premisa de que no existe metodología tarifaria de carácter general para definir este cargo, por lo cual mal</w:t>
      </w:r>
      <w:r w:rsidR="00D94496" w:rsidRPr="00C03235">
        <w:rPr>
          <w:i/>
          <w:iCs/>
          <w:sz w:val="22"/>
          <w:szCs w:val="22"/>
        </w:rPr>
        <w:t xml:space="preserve"> </w:t>
      </w:r>
      <w:r w:rsidR="00E30C98" w:rsidRPr="00C03235">
        <w:rPr>
          <w:i/>
          <w:iCs/>
          <w:sz w:val="22"/>
          <w:szCs w:val="22"/>
        </w:rPr>
        <w:t>haría en definirse un cargo máximo, obviando las pruebas y soportes que obran en el expediente de la actuación administrativa, y pretendiendo extender, por regla de 3 o por un criterio de proporcionalidad, los cargos tarifarios que han sido definidos para otra actuación administrativa de carácter particular.</w:t>
      </w:r>
    </w:p>
    <w:p w14:paraId="2151E157" w14:textId="77777777" w:rsidR="00F72985" w:rsidRPr="00C03235" w:rsidRDefault="00F72985" w:rsidP="002F5088">
      <w:pPr>
        <w:ind w:left="284"/>
        <w:jc w:val="both"/>
        <w:rPr>
          <w:i/>
          <w:iCs/>
          <w:sz w:val="22"/>
          <w:szCs w:val="22"/>
        </w:rPr>
      </w:pPr>
    </w:p>
    <w:p w14:paraId="46282C63" w14:textId="2C9945F9" w:rsidR="00F72985" w:rsidRPr="00C03235" w:rsidRDefault="00F72985" w:rsidP="002F5088">
      <w:pPr>
        <w:ind w:left="284"/>
        <w:jc w:val="both"/>
        <w:rPr>
          <w:i/>
          <w:iCs/>
          <w:sz w:val="22"/>
          <w:szCs w:val="22"/>
        </w:rPr>
      </w:pPr>
      <w:r w:rsidRPr="00C03235">
        <w:rPr>
          <w:i/>
          <w:iCs/>
          <w:sz w:val="22"/>
          <w:szCs w:val="22"/>
        </w:rPr>
        <w:t xml:space="preserve">Además, insistimos, </w:t>
      </w:r>
      <w:r w:rsidRPr="00C03235">
        <w:rPr>
          <w:i/>
          <w:sz w:val="22"/>
          <w:szCs w:val="22"/>
        </w:rPr>
        <w:t>para Helios es desconocida la estructura de costos que fue presentada para determinar el cargo indicado en la Resolución CREG 136 de 2019</w:t>
      </w:r>
      <w:r w:rsidRPr="00C03235">
        <w:rPr>
          <w:i/>
          <w:iCs/>
          <w:sz w:val="22"/>
          <w:szCs w:val="22"/>
        </w:rPr>
        <w:t>, y si en su momento y oportunidad fueron presentados y contemplados los costos y precios de referencia adecuados y eficientes para garantizar una adecuada prestación del servicio.</w:t>
      </w:r>
    </w:p>
    <w:p w14:paraId="131843D7" w14:textId="77777777" w:rsidR="00F72985" w:rsidRPr="00C03235" w:rsidRDefault="00F72985" w:rsidP="002F5088">
      <w:pPr>
        <w:ind w:left="284"/>
        <w:jc w:val="both"/>
        <w:rPr>
          <w:i/>
          <w:iCs/>
          <w:sz w:val="22"/>
          <w:szCs w:val="22"/>
        </w:rPr>
      </w:pPr>
    </w:p>
    <w:p w14:paraId="16E3BF3C" w14:textId="1B5422F1" w:rsidR="008B7BDB" w:rsidRPr="00C03235" w:rsidRDefault="008B7BDB" w:rsidP="002F5088">
      <w:pPr>
        <w:ind w:left="284"/>
        <w:jc w:val="both"/>
        <w:rPr>
          <w:i/>
          <w:iCs/>
          <w:sz w:val="22"/>
          <w:szCs w:val="22"/>
        </w:rPr>
      </w:pPr>
      <w:r w:rsidRPr="00C03235">
        <w:rPr>
          <w:i/>
          <w:iCs/>
          <w:sz w:val="22"/>
          <w:szCs w:val="22"/>
        </w:rPr>
        <w:t xml:space="preserve">2.1.2.2 Sobre las diferencias técnicas, operativas, comerciales y logísticas de invertir y operar este tipo de infraestructura entre Unguía, Chocó y la Alta Guajira colombiana </w:t>
      </w:r>
    </w:p>
    <w:p w14:paraId="3A2C2402" w14:textId="77777777" w:rsidR="008B7BDB" w:rsidRPr="00C03235" w:rsidRDefault="008B7BDB" w:rsidP="002F5088">
      <w:pPr>
        <w:ind w:left="284"/>
        <w:jc w:val="both"/>
        <w:rPr>
          <w:i/>
          <w:iCs/>
          <w:sz w:val="22"/>
          <w:szCs w:val="22"/>
        </w:rPr>
      </w:pPr>
    </w:p>
    <w:p w14:paraId="0AFF529D" w14:textId="78281EF0" w:rsidR="00F72985" w:rsidRPr="00C03235" w:rsidRDefault="008B7BDB" w:rsidP="002F5088">
      <w:pPr>
        <w:ind w:left="284"/>
        <w:jc w:val="both"/>
        <w:rPr>
          <w:i/>
          <w:iCs/>
          <w:sz w:val="22"/>
          <w:szCs w:val="22"/>
        </w:rPr>
      </w:pPr>
      <w:r w:rsidRPr="00C03235">
        <w:rPr>
          <w:i/>
          <w:iCs/>
          <w:sz w:val="22"/>
          <w:szCs w:val="22"/>
        </w:rPr>
        <w:t>La metodología propuesta por la CREG, de definir los cargos de Nazareth y Puerto Estrella como una regla de tres, o una proporcionalidad, respecto de los previamente definidos para una solución supuestamente similar en Unguía, Chocó, necesariamente supone similitudes entre regiones con características socioeconómicas, culturales, geográficas, topográficas, climáticas, ambientales y de conectividad completamente diferentes. Al respecto, plantearemos varios ejemplos ilustrativos, que dan cuenta de cómo la metodología adoptada por la CREG, no permite capturar adecuadamente los costos eficientes para la prestación del servicio de generación, en los términos comentados en la actuación administrativa, en Nazareth y Puerto Estrella.</w:t>
      </w:r>
    </w:p>
    <w:p w14:paraId="29E7F1D7" w14:textId="77777777" w:rsidR="00460F9B" w:rsidRPr="00C03235" w:rsidRDefault="00460F9B" w:rsidP="002F5088">
      <w:pPr>
        <w:ind w:left="284"/>
        <w:jc w:val="both"/>
        <w:rPr>
          <w:i/>
          <w:iCs/>
          <w:sz w:val="22"/>
          <w:szCs w:val="22"/>
        </w:rPr>
      </w:pPr>
    </w:p>
    <w:p w14:paraId="4D608CEF" w14:textId="75FB1523" w:rsidR="00460F9B" w:rsidRPr="00C03235" w:rsidRDefault="00460F9B" w:rsidP="002F5088">
      <w:pPr>
        <w:ind w:left="284"/>
        <w:jc w:val="both"/>
        <w:rPr>
          <w:i/>
          <w:iCs/>
          <w:sz w:val="22"/>
          <w:szCs w:val="22"/>
        </w:rPr>
      </w:pPr>
      <w:r w:rsidRPr="00C03235">
        <w:rPr>
          <w:i/>
          <w:iCs/>
          <w:sz w:val="22"/>
          <w:szCs w:val="22"/>
        </w:rPr>
        <w:t xml:space="preserve">• A manera de ejemplo, la resolución CREG 136 de 2019 define un cargo tarifario para Unguía, Chocó, municipio que es, por definición, un mercado relevante de comercialización en una </w:t>
      </w:r>
      <w:r w:rsidRPr="00C03235">
        <w:rPr>
          <w:b/>
          <w:bCs/>
          <w:i/>
          <w:iCs/>
          <w:sz w:val="22"/>
          <w:szCs w:val="22"/>
        </w:rPr>
        <w:t>cabecera municipal</w:t>
      </w:r>
      <w:r w:rsidRPr="00C03235">
        <w:rPr>
          <w:i/>
          <w:iCs/>
          <w:sz w:val="22"/>
          <w:szCs w:val="22"/>
        </w:rPr>
        <w:t xml:space="preserve"> de más de 10.000 habitantes, mientras que Nazareth y Puerto Estrella son </w:t>
      </w:r>
      <w:r w:rsidRPr="00C03235">
        <w:rPr>
          <w:b/>
          <w:bCs/>
          <w:i/>
          <w:iCs/>
          <w:sz w:val="22"/>
          <w:szCs w:val="22"/>
        </w:rPr>
        <w:t>corregimientos aislados</w:t>
      </w:r>
      <w:r w:rsidRPr="00C03235">
        <w:rPr>
          <w:i/>
          <w:iCs/>
          <w:sz w:val="22"/>
          <w:szCs w:val="22"/>
        </w:rPr>
        <w:t xml:space="preserve"> que se encuentran entre 8 y 24 horas de distancia de la cabecera municipal más próxima, dependiendo de la época del año en que se realice el desplazamiento.</w:t>
      </w:r>
    </w:p>
    <w:p w14:paraId="0C0B8E02" w14:textId="77777777" w:rsidR="00460F9B" w:rsidRPr="00C03235" w:rsidRDefault="00460F9B" w:rsidP="002F5088">
      <w:pPr>
        <w:ind w:left="284"/>
        <w:jc w:val="both"/>
        <w:rPr>
          <w:i/>
          <w:iCs/>
          <w:sz w:val="22"/>
          <w:szCs w:val="22"/>
        </w:rPr>
      </w:pPr>
    </w:p>
    <w:p w14:paraId="4ABEE903" w14:textId="4CC1CA8D" w:rsidR="00460F9B" w:rsidRPr="00C03235" w:rsidRDefault="00460F9B" w:rsidP="002F5088">
      <w:pPr>
        <w:ind w:left="284"/>
        <w:jc w:val="both"/>
        <w:rPr>
          <w:i/>
          <w:iCs/>
          <w:sz w:val="22"/>
          <w:szCs w:val="22"/>
        </w:rPr>
      </w:pPr>
      <w:r w:rsidRPr="00C03235">
        <w:rPr>
          <w:i/>
          <w:iCs/>
          <w:sz w:val="22"/>
          <w:szCs w:val="22"/>
        </w:rPr>
        <w:t xml:space="preserve">• Teniendo en cuenta el </w:t>
      </w:r>
      <w:r w:rsidR="008C068C" w:rsidRPr="00C03235">
        <w:rPr>
          <w:i/>
          <w:iCs/>
          <w:sz w:val="22"/>
          <w:szCs w:val="22"/>
        </w:rPr>
        <w:t>‘</w:t>
      </w:r>
      <w:r w:rsidRPr="00C03235">
        <w:rPr>
          <w:i/>
          <w:iCs/>
          <w:sz w:val="22"/>
          <w:szCs w:val="22"/>
        </w:rPr>
        <w:t>Informe Mensual de Telemetría de enero de 2023</w:t>
      </w:r>
      <w:r w:rsidR="008C068C" w:rsidRPr="00C03235">
        <w:rPr>
          <w:i/>
          <w:iCs/>
          <w:sz w:val="22"/>
          <w:szCs w:val="22"/>
        </w:rPr>
        <w:t>’</w:t>
      </w:r>
      <w:r w:rsidRPr="00C03235">
        <w:rPr>
          <w:i/>
          <w:iCs/>
          <w:sz w:val="22"/>
          <w:szCs w:val="22"/>
        </w:rPr>
        <w:t xml:space="preserve"> la planta generadora ubicada en la cabecera municipal de Ungía produce alrededor de 400.000 kWh/mes; sin embargo, el mercado relevante de la planta de generación de Nazareth y Puerto Estrella solo atiende una demanda aproximada de 55.000 kWh/mes, confirmando que las economías de escala en estos mercados no son comparables, lo cual impacta necesariamente en la definición de cargos de inversión y particularmente de AOM de infraestructura solar fotovoltaica.</w:t>
      </w:r>
    </w:p>
    <w:p w14:paraId="18FE015E" w14:textId="77777777" w:rsidR="00460F9B" w:rsidRPr="00C03235" w:rsidRDefault="00460F9B" w:rsidP="002F5088">
      <w:pPr>
        <w:ind w:left="284"/>
        <w:jc w:val="both"/>
        <w:rPr>
          <w:i/>
          <w:iCs/>
          <w:sz w:val="22"/>
          <w:szCs w:val="22"/>
        </w:rPr>
      </w:pPr>
    </w:p>
    <w:p w14:paraId="1A4E278F" w14:textId="200D6240" w:rsidR="00460F9B" w:rsidRPr="00C03235" w:rsidRDefault="00460F9B" w:rsidP="002F5088">
      <w:pPr>
        <w:ind w:left="284"/>
        <w:jc w:val="both"/>
        <w:rPr>
          <w:i/>
          <w:iCs/>
          <w:sz w:val="22"/>
          <w:szCs w:val="22"/>
        </w:rPr>
      </w:pPr>
      <w:r w:rsidRPr="00C03235">
        <w:rPr>
          <w:i/>
          <w:iCs/>
          <w:sz w:val="22"/>
          <w:szCs w:val="22"/>
        </w:rPr>
        <w:t>• Teniendo en cuenta la cantidad de energía demandada por nuestro mercado relevante, las ventas proyectadas con los cargos máximos solicitados para un mercado que es siete veces mayor, esto debe traducirse en menores economías de escala que impactan los costos de logística, mano de obra, combustible, herramientas y equipos asociados a la prestación del servicio de energía.</w:t>
      </w:r>
    </w:p>
    <w:p w14:paraId="0D41CD0D" w14:textId="77777777" w:rsidR="008419D0" w:rsidRPr="00C03235" w:rsidRDefault="008419D0" w:rsidP="002F5088">
      <w:pPr>
        <w:ind w:left="284"/>
        <w:jc w:val="both"/>
        <w:rPr>
          <w:i/>
          <w:iCs/>
          <w:sz w:val="22"/>
          <w:szCs w:val="22"/>
        </w:rPr>
      </w:pPr>
    </w:p>
    <w:p w14:paraId="62E540EA" w14:textId="28523124" w:rsidR="008419D0" w:rsidRPr="00C03235" w:rsidRDefault="008419D0" w:rsidP="002F5088">
      <w:pPr>
        <w:ind w:left="284"/>
        <w:jc w:val="both"/>
        <w:rPr>
          <w:i/>
          <w:iCs/>
          <w:sz w:val="22"/>
          <w:szCs w:val="22"/>
        </w:rPr>
      </w:pPr>
      <w:r w:rsidRPr="00C03235">
        <w:rPr>
          <w:i/>
          <w:iCs/>
          <w:sz w:val="22"/>
          <w:szCs w:val="22"/>
        </w:rPr>
        <w:t xml:space="preserve">• De igual manera </w:t>
      </w:r>
      <w:r w:rsidRPr="00C03235">
        <w:rPr>
          <w:i/>
          <w:iCs/>
          <w:sz w:val="22"/>
          <w:szCs w:val="22"/>
          <w:u w:val="single"/>
        </w:rPr>
        <w:t>las condiciones propias de salinidad, viento, polución, abrasión y temperatura son muy diferentes en Nazareth y Puerto Estrella a las presentadas en la cabecera de Unguía</w:t>
      </w:r>
      <w:r w:rsidRPr="00C03235">
        <w:rPr>
          <w:i/>
          <w:iCs/>
          <w:sz w:val="22"/>
          <w:szCs w:val="22"/>
        </w:rPr>
        <w:t>, lo cual tiene una alta incidencia en la periodicidad y costos de los mantenimientos preventivos y correctivos requeridos para asegurar la máxima disponibilidad del servicio.</w:t>
      </w:r>
    </w:p>
    <w:p w14:paraId="0FF83B42" w14:textId="77777777" w:rsidR="008419D0" w:rsidRPr="00C03235" w:rsidRDefault="008419D0" w:rsidP="002F5088">
      <w:pPr>
        <w:ind w:left="284"/>
        <w:jc w:val="both"/>
        <w:rPr>
          <w:i/>
          <w:iCs/>
          <w:sz w:val="22"/>
          <w:szCs w:val="22"/>
        </w:rPr>
      </w:pPr>
    </w:p>
    <w:p w14:paraId="0F9FD014" w14:textId="7A5FE72A" w:rsidR="008419D0" w:rsidRPr="00C03235" w:rsidRDefault="008419D0" w:rsidP="002F5088">
      <w:pPr>
        <w:ind w:left="284"/>
        <w:jc w:val="both"/>
        <w:rPr>
          <w:i/>
          <w:iCs/>
          <w:sz w:val="22"/>
          <w:szCs w:val="22"/>
        </w:rPr>
      </w:pPr>
      <w:r w:rsidRPr="00C03235">
        <w:rPr>
          <w:i/>
          <w:iCs/>
          <w:sz w:val="22"/>
          <w:szCs w:val="22"/>
        </w:rPr>
        <w:lastRenderedPageBreak/>
        <w:t xml:space="preserve">• </w:t>
      </w:r>
      <w:r w:rsidRPr="00C03235">
        <w:rPr>
          <w:i/>
          <w:iCs/>
          <w:sz w:val="22"/>
          <w:szCs w:val="22"/>
          <w:u w:val="single"/>
        </w:rPr>
        <w:t>La disponibilidad de transporte de carga y personal en localidades como Nazareth y Puerto Estrella es muy diferente a la que normalmente se encuentra en una cabecera municipal</w:t>
      </w:r>
      <w:r w:rsidRPr="00C03235">
        <w:rPr>
          <w:i/>
          <w:iCs/>
          <w:sz w:val="22"/>
          <w:szCs w:val="22"/>
        </w:rPr>
        <w:t>, adicionalmente al no existir vías ni rutas de transporte regular, se dificulta el acceso a comercios, insumos y personal capacitado debido a que histórica y culturalmente estas comunidades indígenas se dedican a actividades muy diferentes, lo cual hace que estos recursos necesarios para la prestación del servicio sean más costosos respecto de los que se pueden presentar en la referencia tomada por esta comisión, cuyos costos fueron detallados y debidamente aportado durante la actuación administrativa y respecto de los cuales fueron ignorados en el documento CREG 501 002 de 2023.</w:t>
      </w:r>
    </w:p>
    <w:p w14:paraId="406530E3" w14:textId="77777777" w:rsidR="00C458EF" w:rsidRPr="00C03235" w:rsidRDefault="00C458EF" w:rsidP="00E75A32">
      <w:pPr>
        <w:ind w:left="284"/>
        <w:jc w:val="both"/>
        <w:rPr>
          <w:i/>
          <w:iCs/>
          <w:sz w:val="22"/>
          <w:szCs w:val="22"/>
        </w:rPr>
      </w:pPr>
    </w:p>
    <w:p w14:paraId="34803ABD" w14:textId="77777777" w:rsidR="00C458EF" w:rsidRPr="00C03235" w:rsidRDefault="00C458EF" w:rsidP="00E75A32">
      <w:pPr>
        <w:ind w:left="284"/>
        <w:jc w:val="both"/>
        <w:rPr>
          <w:i/>
          <w:iCs/>
          <w:sz w:val="22"/>
          <w:szCs w:val="22"/>
        </w:rPr>
      </w:pPr>
      <w:r w:rsidRPr="00C03235">
        <w:rPr>
          <w:i/>
          <w:iCs/>
          <w:sz w:val="22"/>
          <w:szCs w:val="22"/>
        </w:rPr>
        <w:t xml:space="preserve">2.2 Principio de suficiencia financiera indicado en la Ley 143 de 1994 </w:t>
      </w:r>
    </w:p>
    <w:p w14:paraId="365A37E8" w14:textId="77777777" w:rsidR="00C458EF" w:rsidRPr="00C03235" w:rsidRDefault="00C458EF" w:rsidP="00E75A32">
      <w:pPr>
        <w:ind w:left="284"/>
        <w:jc w:val="both"/>
        <w:rPr>
          <w:i/>
          <w:iCs/>
          <w:sz w:val="22"/>
          <w:szCs w:val="22"/>
        </w:rPr>
      </w:pPr>
    </w:p>
    <w:p w14:paraId="3E1F918E" w14:textId="77777777" w:rsidR="00C458EF" w:rsidRPr="00C03235" w:rsidRDefault="00C458EF" w:rsidP="00E75A32">
      <w:pPr>
        <w:ind w:left="284"/>
        <w:jc w:val="both"/>
        <w:rPr>
          <w:i/>
          <w:iCs/>
          <w:sz w:val="22"/>
          <w:szCs w:val="22"/>
        </w:rPr>
      </w:pPr>
      <w:r w:rsidRPr="00C03235">
        <w:rPr>
          <w:i/>
          <w:iCs/>
          <w:sz w:val="22"/>
          <w:szCs w:val="22"/>
        </w:rPr>
        <w:t xml:space="preserve">El artículo 367 de la Constitución Política establece:  </w:t>
      </w:r>
    </w:p>
    <w:p w14:paraId="5C1FB8FE" w14:textId="77777777" w:rsidR="00C458EF" w:rsidRPr="00C03235" w:rsidRDefault="00C458EF" w:rsidP="00E75A32">
      <w:pPr>
        <w:ind w:left="284"/>
        <w:jc w:val="both"/>
        <w:rPr>
          <w:i/>
          <w:iCs/>
          <w:sz w:val="22"/>
          <w:szCs w:val="22"/>
        </w:rPr>
      </w:pPr>
    </w:p>
    <w:p w14:paraId="76C91526" w14:textId="6678D0EC" w:rsidR="00C458EF" w:rsidRPr="00C03235" w:rsidRDefault="00B3286C" w:rsidP="00E75A32">
      <w:pPr>
        <w:ind w:left="567"/>
        <w:jc w:val="both"/>
        <w:rPr>
          <w:i/>
          <w:iCs/>
          <w:sz w:val="22"/>
          <w:szCs w:val="22"/>
        </w:rPr>
      </w:pPr>
      <w:r w:rsidRPr="00C03235">
        <w:rPr>
          <w:i/>
          <w:iCs/>
          <w:sz w:val="22"/>
          <w:szCs w:val="22"/>
        </w:rPr>
        <w:t>‘</w:t>
      </w:r>
      <w:r w:rsidR="00C458EF" w:rsidRPr="00C03235">
        <w:rPr>
          <w:i/>
          <w:iCs/>
          <w:sz w:val="22"/>
          <w:szCs w:val="22"/>
        </w:rPr>
        <w:t>La ley fijará las competencias y responsabilidades relativas a la prestación de los servicios públicos domiciliarios, su cobertura, calidad y financiación, y el régimen tarifario que tendrá en cuenta además de los criterios de costos, los de solidaridad y redistribución de ingresos.</w:t>
      </w:r>
    </w:p>
    <w:p w14:paraId="1B3D5CAD" w14:textId="77777777" w:rsidR="00C458EF" w:rsidRPr="00C03235" w:rsidRDefault="00C458EF" w:rsidP="00E75A32">
      <w:pPr>
        <w:ind w:left="567"/>
        <w:jc w:val="both"/>
        <w:rPr>
          <w:i/>
          <w:iCs/>
          <w:sz w:val="22"/>
          <w:szCs w:val="22"/>
        </w:rPr>
      </w:pPr>
    </w:p>
    <w:p w14:paraId="7353D4CB" w14:textId="1A271087" w:rsidR="00C458EF" w:rsidRPr="00C03235" w:rsidRDefault="00C458EF" w:rsidP="00E75A32">
      <w:pPr>
        <w:ind w:left="567"/>
        <w:jc w:val="both"/>
        <w:rPr>
          <w:i/>
          <w:iCs/>
          <w:sz w:val="22"/>
          <w:szCs w:val="22"/>
        </w:rPr>
      </w:pPr>
      <w:r w:rsidRPr="00C03235">
        <w:rPr>
          <w:i/>
          <w:iCs/>
          <w:sz w:val="22"/>
          <w:szCs w:val="22"/>
        </w:rPr>
        <w:t>Los servicios públicos domiciliarios se prestarán directamente por cada municipio cuando</w:t>
      </w:r>
      <w:r w:rsidR="001B00D7" w:rsidRPr="00C03235">
        <w:rPr>
          <w:i/>
          <w:iCs/>
          <w:sz w:val="22"/>
          <w:szCs w:val="22"/>
        </w:rPr>
        <w:t xml:space="preserve"> </w:t>
      </w:r>
      <w:r w:rsidRPr="00C03235">
        <w:rPr>
          <w:i/>
          <w:iCs/>
          <w:sz w:val="22"/>
          <w:szCs w:val="22"/>
        </w:rPr>
        <w:t>las características técnicas y económicas del servicio y las conveniencias generales lo permitan y aconsejen, y los departamentos cumplirán funciones de apoyo y coordinación.</w:t>
      </w:r>
    </w:p>
    <w:p w14:paraId="721767EE" w14:textId="77777777" w:rsidR="00C458EF" w:rsidRPr="00C03235" w:rsidRDefault="00C458EF" w:rsidP="00E75A32">
      <w:pPr>
        <w:ind w:left="567"/>
        <w:jc w:val="both"/>
        <w:rPr>
          <w:i/>
          <w:iCs/>
          <w:sz w:val="22"/>
          <w:szCs w:val="22"/>
        </w:rPr>
      </w:pPr>
    </w:p>
    <w:p w14:paraId="06FAFCCA" w14:textId="294ACE12" w:rsidR="00C458EF" w:rsidRPr="00C03235" w:rsidRDefault="00C458EF" w:rsidP="00E75A32">
      <w:pPr>
        <w:ind w:left="567"/>
        <w:jc w:val="both"/>
        <w:rPr>
          <w:b/>
          <w:bCs/>
          <w:i/>
          <w:iCs/>
          <w:sz w:val="22"/>
          <w:szCs w:val="22"/>
          <w:u w:val="single"/>
        </w:rPr>
      </w:pPr>
      <w:r w:rsidRPr="00C03235">
        <w:rPr>
          <w:b/>
          <w:bCs/>
          <w:i/>
          <w:iCs/>
          <w:sz w:val="22"/>
          <w:szCs w:val="22"/>
          <w:u w:val="single"/>
        </w:rPr>
        <w:t>La ley determinará las entidades competentes para fijar las tarifas</w:t>
      </w:r>
      <w:r w:rsidR="00B3286C" w:rsidRPr="00C03235">
        <w:rPr>
          <w:b/>
          <w:bCs/>
          <w:i/>
          <w:iCs/>
          <w:sz w:val="22"/>
          <w:szCs w:val="22"/>
          <w:u w:val="single"/>
        </w:rPr>
        <w:t>’</w:t>
      </w:r>
      <w:r w:rsidRPr="00C03235">
        <w:rPr>
          <w:b/>
          <w:bCs/>
          <w:i/>
          <w:iCs/>
          <w:sz w:val="22"/>
          <w:szCs w:val="22"/>
          <w:u w:val="single"/>
        </w:rPr>
        <w:t>.</w:t>
      </w:r>
    </w:p>
    <w:p w14:paraId="65C09770" w14:textId="77777777" w:rsidR="00C458EF" w:rsidRPr="00C03235" w:rsidRDefault="00C458EF" w:rsidP="002F5088">
      <w:pPr>
        <w:ind w:left="284"/>
        <w:jc w:val="both"/>
        <w:rPr>
          <w:i/>
          <w:iCs/>
          <w:sz w:val="22"/>
          <w:szCs w:val="22"/>
        </w:rPr>
      </w:pPr>
    </w:p>
    <w:p w14:paraId="1C6DDE7F" w14:textId="76C9BB80" w:rsidR="00C458EF" w:rsidRPr="00C03235" w:rsidRDefault="00C458EF" w:rsidP="002F5088">
      <w:pPr>
        <w:ind w:left="284"/>
        <w:jc w:val="both"/>
        <w:rPr>
          <w:i/>
          <w:iCs/>
          <w:sz w:val="22"/>
          <w:szCs w:val="22"/>
        </w:rPr>
      </w:pPr>
      <w:r w:rsidRPr="00C03235">
        <w:rPr>
          <w:i/>
          <w:iCs/>
          <w:sz w:val="22"/>
          <w:szCs w:val="22"/>
        </w:rPr>
        <w:t xml:space="preserve">Por su parte, el artículo 87 de la Ley 142 de 1994 incluyó el criterio de suficiencia financiera de la siguiente manera: </w:t>
      </w:r>
    </w:p>
    <w:p w14:paraId="3DFD662F" w14:textId="77777777" w:rsidR="00C458EF" w:rsidRPr="00C03235" w:rsidRDefault="00C458EF" w:rsidP="002F5088">
      <w:pPr>
        <w:ind w:left="284"/>
        <w:jc w:val="both"/>
        <w:rPr>
          <w:i/>
          <w:iCs/>
          <w:sz w:val="22"/>
          <w:szCs w:val="22"/>
        </w:rPr>
      </w:pPr>
    </w:p>
    <w:p w14:paraId="19F8E80A" w14:textId="3141EA7F" w:rsidR="00C458EF" w:rsidRPr="00C03235" w:rsidRDefault="00C458EF" w:rsidP="00C803B7">
      <w:pPr>
        <w:ind w:left="567"/>
        <w:jc w:val="both"/>
        <w:rPr>
          <w:i/>
          <w:iCs/>
          <w:sz w:val="22"/>
          <w:szCs w:val="22"/>
        </w:rPr>
      </w:pPr>
      <w:r w:rsidRPr="00C03235">
        <w:rPr>
          <w:i/>
          <w:iCs/>
          <w:sz w:val="22"/>
          <w:szCs w:val="22"/>
        </w:rPr>
        <w:t>ARTÍCULO 87. Criterios para definir el régimen tarifario. El régimen tarifario estará</w:t>
      </w:r>
      <w:r w:rsidR="006F6232" w:rsidRPr="00C03235">
        <w:rPr>
          <w:i/>
          <w:iCs/>
          <w:sz w:val="22"/>
          <w:szCs w:val="22"/>
        </w:rPr>
        <w:t xml:space="preserve"> </w:t>
      </w:r>
      <w:r w:rsidRPr="00C03235">
        <w:rPr>
          <w:i/>
          <w:iCs/>
          <w:sz w:val="22"/>
          <w:szCs w:val="22"/>
        </w:rPr>
        <w:t xml:space="preserve">orientado por los criterios de eficiencia económica, neutralidad, solidaridad, redistribución, suficiencia financiera, simplicidad y transparencia. </w:t>
      </w:r>
    </w:p>
    <w:p w14:paraId="616A64CC" w14:textId="77777777" w:rsidR="001B00D7" w:rsidRPr="00C03235" w:rsidRDefault="001B00D7" w:rsidP="00C803B7">
      <w:pPr>
        <w:ind w:left="567"/>
        <w:jc w:val="both"/>
        <w:rPr>
          <w:i/>
          <w:iCs/>
          <w:sz w:val="22"/>
          <w:szCs w:val="22"/>
        </w:rPr>
      </w:pPr>
    </w:p>
    <w:p w14:paraId="104F7DCA" w14:textId="77777777" w:rsidR="001B00D7" w:rsidRPr="00C03235" w:rsidRDefault="00C458EF" w:rsidP="00C803B7">
      <w:pPr>
        <w:ind w:left="567"/>
        <w:jc w:val="both"/>
        <w:rPr>
          <w:i/>
          <w:iCs/>
          <w:sz w:val="22"/>
          <w:szCs w:val="22"/>
        </w:rPr>
      </w:pPr>
      <w:r w:rsidRPr="00C03235">
        <w:rPr>
          <w:i/>
          <w:iCs/>
          <w:sz w:val="22"/>
          <w:szCs w:val="22"/>
        </w:rPr>
        <w:t>(…)</w:t>
      </w:r>
    </w:p>
    <w:p w14:paraId="7CEA7C61" w14:textId="3EE0C897" w:rsidR="00C458EF" w:rsidRPr="00C03235" w:rsidRDefault="00C458EF" w:rsidP="00C803B7">
      <w:pPr>
        <w:ind w:left="567"/>
        <w:jc w:val="both"/>
        <w:rPr>
          <w:i/>
          <w:iCs/>
          <w:sz w:val="22"/>
          <w:szCs w:val="22"/>
        </w:rPr>
      </w:pPr>
    </w:p>
    <w:p w14:paraId="5B5047D8" w14:textId="6D49450B" w:rsidR="00C458EF" w:rsidRPr="00C03235" w:rsidRDefault="00C458EF" w:rsidP="00C803B7">
      <w:pPr>
        <w:ind w:left="567"/>
        <w:jc w:val="both"/>
        <w:rPr>
          <w:i/>
          <w:iCs/>
          <w:sz w:val="22"/>
          <w:szCs w:val="22"/>
        </w:rPr>
      </w:pPr>
      <w:r w:rsidRPr="00C03235">
        <w:rPr>
          <w:i/>
          <w:iCs/>
          <w:sz w:val="22"/>
          <w:szCs w:val="22"/>
        </w:rPr>
        <w:t>87.4. Por suficiencia financiera se entiende que las fórmulas de tarifas garantizarán la</w:t>
      </w:r>
      <w:r w:rsidR="006F6232" w:rsidRPr="00C03235">
        <w:rPr>
          <w:i/>
          <w:iCs/>
          <w:sz w:val="22"/>
          <w:szCs w:val="22"/>
        </w:rPr>
        <w:t xml:space="preserve"> </w:t>
      </w:r>
      <w:r w:rsidRPr="00C03235">
        <w:rPr>
          <w:i/>
          <w:iCs/>
          <w:sz w:val="22"/>
          <w:szCs w:val="22"/>
        </w:rPr>
        <w:t>recuperación de los costos y gastos propios de operación, incluyendo la expansión, la</w:t>
      </w:r>
      <w:r w:rsidR="006F6232" w:rsidRPr="00C03235">
        <w:rPr>
          <w:i/>
          <w:iCs/>
          <w:sz w:val="22"/>
          <w:szCs w:val="22"/>
        </w:rPr>
        <w:t xml:space="preserve"> </w:t>
      </w:r>
      <w:r w:rsidRPr="00C03235">
        <w:rPr>
          <w:i/>
          <w:iCs/>
          <w:sz w:val="22"/>
          <w:szCs w:val="22"/>
        </w:rPr>
        <w:t xml:space="preserve">reposición y el mantenimiento; permitirán remunerar el patrimonio de los accionistas en la misma forma en la que lo habría remunerado una empresa eficiente en un sector de riesgo comparable; y permitirán utilizar las tecnologías y sistemas administrativos que garanticen la mejor calidad, continuidad y seguridad a sus usuarios. </w:t>
      </w:r>
    </w:p>
    <w:p w14:paraId="31E11332" w14:textId="123E113C" w:rsidR="00C458EF" w:rsidRPr="00C03235" w:rsidRDefault="00C458EF" w:rsidP="002F5088">
      <w:pPr>
        <w:ind w:left="284"/>
        <w:jc w:val="both"/>
        <w:rPr>
          <w:i/>
          <w:iCs/>
          <w:sz w:val="22"/>
          <w:szCs w:val="22"/>
        </w:rPr>
      </w:pPr>
    </w:p>
    <w:p w14:paraId="22AA23F5" w14:textId="77777777" w:rsidR="00C458EF" w:rsidRPr="00C03235" w:rsidRDefault="00C458EF" w:rsidP="002F5088">
      <w:pPr>
        <w:ind w:left="284"/>
        <w:jc w:val="both"/>
        <w:rPr>
          <w:i/>
          <w:iCs/>
          <w:sz w:val="22"/>
          <w:szCs w:val="22"/>
        </w:rPr>
      </w:pPr>
      <w:r w:rsidRPr="00C03235">
        <w:rPr>
          <w:i/>
          <w:iCs/>
          <w:sz w:val="22"/>
          <w:szCs w:val="22"/>
        </w:rPr>
        <w:t xml:space="preserve">Posteriormente, la Ley 143 de 1994 estableció en su artículo 44:  </w:t>
      </w:r>
    </w:p>
    <w:p w14:paraId="743229B8" w14:textId="77777777" w:rsidR="00C458EF" w:rsidRPr="00C03235" w:rsidRDefault="00C458EF" w:rsidP="002F5088">
      <w:pPr>
        <w:ind w:left="284"/>
        <w:jc w:val="both"/>
        <w:rPr>
          <w:i/>
          <w:iCs/>
          <w:sz w:val="22"/>
          <w:szCs w:val="22"/>
        </w:rPr>
      </w:pPr>
    </w:p>
    <w:p w14:paraId="4574F586" w14:textId="1D98059A" w:rsidR="00C458EF" w:rsidRPr="00C03235" w:rsidRDefault="00C458EF" w:rsidP="00357CAD">
      <w:pPr>
        <w:ind w:left="567"/>
        <w:jc w:val="both"/>
        <w:rPr>
          <w:i/>
          <w:iCs/>
          <w:sz w:val="22"/>
          <w:szCs w:val="22"/>
        </w:rPr>
      </w:pPr>
      <w:r w:rsidRPr="00C03235">
        <w:rPr>
          <w:i/>
          <w:iCs/>
          <w:sz w:val="22"/>
          <w:szCs w:val="22"/>
        </w:rPr>
        <w:t>El régimen tarifario para usuarios finales regulados de una misma empresa estará</w:t>
      </w:r>
      <w:r w:rsidR="006F6232" w:rsidRPr="00C03235">
        <w:rPr>
          <w:i/>
          <w:iCs/>
          <w:sz w:val="22"/>
          <w:szCs w:val="22"/>
        </w:rPr>
        <w:t xml:space="preserve"> </w:t>
      </w:r>
      <w:r w:rsidRPr="00C03235">
        <w:rPr>
          <w:i/>
          <w:iCs/>
          <w:sz w:val="22"/>
          <w:szCs w:val="22"/>
        </w:rPr>
        <w:t>orientado por los criterios de eficiencia económica, suficiencia financiera, neutralidad,</w:t>
      </w:r>
      <w:r w:rsidR="006F6232" w:rsidRPr="00C03235">
        <w:rPr>
          <w:i/>
          <w:iCs/>
          <w:sz w:val="22"/>
          <w:szCs w:val="22"/>
        </w:rPr>
        <w:t xml:space="preserve"> </w:t>
      </w:r>
      <w:r w:rsidRPr="00C03235">
        <w:rPr>
          <w:i/>
          <w:iCs/>
          <w:sz w:val="22"/>
          <w:szCs w:val="22"/>
        </w:rPr>
        <w:t>solidaridad y redistribución del ingreso, simplicidad y transparencia.</w:t>
      </w:r>
    </w:p>
    <w:p w14:paraId="69101ADA" w14:textId="77777777" w:rsidR="002D6FCE" w:rsidRPr="00C03235" w:rsidRDefault="002D6FCE" w:rsidP="00357CAD">
      <w:pPr>
        <w:ind w:left="567"/>
        <w:jc w:val="both"/>
        <w:rPr>
          <w:i/>
          <w:iCs/>
          <w:sz w:val="22"/>
          <w:szCs w:val="22"/>
        </w:rPr>
      </w:pPr>
    </w:p>
    <w:p w14:paraId="32062B79" w14:textId="33E4AD4B" w:rsidR="00F27DFA" w:rsidRPr="00C03235" w:rsidRDefault="0026126B" w:rsidP="00357CAD">
      <w:pPr>
        <w:ind w:left="567"/>
        <w:jc w:val="both"/>
        <w:rPr>
          <w:i/>
          <w:iCs/>
          <w:sz w:val="22"/>
          <w:szCs w:val="22"/>
        </w:rPr>
      </w:pPr>
      <w:r w:rsidRPr="00C03235">
        <w:rPr>
          <w:i/>
          <w:iCs/>
          <w:sz w:val="22"/>
          <w:szCs w:val="22"/>
        </w:rPr>
        <w:t>(…)</w:t>
      </w:r>
    </w:p>
    <w:p w14:paraId="078CF382" w14:textId="77777777" w:rsidR="002D6FCE" w:rsidRPr="00C03235" w:rsidRDefault="002D6FCE" w:rsidP="00357CAD">
      <w:pPr>
        <w:ind w:left="567"/>
        <w:jc w:val="both"/>
        <w:rPr>
          <w:i/>
          <w:iCs/>
          <w:sz w:val="22"/>
          <w:szCs w:val="22"/>
        </w:rPr>
      </w:pPr>
    </w:p>
    <w:p w14:paraId="47C4C2F1" w14:textId="29E31442" w:rsidR="00D3527D" w:rsidRPr="00C03235" w:rsidRDefault="00D3527D" w:rsidP="00357CAD">
      <w:pPr>
        <w:ind w:left="567"/>
        <w:jc w:val="both"/>
        <w:rPr>
          <w:i/>
          <w:iCs/>
          <w:sz w:val="22"/>
          <w:szCs w:val="22"/>
        </w:rPr>
      </w:pPr>
      <w:r w:rsidRPr="00C03235">
        <w:rPr>
          <w:i/>
          <w:iCs/>
          <w:sz w:val="22"/>
          <w:szCs w:val="22"/>
        </w:rPr>
        <w:t xml:space="preserve">Por suficiencia financiera se entiende que las empresas eficientes tendrán garantizada la recuperación de sus costos de inversión y sus gastos de administración, operación y mantenimiento, con el valor de las ventas de electricidad </w:t>
      </w:r>
      <w:r w:rsidRPr="00C03235">
        <w:rPr>
          <w:i/>
          <w:iCs/>
          <w:sz w:val="22"/>
          <w:szCs w:val="22"/>
        </w:rPr>
        <w:lastRenderedPageBreak/>
        <w:t>y el monto de los subsidios que reciban en compensación por atender a usuarios residenciales de menores ingresos.</w:t>
      </w:r>
    </w:p>
    <w:p w14:paraId="00165E8E" w14:textId="77777777" w:rsidR="00D3527D" w:rsidRPr="00C03235" w:rsidRDefault="00D3527D" w:rsidP="002F5088">
      <w:pPr>
        <w:ind w:left="284"/>
        <w:jc w:val="both"/>
        <w:rPr>
          <w:i/>
          <w:iCs/>
          <w:sz w:val="22"/>
          <w:szCs w:val="22"/>
        </w:rPr>
      </w:pPr>
    </w:p>
    <w:p w14:paraId="3AA1BD56" w14:textId="285BBD71" w:rsidR="00D3527D" w:rsidRPr="00C03235" w:rsidRDefault="001D017B" w:rsidP="002F5088">
      <w:pPr>
        <w:ind w:left="284"/>
        <w:jc w:val="both"/>
        <w:rPr>
          <w:i/>
          <w:iCs/>
          <w:sz w:val="22"/>
          <w:szCs w:val="22"/>
        </w:rPr>
      </w:pPr>
      <w:r w:rsidRPr="00C03235">
        <w:rPr>
          <w:i/>
          <w:iCs/>
          <w:sz w:val="22"/>
          <w:szCs w:val="22"/>
        </w:rPr>
        <w:t>En este sentido, este criterio toma de base el precepto constitucional para garantizar que exista una relación directa entre las tarifas y los costos relacionados a la prestación de un servicio público domiciliario. Por lo tanto, los particulares desarrollan su objeto social de forma competitiva y eficiente, dado que se asegura la viabilidad económica en la prestación de este tipo de servicios. Esta viabilidad no está pensada solamente frente a los actores prestadores, dado que la ciudadanía en general se ve beneficiada cuando la prestación es eficiente y permite la actualización y mejora el sistema.</w:t>
      </w:r>
    </w:p>
    <w:p w14:paraId="497E4055" w14:textId="77777777" w:rsidR="001D017B" w:rsidRPr="00C03235" w:rsidRDefault="001D017B" w:rsidP="002F5088">
      <w:pPr>
        <w:ind w:left="284"/>
        <w:jc w:val="both"/>
        <w:rPr>
          <w:i/>
          <w:iCs/>
          <w:sz w:val="22"/>
          <w:szCs w:val="22"/>
        </w:rPr>
      </w:pPr>
    </w:p>
    <w:p w14:paraId="6C2BBF14" w14:textId="09EC2532" w:rsidR="001D017B" w:rsidRPr="00C03235" w:rsidRDefault="00BB03F5" w:rsidP="002F5088">
      <w:pPr>
        <w:ind w:left="284"/>
        <w:jc w:val="both"/>
        <w:rPr>
          <w:i/>
          <w:iCs/>
          <w:sz w:val="22"/>
          <w:szCs w:val="22"/>
        </w:rPr>
      </w:pPr>
      <w:r w:rsidRPr="00C03235">
        <w:rPr>
          <w:i/>
          <w:iCs/>
          <w:sz w:val="22"/>
          <w:szCs w:val="22"/>
        </w:rPr>
        <w:t>La Corte Constitucional por su parte ha manifestado:</w:t>
      </w:r>
    </w:p>
    <w:p w14:paraId="30721D1C" w14:textId="77777777" w:rsidR="00BB03F5" w:rsidRPr="00C03235" w:rsidRDefault="00BB03F5" w:rsidP="002F5088">
      <w:pPr>
        <w:ind w:left="284"/>
        <w:jc w:val="both"/>
        <w:rPr>
          <w:i/>
          <w:iCs/>
          <w:sz w:val="22"/>
          <w:szCs w:val="22"/>
        </w:rPr>
      </w:pPr>
    </w:p>
    <w:p w14:paraId="6A9582C7" w14:textId="546BE61C" w:rsidR="004B7A69" w:rsidRPr="00C03235" w:rsidRDefault="004B7A69" w:rsidP="00357CAD">
      <w:pPr>
        <w:ind w:left="567"/>
        <w:jc w:val="both"/>
        <w:rPr>
          <w:i/>
          <w:iCs/>
          <w:sz w:val="22"/>
          <w:szCs w:val="22"/>
        </w:rPr>
      </w:pPr>
      <w:r w:rsidRPr="00C03235">
        <w:rPr>
          <w:i/>
          <w:iCs/>
          <w:sz w:val="22"/>
          <w:szCs w:val="22"/>
        </w:rPr>
        <w:t xml:space="preserve">— Criterios de eficiencia y suficiencia financiera. </w:t>
      </w:r>
      <w:r w:rsidR="00357CAD" w:rsidRPr="00C03235">
        <w:rPr>
          <w:i/>
          <w:iCs/>
          <w:sz w:val="22"/>
          <w:szCs w:val="22"/>
        </w:rPr>
        <w:t>‘</w:t>
      </w:r>
      <w:r w:rsidRPr="00C03235">
        <w:rPr>
          <w:i/>
          <w:iCs/>
          <w:sz w:val="22"/>
          <w:szCs w:val="22"/>
        </w:rPr>
        <w:t xml:space="preserve">(…) el criterio que establece el legislador consiste en que la fórmula tarifaria que fijen las respectivas comisiones de regulación cuente con unas características tales que para un inversionista sea </w:t>
      </w:r>
      <w:r w:rsidR="00357CAD" w:rsidRPr="00C03235">
        <w:rPr>
          <w:i/>
          <w:iCs/>
          <w:sz w:val="22"/>
          <w:szCs w:val="22"/>
        </w:rPr>
        <w:t>‘</w:t>
      </w:r>
      <w:r w:rsidRPr="00C03235">
        <w:rPr>
          <w:i/>
          <w:iCs/>
          <w:sz w:val="22"/>
          <w:szCs w:val="22"/>
        </w:rPr>
        <w:t>igualmente</w:t>
      </w:r>
      <w:r w:rsidR="00357CAD" w:rsidRPr="00C03235">
        <w:rPr>
          <w:i/>
          <w:iCs/>
          <w:sz w:val="22"/>
          <w:szCs w:val="22"/>
        </w:rPr>
        <w:t>’</w:t>
      </w:r>
      <w:r w:rsidRPr="00C03235">
        <w:rPr>
          <w:i/>
          <w:iCs/>
          <w:sz w:val="22"/>
          <w:szCs w:val="22"/>
        </w:rPr>
        <w:t xml:space="preserve"> atractivo e </w:t>
      </w:r>
      <w:r w:rsidR="00357CAD" w:rsidRPr="00C03235">
        <w:rPr>
          <w:i/>
          <w:iCs/>
          <w:sz w:val="22"/>
          <w:szCs w:val="22"/>
        </w:rPr>
        <w:t>‘</w:t>
      </w:r>
      <w:r w:rsidRPr="00C03235">
        <w:rPr>
          <w:i/>
          <w:iCs/>
          <w:sz w:val="22"/>
          <w:szCs w:val="22"/>
        </w:rPr>
        <w:t>igualmente</w:t>
      </w:r>
      <w:r w:rsidR="00357CAD" w:rsidRPr="00C03235">
        <w:rPr>
          <w:i/>
          <w:iCs/>
          <w:sz w:val="22"/>
          <w:szCs w:val="22"/>
        </w:rPr>
        <w:t>’</w:t>
      </w:r>
      <w:r w:rsidRPr="00C03235">
        <w:rPr>
          <w:i/>
          <w:iCs/>
          <w:sz w:val="22"/>
          <w:szCs w:val="22"/>
        </w:rPr>
        <w:t xml:space="preserve"> riesgoso invertir en una empresa prestadora de servicios públicos sujeta a la regulación estatal o en una de similares características pero en condiciones eficientes de libre competencia… el criterio que contiene la ley para la remuneración del patrimonio supone que corresponde a los usuarios pagar tarifas iguales a las que les correspondería pagar si el servicio pudiera ser ofrecido en un mercado competitivo, sin perjuicio de los mecanismos que, en concreto, consagra la ley para garantizar el principio de solidaridad... </w:t>
      </w:r>
    </w:p>
    <w:p w14:paraId="04C6F499" w14:textId="77777777" w:rsidR="004B7A69" w:rsidRPr="00C03235" w:rsidRDefault="004B7A69" w:rsidP="00357CAD">
      <w:pPr>
        <w:ind w:left="567"/>
        <w:jc w:val="both"/>
        <w:rPr>
          <w:i/>
          <w:iCs/>
          <w:sz w:val="22"/>
          <w:szCs w:val="22"/>
        </w:rPr>
      </w:pPr>
    </w:p>
    <w:p w14:paraId="7CB74B4B" w14:textId="1B0B6341" w:rsidR="004B7A69" w:rsidRPr="00C03235" w:rsidRDefault="004B7A69" w:rsidP="00357CAD">
      <w:pPr>
        <w:ind w:left="567"/>
        <w:jc w:val="both"/>
        <w:rPr>
          <w:i/>
          <w:iCs/>
          <w:sz w:val="22"/>
          <w:szCs w:val="22"/>
        </w:rPr>
      </w:pPr>
      <w:r w:rsidRPr="00C03235">
        <w:rPr>
          <w:i/>
          <w:iCs/>
          <w:sz w:val="22"/>
          <w:szCs w:val="22"/>
        </w:rPr>
        <w:t xml:space="preserve">En sentido contrario, si la norma estipulara que un factor de remuneración del patrimonio para las empresas particulares encargadas de la prestación de los servicios públicos superior a la que tendría una empresa similar en condiciones y bajo riesgos de mercado, se estaría vulnerando el principio de eficiencia respecto de la prestación de los servicios públicos, igualmente consagrado en el artículo 365 de la Carta...  </w:t>
      </w:r>
    </w:p>
    <w:p w14:paraId="1ED06945" w14:textId="77777777" w:rsidR="004B7A69" w:rsidRPr="00C03235" w:rsidRDefault="004B7A69" w:rsidP="00357CAD">
      <w:pPr>
        <w:ind w:left="567"/>
        <w:jc w:val="both"/>
        <w:rPr>
          <w:i/>
          <w:iCs/>
          <w:sz w:val="22"/>
          <w:szCs w:val="22"/>
        </w:rPr>
      </w:pPr>
    </w:p>
    <w:p w14:paraId="61E63E55" w14:textId="468A25E4" w:rsidR="00BB03F5" w:rsidRPr="00C03235" w:rsidRDefault="004B7A69" w:rsidP="00357CAD">
      <w:pPr>
        <w:ind w:left="567"/>
        <w:jc w:val="both"/>
        <w:rPr>
          <w:i/>
          <w:iCs/>
          <w:sz w:val="22"/>
          <w:szCs w:val="22"/>
        </w:rPr>
      </w:pPr>
      <w:r w:rsidRPr="00C03235">
        <w:rPr>
          <w:i/>
          <w:iCs/>
          <w:sz w:val="22"/>
          <w:szCs w:val="22"/>
        </w:rPr>
        <w:t xml:space="preserve">La inclusión en las fórmulas de un factor que permita a las empresas utilizar las tecnologías y sistemas administrativos que garanticen la mejor calidad, continuidad y seguridad responde al mandato contenido en el artículo 367 de la Constitución… </w:t>
      </w:r>
      <w:r w:rsidRPr="00C03235">
        <w:rPr>
          <w:b/>
          <w:i/>
          <w:sz w:val="22"/>
          <w:szCs w:val="22"/>
        </w:rPr>
        <w:t>el criterio de suficiencia financiera que adoptó la Ley 142 de 1994 establece los parámetros necesarios para asegurar que las fórmulas tarifarias cubran los costos y gastos de prestación del servicio, incluidos los de expansión con el fin de lograr paulatinamente un cubrimiento a todos los habitantes del territorio; que haya un nivel de utilidades para las empresas que garantice a la vez los derechos de los usuarios y el ejercicio efectivo de la iniciativa privada; y que las empresas cuenten con recursos para garantizar mejoras sucesivas en los índices de calidad, continuidad y seguridad del servicio</w:t>
      </w:r>
      <w:r w:rsidR="00D7672A" w:rsidRPr="00C03235">
        <w:rPr>
          <w:b/>
          <w:i/>
          <w:sz w:val="22"/>
          <w:szCs w:val="22"/>
        </w:rPr>
        <w:t>’</w:t>
      </w:r>
      <w:r w:rsidRPr="00C03235">
        <w:rPr>
          <w:i/>
          <w:iCs/>
          <w:sz w:val="22"/>
          <w:szCs w:val="22"/>
          <w:u w:val="single"/>
        </w:rPr>
        <w:t>.</w:t>
      </w:r>
    </w:p>
    <w:p w14:paraId="7B0FC1DF" w14:textId="77777777" w:rsidR="00630EF9" w:rsidRPr="00C03235" w:rsidRDefault="00630EF9" w:rsidP="002F5088">
      <w:pPr>
        <w:ind w:left="284"/>
        <w:jc w:val="both"/>
        <w:rPr>
          <w:i/>
          <w:iCs/>
          <w:sz w:val="22"/>
          <w:szCs w:val="22"/>
        </w:rPr>
      </w:pPr>
    </w:p>
    <w:p w14:paraId="13D6B23B" w14:textId="30186A91" w:rsidR="000E3F08" w:rsidRPr="00C03235" w:rsidRDefault="00F42A3E" w:rsidP="002F5088">
      <w:pPr>
        <w:ind w:left="284"/>
        <w:jc w:val="both"/>
        <w:rPr>
          <w:i/>
          <w:iCs/>
          <w:sz w:val="22"/>
          <w:szCs w:val="22"/>
        </w:rPr>
      </w:pPr>
      <w:r w:rsidRPr="00C03235">
        <w:rPr>
          <w:i/>
          <w:iCs/>
          <w:sz w:val="22"/>
          <w:szCs w:val="22"/>
        </w:rPr>
        <w:t xml:space="preserve">Así pues, tal como la CREG, </w:t>
      </w:r>
      <w:r w:rsidR="00D7672A" w:rsidRPr="00C03235">
        <w:rPr>
          <w:i/>
          <w:iCs/>
          <w:sz w:val="22"/>
          <w:szCs w:val="22"/>
        </w:rPr>
        <w:t>‘</w:t>
      </w:r>
      <w:r w:rsidRPr="00C03235">
        <w:rPr>
          <w:i/>
          <w:iCs/>
          <w:sz w:val="22"/>
          <w:szCs w:val="22"/>
        </w:rPr>
        <w:t xml:space="preserve">conforme al principio de suficiencia financiera, </w:t>
      </w:r>
      <w:r w:rsidRPr="00C03235">
        <w:rPr>
          <w:i/>
          <w:sz w:val="22"/>
          <w:szCs w:val="22"/>
          <w:u w:val="single"/>
        </w:rPr>
        <w:t>se debe garantizar a las empresas la recuperación de los recursos que deben utilizar para prestar el servicio al mayor número de usuarios con el fin de alcanzar el principio de universalidad consagrado en el artículo 365 de la Constitución</w:t>
      </w:r>
      <w:r w:rsidR="00D7672A" w:rsidRPr="00C03235">
        <w:rPr>
          <w:i/>
          <w:iCs/>
          <w:sz w:val="22"/>
          <w:szCs w:val="22"/>
        </w:rPr>
        <w:t>’</w:t>
      </w:r>
      <w:r w:rsidRPr="00C03235">
        <w:rPr>
          <w:i/>
          <w:iCs/>
          <w:sz w:val="22"/>
          <w:szCs w:val="22"/>
        </w:rPr>
        <w:t>. En consecuencia, la regulación tiene la obligación de diseñar el sistema</w:t>
      </w:r>
      <w:r w:rsidR="000E3F08" w:rsidRPr="00C03235">
        <w:rPr>
          <w:i/>
          <w:iCs/>
          <w:sz w:val="22"/>
          <w:szCs w:val="22"/>
        </w:rPr>
        <w:t xml:space="preserve"> tarifario atendiendo a la relación directa que este debe tener con los costos asociados a la prestación y operación de los servicios públicos domiciliarios. </w:t>
      </w:r>
    </w:p>
    <w:p w14:paraId="09B98674" w14:textId="77777777" w:rsidR="000E3F08" w:rsidRPr="00C03235" w:rsidRDefault="000E3F08" w:rsidP="002F5088">
      <w:pPr>
        <w:ind w:left="284"/>
        <w:jc w:val="both"/>
        <w:rPr>
          <w:i/>
          <w:iCs/>
          <w:sz w:val="22"/>
          <w:szCs w:val="22"/>
        </w:rPr>
      </w:pPr>
    </w:p>
    <w:p w14:paraId="456ACCD6" w14:textId="2E8043E5" w:rsidR="00F42A3E" w:rsidRPr="00C03235" w:rsidRDefault="000E3F08" w:rsidP="002F5088">
      <w:pPr>
        <w:ind w:left="284"/>
        <w:jc w:val="both"/>
        <w:rPr>
          <w:i/>
          <w:iCs/>
          <w:sz w:val="22"/>
          <w:szCs w:val="22"/>
        </w:rPr>
      </w:pPr>
      <w:r w:rsidRPr="00C03235">
        <w:rPr>
          <w:i/>
          <w:iCs/>
          <w:sz w:val="22"/>
          <w:szCs w:val="22"/>
        </w:rPr>
        <w:t xml:space="preserve">Como hemos demostrado en este recurso, y según las pruebas que obran en el expediente tarifario de la actuación administrativa en referencia, la definición de los cargos máximos en la resolución impugnada no atiende a criterios específicos y relevantes para la prestación del servicio en Nazareth y Puerto Estrella, puesto que exclusivamente pretende la extensión de otros cargos tarifarios, para la prestación del </w:t>
      </w:r>
      <w:r w:rsidRPr="00C03235">
        <w:rPr>
          <w:i/>
          <w:iCs/>
          <w:sz w:val="22"/>
          <w:szCs w:val="22"/>
        </w:rPr>
        <w:lastRenderedPageBreak/>
        <w:t>servicio en otro departamento del país, al caso de Nazareth y Puerto Estrella. Consideramos que la resolución CREG 501 004 del 03 de febrero de 2023 no permite el cabal cumplimiento de lo dispuesto en la normatividad y jurisprudencia citada respecto del principio de suficiencia financiera definido en el inciso tercero del artículo 44 de la Ley 143 de 1994.</w:t>
      </w:r>
    </w:p>
    <w:p w14:paraId="61EE2075" w14:textId="77777777" w:rsidR="004D30CE" w:rsidRPr="00C03235" w:rsidRDefault="004D30CE" w:rsidP="002F5088">
      <w:pPr>
        <w:ind w:left="284"/>
        <w:jc w:val="both"/>
        <w:rPr>
          <w:i/>
          <w:iCs/>
          <w:sz w:val="22"/>
          <w:szCs w:val="22"/>
        </w:rPr>
      </w:pPr>
    </w:p>
    <w:p w14:paraId="6554F213" w14:textId="286B5EF3" w:rsidR="00774325" w:rsidRPr="00C03235" w:rsidRDefault="00774325" w:rsidP="002F5088">
      <w:pPr>
        <w:ind w:left="284"/>
        <w:jc w:val="both"/>
        <w:rPr>
          <w:i/>
          <w:iCs/>
          <w:sz w:val="22"/>
          <w:szCs w:val="22"/>
        </w:rPr>
      </w:pPr>
      <w:r w:rsidRPr="00C03235">
        <w:rPr>
          <w:i/>
          <w:iCs/>
          <w:sz w:val="22"/>
          <w:szCs w:val="22"/>
        </w:rPr>
        <w:t>2.3 El cálculo realizado por la Comisión en el documento CREG 501 002 del 3 de febrero</w:t>
      </w:r>
      <w:r w:rsidR="00B62972" w:rsidRPr="00C03235">
        <w:rPr>
          <w:i/>
          <w:iCs/>
          <w:sz w:val="22"/>
          <w:szCs w:val="22"/>
        </w:rPr>
        <w:t xml:space="preserve"> </w:t>
      </w:r>
      <w:r w:rsidRPr="00C03235">
        <w:rPr>
          <w:i/>
          <w:iCs/>
          <w:sz w:val="22"/>
          <w:szCs w:val="22"/>
        </w:rPr>
        <w:t>de 2023 sobre la aplicación de la resolución CREG 091 de 2007 para la definición del</w:t>
      </w:r>
      <w:r w:rsidR="000924AF" w:rsidRPr="00C03235">
        <w:rPr>
          <w:i/>
          <w:iCs/>
          <w:sz w:val="22"/>
          <w:szCs w:val="22"/>
        </w:rPr>
        <w:t xml:space="preserve"> </w:t>
      </w:r>
      <w:r w:rsidRPr="00C03235">
        <w:rPr>
          <w:i/>
          <w:iCs/>
          <w:sz w:val="22"/>
          <w:szCs w:val="22"/>
        </w:rPr>
        <w:t xml:space="preserve">cargo máximo de generación del componente de generación con diésel de la solución eléctrica en Nazareth y Puerto Estrella fue calculado de manera equivocada.  </w:t>
      </w:r>
    </w:p>
    <w:p w14:paraId="06D7B2F6" w14:textId="77777777" w:rsidR="00774325" w:rsidRPr="00C03235" w:rsidRDefault="00774325" w:rsidP="002F5088">
      <w:pPr>
        <w:ind w:left="284"/>
        <w:jc w:val="both"/>
        <w:rPr>
          <w:i/>
          <w:iCs/>
          <w:sz w:val="22"/>
          <w:szCs w:val="22"/>
        </w:rPr>
      </w:pPr>
    </w:p>
    <w:p w14:paraId="29794C02" w14:textId="026CEF3A" w:rsidR="00C13F54" w:rsidRPr="00C03235" w:rsidRDefault="00774325" w:rsidP="002F5088">
      <w:pPr>
        <w:ind w:left="284"/>
        <w:jc w:val="both"/>
        <w:rPr>
          <w:i/>
          <w:iCs/>
          <w:sz w:val="22"/>
          <w:szCs w:val="22"/>
        </w:rPr>
      </w:pPr>
      <w:r w:rsidRPr="00C03235">
        <w:rPr>
          <w:i/>
          <w:iCs/>
          <w:sz w:val="22"/>
          <w:szCs w:val="22"/>
        </w:rPr>
        <w:t xml:space="preserve">A diferencia de lo indicado en el documento </w:t>
      </w:r>
      <w:r w:rsidR="00812FBC" w:rsidRPr="00C03235">
        <w:rPr>
          <w:i/>
          <w:iCs/>
          <w:sz w:val="22"/>
          <w:szCs w:val="22"/>
        </w:rPr>
        <w:t>‘</w:t>
      </w:r>
      <w:r w:rsidRPr="00C03235">
        <w:rPr>
          <w:i/>
          <w:iCs/>
          <w:sz w:val="22"/>
          <w:szCs w:val="22"/>
        </w:rPr>
        <w:t>Memoria de Cálculo Cargo Nazareth</w:t>
      </w:r>
      <w:r w:rsidR="00812FBC" w:rsidRPr="00C03235">
        <w:rPr>
          <w:i/>
          <w:iCs/>
          <w:sz w:val="22"/>
          <w:szCs w:val="22"/>
        </w:rPr>
        <w:t>’</w:t>
      </w:r>
      <w:r w:rsidRPr="00C03235">
        <w:rPr>
          <w:i/>
          <w:iCs/>
          <w:sz w:val="22"/>
          <w:szCs w:val="22"/>
        </w:rPr>
        <w:t>, anexo a la resolución CREG 501 004 del 3 de febrero de 2023 y compartido por la Comisión en el correo donde se notifica personalmente del acto administrativo impugnado, no es cierto que los costos de</w:t>
      </w:r>
      <w:r w:rsidR="00B93A56" w:rsidRPr="00C03235">
        <w:rPr>
          <w:i/>
          <w:iCs/>
          <w:sz w:val="22"/>
          <w:szCs w:val="22"/>
        </w:rPr>
        <w:t xml:space="preserve"> </w:t>
      </w:r>
      <w:r w:rsidRPr="00C03235">
        <w:rPr>
          <w:i/>
          <w:iCs/>
          <w:sz w:val="22"/>
          <w:szCs w:val="22"/>
        </w:rPr>
        <w:t>transporte a la localidad de Unguía sean mayores a los costos de transporte de Uribia a la</w:t>
      </w:r>
      <w:r w:rsidR="00B93A56" w:rsidRPr="00C03235">
        <w:rPr>
          <w:i/>
          <w:iCs/>
          <w:sz w:val="22"/>
          <w:szCs w:val="22"/>
        </w:rPr>
        <w:t xml:space="preserve"> </w:t>
      </w:r>
      <w:r w:rsidRPr="00C03235">
        <w:rPr>
          <w:i/>
          <w:iCs/>
          <w:sz w:val="22"/>
          <w:szCs w:val="22"/>
        </w:rPr>
        <w:t xml:space="preserve">localidad de Nazareth. </w:t>
      </w:r>
      <w:r w:rsidRPr="00C03235">
        <w:rPr>
          <w:i/>
          <w:sz w:val="22"/>
          <w:szCs w:val="22"/>
        </w:rPr>
        <w:t>De acuerdo con cotizaciones recibidas en 2022 este valor supera los $1800</w:t>
      </w:r>
      <w:r w:rsidR="00B93A56" w:rsidRPr="00C03235">
        <w:rPr>
          <w:i/>
          <w:sz w:val="22"/>
          <w:szCs w:val="22"/>
        </w:rPr>
        <w:t xml:space="preserve"> </w:t>
      </w:r>
      <w:r w:rsidRPr="00C03235">
        <w:rPr>
          <w:i/>
          <w:sz w:val="22"/>
          <w:szCs w:val="22"/>
        </w:rPr>
        <w:t>por galón. De conformidad con el estudio que se hizo para la CREG en el año 2017, sobre costos</w:t>
      </w:r>
      <w:r w:rsidR="00B93A56" w:rsidRPr="00C03235">
        <w:rPr>
          <w:i/>
          <w:sz w:val="22"/>
          <w:szCs w:val="22"/>
        </w:rPr>
        <w:t xml:space="preserve"> </w:t>
      </w:r>
      <w:r w:rsidRPr="00C03235">
        <w:rPr>
          <w:i/>
          <w:sz w:val="22"/>
          <w:szCs w:val="22"/>
        </w:rPr>
        <w:t>de transporte de combustible para generación en las ZNI, se identificó en el mismo un costo de</w:t>
      </w:r>
      <w:r w:rsidR="00B93A56" w:rsidRPr="00C03235">
        <w:rPr>
          <w:i/>
          <w:sz w:val="22"/>
          <w:szCs w:val="22"/>
        </w:rPr>
        <w:t xml:space="preserve"> </w:t>
      </w:r>
      <w:r w:rsidRPr="00C03235">
        <w:rPr>
          <w:i/>
          <w:sz w:val="22"/>
          <w:szCs w:val="22"/>
        </w:rPr>
        <w:t>$1100 por galón a pesos de junio de 2017.</w:t>
      </w:r>
      <w:r w:rsidRPr="00C03235">
        <w:rPr>
          <w:i/>
          <w:iCs/>
          <w:sz w:val="22"/>
          <w:szCs w:val="22"/>
        </w:rPr>
        <w:t xml:space="preserve"> Este valor puede observarse en la Matriz de Costos de</w:t>
      </w:r>
      <w:r w:rsidR="00B93A56" w:rsidRPr="00C03235">
        <w:rPr>
          <w:i/>
          <w:iCs/>
          <w:sz w:val="22"/>
          <w:szCs w:val="22"/>
        </w:rPr>
        <w:t xml:space="preserve"> </w:t>
      </w:r>
      <w:r w:rsidRPr="00C03235">
        <w:rPr>
          <w:i/>
          <w:iCs/>
          <w:sz w:val="22"/>
          <w:szCs w:val="22"/>
        </w:rPr>
        <w:t>Transporte de Combustible para Generación de Energía Eléctrica en las ZNI (Circular069-2017</w:t>
      </w:r>
      <w:r w:rsidR="00B93A56" w:rsidRPr="00C03235">
        <w:rPr>
          <w:i/>
          <w:iCs/>
          <w:sz w:val="22"/>
          <w:szCs w:val="22"/>
        </w:rPr>
        <w:t xml:space="preserve"> </w:t>
      </w:r>
      <w:r w:rsidRPr="00C03235">
        <w:rPr>
          <w:i/>
          <w:iCs/>
          <w:sz w:val="22"/>
          <w:szCs w:val="22"/>
        </w:rPr>
        <w:t>Anexo1.xlsx), el cual fue publicado el 8 de noviembre de 2017 en la página web de la CREG.</w:t>
      </w:r>
    </w:p>
    <w:p w14:paraId="3208DBD1" w14:textId="77777777" w:rsidR="00C13F54" w:rsidRPr="00C03235" w:rsidRDefault="00C13F54" w:rsidP="002F5088">
      <w:pPr>
        <w:ind w:left="284"/>
        <w:jc w:val="both"/>
        <w:rPr>
          <w:i/>
          <w:iCs/>
          <w:sz w:val="22"/>
          <w:szCs w:val="22"/>
        </w:rPr>
      </w:pPr>
    </w:p>
    <w:p w14:paraId="1319D3E9" w14:textId="2D65B621" w:rsidR="00774325" w:rsidRPr="00C03235" w:rsidRDefault="00774325" w:rsidP="002F5088">
      <w:pPr>
        <w:ind w:left="284"/>
        <w:jc w:val="both"/>
        <w:rPr>
          <w:i/>
          <w:iCs/>
          <w:sz w:val="22"/>
          <w:szCs w:val="22"/>
        </w:rPr>
      </w:pPr>
      <w:r w:rsidRPr="00C03235">
        <w:rPr>
          <w:i/>
          <w:iCs/>
          <w:sz w:val="22"/>
          <w:szCs w:val="22"/>
        </w:rPr>
        <w:t>Haciendo el mismo ejercicio simple que realiza la CREG, actualizando ese costo con el IPP a</w:t>
      </w:r>
      <w:r w:rsidR="00B93A56" w:rsidRPr="00C03235">
        <w:rPr>
          <w:i/>
          <w:iCs/>
          <w:sz w:val="22"/>
          <w:szCs w:val="22"/>
        </w:rPr>
        <w:t xml:space="preserve"> </w:t>
      </w:r>
      <w:r w:rsidRPr="00C03235">
        <w:rPr>
          <w:i/>
          <w:iCs/>
          <w:sz w:val="22"/>
          <w:szCs w:val="22"/>
        </w:rPr>
        <w:t>octubre de 2022 el costo de transporte de Uribia a la localidad de Nazareth es de $1,957.66. Hay</w:t>
      </w:r>
      <w:r w:rsidR="00B93A56" w:rsidRPr="00C03235">
        <w:rPr>
          <w:i/>
          <w:iCs/>
          <w:sz w:val="22"/>
          <w:szCs w:val="22"/>
        </w:rPr>
        <w:t xml:space="preserve"> </w:t>
      </w:r>
      <w:r w:rsidRPr="00C03235">
        <w:rPr>
          <w:i/>
          <w:iCs/>
          <w:sz w:val="22"/>
          <w:szCs w:val="22"/>
        </w:rPr>
        <w:t>que entender que la oferta de transporte hacia la localidad de Nazareth es muy escasa debido a</w:t>
      </w:r>
      <w:r w:rsidR="00B93A56" w:rsidRPr="00C03235">
        <w:rPr>
          <w:i/>
          <w:iCs/>
          <w:sz w:val="22"/>
          <w:szCs w:val="22"/>
        </w:rPr>
        <w:t xml:space="preserve"> </w:t>
      </w:r>
      <w:r w:rsidRPr="00C03235">
        <w:rPr>
          <w:i/>
          <w:iCs/>
          <w:sz w:val="22"/>
          <w:szCs w:val="22"/>
        </w:rPr>
        <w:t>las condiciones de desierto arenoso del terreno y a que se debe pagar el transporte de ida y</w:t>
      </w:r>
      <w:r w:rsidR="00B93A56" w:rsidRPr="00C03235">
        <w:rPr>
          <w:i/>
          <w:iCs/>
          <w:sz w:val="22"/>
          <w:szCs w:val="22"/>
        </w:rPr>
        <w:t xml:space="preserve"> </w:t>
      </w:r>
      <w:r w:rsidRPr="00C03235">
        <w:rPr>
          <w:i/>
          <w:iCs/>
          <w:sz w:val="22"/>
          <w:szCs w:val="22"/>
        </w:rPr>
        <w:t>regreso, por cuanto no hay carga de compensación para traer de dicha localidad.</w:t>
      </w:r>
      <w:r w:rsidR="00B93A56" w:rsidRPr="00C03235">
        <w:rPr>
          <w:i/>
          <w:iCs/>
          <w:sz w:val="22"/>
          <w:szCs w:val="22"/>
        </w:rPr>
        <w:t xml:space="preserve"> </w:t>
      </w:r>
    </w:p>
    <w:p w14:paraId="350FB425" w14:textId="77777777" w:rsidR="00C13F54" w:rsidRPr="00C03235" w:rsidRDefault="00C13F54" w:rsidP="002F5088">
      <w:pPr>
        <w:ind w:left="284"/>
        <w:jc w:val="both"/>
        <w:rPr>
          <w:i/>
          <w:iCs/>
          <w:sz w:val="22"/>
          <w:szCs w:val="22"/>
        </w:rPr>
      </w:pPr>
    </w:p>
    <w:p w14:paraId="0C261B8B" w14:textId="21B600B7" w:rsidR="00774325" w:rsidRPr="00C03235" w:rsidRDefault="00774325" w:rsidP="002F5088">
      <w:pPr>
        <w:ind w:left="284"/>
        <w:jc w:val="both"/>
        <w:rPr>
          <w:i/>
          <w:iCs/>
          <w:sz w:val="22"/>
          <w:szCs w:val="22"/>
        </w:rPr>
      </w:pPr>
      <w:r w:rsidRPr="00C03235">
        <w:rPr>
          <w:i/>
          <w:iCs/>
          <w:sz w:val="22"/>
          <w:szCs w:val="22"/>
        </w:rPr>
        <w:t>El precio considerado por la CREG para el aceite combustible (31.411,28) no es el de un galón, ni</w:t>
      </w:r>
      <w:r w:rsidR="00B93A56" w:rsidRPr="00C03235">
        <w:rPr>
          <w:i/>
          <w:iCs/>
          <w:sz w:val="22"/>
          <w:szCs w:val="22"/>
        </w:rPr>
        <w:t xml:space="preserve"> </w:t>
      </w:r>
      <w:r w:rsidRPr="00C03235">
        <w:rPr>
          <w:i/>
          <w:iCs/>
          <w:sz w:val="22"/>
          <w:szCs w:val="22"/>
        </w:rPr>
        <w:t>siquiera es el de un cuarto de galón. Tomamos el valor de mercado de $125.000 por galón para</w:t>
      </w:r>
      <w:r w:rsidR="00B93A56" w:rsidRPr="00C03235">
        <w:rPr>
          <w:i/>
          <w:iCs/>
          <w:sz w:val="22"/>
          <w:szCs w:val="22"/>
        </w:rPr>
        <w:t xml:space="preserve"> </w:t>
      </w:r>
      <w:r w:rsidRPr="00C03235">
        <w:rPr>
          <w:i/>
          <w:iCs/>
          <w:sz w:val="22"/>
          <w:szCs w:val="22"/>
        </w:rPr>
        <w:t>hacer el ejercicio.</w:t>
      </w:r>
    </w:p>
    <w:p w14:paraId="2CFB4BA9" w14:textId="67AB9BCD" w:rsidR="00774325" w:rsidRPr="00C03235" w:rsidRDefault="00774325" w:rsidP="002F5088">
      <w:pPr>
        <w:ind w:left="284"/>
        <w:jc w:val="both"/>
        <w:rPr>
          <w:i/>
          <w:iCs/>
          <w:sz w:val="22"/>
          <w:szCs w:val="22"/>
        </w:rPr>
      </w:pPr>
    </w:p>
    <w:p w14:paraId="37D9BE99" w14:textId="17923A42" w:rsidR="00774325" w:rsidRPr="00C03235" w:rsidRDefault="00774325" w:rsidP="002F5088">
      <w:pPr>
        <w:ind w:left="284"/>
        <w:jc w:val="both"/>
        <w:rPr>
          <w:i/>
          <w:iCs/>
          <w:sz w:val="22"/>
          <w:szCs w:val="22"/>
        </w:rPr>
      </w:pPr>
      <w:r w:rsidRPr="00C03235">
        <w:rPr>
          <w:i/>
          <w:iCs/>
          <w:sz w:val="22"/>
          <w:szCs w:val="22"/>
        </w:rPr>
        <w:t>Los grupos electrógenos en operación son de 600 KVA, equivalente a 480 kW (factor de potencia</w:t>
      </w:r>
      <w:r w:rsidR="00C13F54" w:rsidRPr="00C03235">
        <w:rPr>
          <w:i/>
          <w:iCs/>
          <w:sz w:val="22"/>
          <w:szCs w:val="22"/>
        </w:rPr>
        <w:t xml:space="preserve"> </w:t>
      </w:r>
      <w:r w:rsidRPr="00C03235">
        <w:rPr>
          <w:i/>
          <w:iCs/>
          <w:sz w:val="22"/>
          <w:szCs w:val="22"/>
        </w:rPr>
        <w:t>0.8). debiendo notar que las tablas de inversión y mantenimiento de grupos diésel en la resolución</w:t>
      </w:r>
      <w:r w:rsidR="00C13F54" w:rsidRPr="00C03235">
        <w:rPr>
          <w:i/>
          <w:iCs/>
          <w:sz w:val="22"/>
          <w:szCs w:val="22"/>
        </w:rPr>
        <w:t xml:space="preserve"> </w:t>
      </w:r>
      <w:r w:rsidRPr="00C03235">
        <w:rPr>
          <w:i/>
          <w:iCs/>
          <w:sz w:val="22"/>
          <w:szCs w:val="22"/>
        </w:rPr>
        <w:t>CREG  091 de 2007 están expresadas en KW y no en KVA. Las dos plantas diésel no operan 12 horas</w:t>
      </w:r>
      <w:r w:rsidR="00C13F54" w:rsidRPr="00C03235">
        <w:rPr>
          <w:i/>
          <w:iCs/>
          <w:sz w:val="22"/>
          <w:szCs w:val="22"/>
        </w:rPr>
        <w:t xml:space="preserve"> </w:t>
      </w:r>
      <w:r w:rsidRPr="00C03235">
        <w:rPr>
          <w:i/>
          <w:iCs/>
          <w:sz w:val="22"/>
          <w:szCs w:val="22"/>
        </w:rPr>
        <w:t>diarias promedio cada una, como se indicó en su memoria de cálculo, sino menos de 6 horas en</w:t>
      </w:r>
      <w:r w:rsidR="00C13F54" w:rsidRPr="00C03235">
        <w:rPr>
          <w:i/>
          <w:iCs/>
          <w:sz w:val="22"/>
          <w:szCs w:val="22"/>
        </w:rPr>
        <w:t xml:space="preserve"> </w:t>
      </w:r>
      <w:r w:rsidRPr="00C03235">
        <w:rPr>
          <w:i/>
          <w:iCs/>
          <w:sz w:val="22"/>
          <w:szCs w:val="22"/>
        </w:rPr>
        <w:t>promedio.</w:t>
      </w:r>
    </w:p>
    <w:p w14:paraId="3771C900" w14:textId="77777777" w:rsidR="00774325" w:rsidRPr="00C03235" w:rsidRDefault="00774325" w:rsidP="002F5088">
      <w:pPr>
        <w:ind w:left="284"/>
        <w:jc w:val="both"/>
        <w:rPr>
          <w:i/>
          <w:iCs/>
          <w:sz w:val="22"/>
          <w:szCs w:val="22"/>
        </w:rPr>
      </w:pPr>
    </w:p>
    <w:p w14:paraId="402A5200" w14:textId="21AF03F9" w:rsidR="000E3F08" w:rsidRPr="00C03235" w:rsidRDefault="00774325" w:rsidP="002F5088">
      <w:pPr>
        <w:ind w:left="284"/>
        <w:jc w:val="both"/>
        <w:rPr>
          <w:i/>
          <w:iCs/>
          <w:sz w:val="22"/>
          <w:szCs w:val="22"/>
        </w:rPr>
      </w:pPr>
      <w:r w:rsidRPr="00C03235">
        <w:rPr>
          <w:i/>
          <w:iCs/>
          <w:sz w:val="22"/>
          <w:szCs w:val="22"/>
        </w:rPr>
        <w:t xml:space="preserve">Realizando las modificaciones en el archivo </w:t>
      </w:r>
      <w:r w:rsidR="00274E5B" w:rsidRPr="00C03235">
        <w:rPr>
          <w:i/>
          <w:iCs/>
          <w:sz w:val="22"/>
          <w:szCs w:val="22"/>
        </w:rPr>
        <w:t>‘</w:t>
      </w:r>
      <w:r w:rsidRPr="00C03235">
        <w:rPr>
          <w:i/>
          <w:iCs/>
          <w:sz w:val="22"/>
          <w:szCs w:val="22"/>
        </w:rPr>
        <w:t>Memoria de Calculo Cargo Nazareth</w:t>
      </w:r>
      <w:r w:rsidR="00274E5B" w:rsidRPr="00C03235">
        <w:rPr>
          <w:i/>
          <w:iCs/>
          <w:sz w:val="22"/>
          <w:szCs w:val="22"/>
        </w:rPr>
        <w:t>’</w:t>
      </w:r>
      <w:r w:rsidRPr="00C03235">
        <w:rPr>
          <w:i/>
          <w:iCs/>
          <w:sz w:val="22"/>
          <w:szCs w:val="22"/>
        </w:rPr>
        <w:t>, el costo de</w:t>
      </w:r>
      <w:r w:rsidR="00B11DC2" w:rsidRPr="00C03235">
        <w:rPr>
          <w:i/>
          <w:iCs/>
          <w:sz w:val="22"/>
          <w:szCs w:val="22"/>
        </w:rPr>
        <w:t xml:space="preserve"> </w:t>
      </w:r>
      <w:r w:rsidRPr="00C03235">
        <w:rPr>
          <w:i/>
          <w:iCs/>
          <w:sz w:val="22"/>
          <w:szCs w:val="22"/>
        </w:rPr>
        <w:t>generación diésel es de $1,277.07 a pesos de octubre de 2022, llevados a pesos de diciembre de</w:t>
      </w:r>
      <w:r w:rsidR="00B11DC2" w:rsidRPr="00C03235">
        <w:rPr>
          <w:i/>
          <w:iCs/>
          <w:sz w:val="22"/>
          <w:szCs w:val="22"/>
        </w:rPr>
        <w:t xml:space="preserve"> </w:t>
      </w:r>
      <w:r w:rsidRPr="00C03235">
        <w:rPr>
          <w:i/>
          <w:iCs/>
          <w:sz w:val="22"/>
          <w:szCs w:val="22"/>
        </w:rPr>
        <w:t>2006, son $600.76.</w:t>
      </w:r>
    </w:p>
    <w:p w14:paraId="7F58DC40" w14:textId="77777777" w:rsidR="00586D39" w:rsidRPr="00C03235" w:rsidRDefault="00586D39" w:rsidP="002F5088">
      <w:pPr>
        <w:ind w:left="284"/>
        <w:jc w:val="both"/>
        <w:rPr>
          <w:i/>
          <w:iCs/>
          <w:sz w:val="22"/>
          <w:szCs w:val="22"/>
        </w:rPr>
      </w:pPr>
    </w:p>
    <w:p w14:paraId="095AF178" w14:textId="697E69C6" w:rsidR="00586D39" w:rsidRPr="00C03235" w:rsidRDefault="00586D39" w:rsidP="002F5088">
      <w:pPr>
        <w:ind w:left="284"/>
        <w:jc w:val="both"/>
        <w:rPr>
          <w:i/>
          <w:iCs/>
          <w:sz w:val="22"/>
          <w:szCs w:val="22"/>
        </w:rPr>
      </w:pPr>
      <w:r w:rsidRPr="00C03235">
        <w:rPr>
          <w:i/>
          <w:iCs/>
          <w:sz w:val="22"/>
          <w:szCs w:val="22"/>
        </w:rPr>
        <w:t>Con el resultado anterior, la ponderadora beta, para traslado de costos de generación al usuario para la tecnología solar fotovoltaica con alimentación directa a red debe ser de 83.75% y no el de 93.16% como se indica en la resolución objeto del presente.</w:t>
      </w:r>
    </w:p>
    <w:p w14:paraId="084FCC17" w14:textId="77777777" w:rsidR="00CA3DAC" w:rsidRPr="00C03235" w:rsidRDefault="00CA3DAC" w:rsidP="002F5088">
      <w:pPr>
        <w:ind w:left="284"/>
        <w:jc w:val="both"/>
        <w:rPr>
          <w:i/>
          <w:iCs/>
          <w:sz w:val="22"/>
          <w:szCs w:val="22"/>
        </w:rPr>
      </w:pPr>
    </w:p>
    <w:p w14:paraId="49213AA6" w14:textId="4F89146F" w:rsidR="00103D98" w:rsidRPr="00C03235" w:rsidRDefault="00103D98" w:rsidP="001A10ED">
      <w:pPr>
        <w:ind w:left="284"/>
        <w:jc w:val="both"/>
        <w:rPr>
          <w:i/>
          <w:iCs/>
          <w:sz w:val="22"/>
          <w:szCs w:val="22"/>
        </w:rPr>
      </w:pPr>
      <w:r w:rsidRPr="00C03235">
        <w:rPr>
          <w:i/>
          <w:iCs/>
          <w:sz w:val="22"/>
          <w:szCs w:val="22"/>
        </w:rPr>
        <w:t>2.4 Conclusión</w:t>
      </w:r>
    </w:p>
    <w:p w14:paraId="1AD3DE47" w14:textId="77777777" w:rsidR="00103D98" w:rsidRPr="00C03235" w:rsidRDefault="00103D98" w:rsidP="002F5088">
      <w:pPr>
        <w:ind w:left="284"/>
        <w:jc w:val="both"/>
        <w:rPr>
          <w:i/>
          <w:iCs/>
          <w:sz w:val="22"/>
          <w:szCs w:val="22"/>
        </w:rPr>
      </w:pPr>
    </w:p>
    <w:p w14:paraId="0B024078" w14:textId="39E3BB87" w:rsidR="00103D98" w:rsidRPr="00C03235" w:rsidRDefault="00103D98" w:rsidP="002F5088">
      <w:pPr>
        <w:ind w:left="284"/>
        <w:jc w:val="both"/>
        <w:rPr>
          <w:i/>
          <w:iCs/>
          <w:sz w:val="22"/>
          <w:szCs w:val="22"/>
        </w:rPr>
      </w:pPr>
      <w:r w:rsidRPr="00C03235">
        <w:rPr>
          <w:i/>
          <w:iCs/>
          <w:sz w:val="22"/>
          <w:szCs w:val="22"/>
        </w:rPr>
        <w:t>Sintetizamos las conclusiones sobre los fundamentos en los que reposa este recurso de</w:t>
      </w:r>
      <w:r w:rsidR="0008753E" w:rsidRPr="00C03235">
        <w:rPr>
          <w:i/>
          <w:iCs/>
          <w:sz w:val="22"/>
          <w:szCs w:val="22"/>
        </w:rPr>
        <w:t xml:space="preserve"> </w:t>
      </w:r>
      <w:r w:rsidRPr="00C03235">
        <w:rPr>
          <w:i/>
          <w:iCs/>
          <w:sz w:val="22"/>
          <w:szCs w:val="22"/>
        </w:rPr>
        <w:t>impugnación, así:</w:t>
      </w:r>
    </w:p>
    <w:p w14:paraId="706FF164" w14:textId="77777777" w:rsidR="00103D98" w:rsidRPr="00C03235" w:rsidRDefault="00103D98" w:rsidP="002F5088">
      <w:pPr>
        <w:ind w:left="284"/>
        <w:jc w:val="both"/>
        <w:rPr>
          <w:i/>
          <w:iCs/>
          <w:sz w:val="22"/>
          <w:szCs w:val="22"/>
        </w:rPr>
      </w:pPr>
    </w:p>
    <w:p w14:paraId="137E1D2A" w14:textId="4CAC842F" w:rsidR="00103D98" w:rsidRPr="00C03235" w:rsidRDefault="00103D98" w:rsidP="002F5088">
      <w:pPr>
        <w:ind w:left="284"/>
        <w:jc w:val="both"/>
        <w:rPr>
          <w:i/>
          <w:iCs/>
          <w:sz w:val="22"/>
          <w:szCs w:val="22"/>
        </w:rPr>
      </w:pPr>
      <w:r w:rsidRPr="00C03235">
        <w:rPr>
          <w:i/>
          <w:iCs/>
          <w:sz w:val="22"/>
          <w:szCs w:val="22"/>
        </w:rPr>
        <w:t xml:space="preserve">• La resolución CREG 501 004 del 03 de febrero de 2023 no tuvo en cuenta, ni estudió para aprobar o improbar, los soportes de costos eficientes y precios de referencia </w:t>
      </w:r>
      <w:r w:rsidRPr="00C03235">
        <w:rPr>
          <w:i/>
          <w:iCs/>
          <w:sz w:val="22"/>
          <w:szCs w:val="22"/>
        </w:rPr>
        <w:lastRenderedPageBreak/>
        <w:t>aportados por el prestador dentro de la actuación administrativa, produciendo entonces, por error, un cargo tarifario que i) no reconoce los costos eficientes de la prestación del servicio en Nazareth y Puerto Estrella y ii) no es producido por la Comisión con base en la información aportada durante la actuación administrativa.</w:t>
      </w:r>
    </w:p>
    <w:p w14:paraId="68318B67" w14:textId="77777777" w:rsidR="00103D98" w:rsidRPr="00C03235" w:rsidRDefault="00103D98" w:rsidP="002F5088">
      <w:pPr>
        <w:ind w:left="284"/>
        <w:jc w:val="both"/>
        <w:rPr>
          <w:i/>
          <w:iCs/>
          <w:sz w:val="22"/>
          <w:szCs w:val="22"/>
        </w:rPr>
      </w:pPr>
    </w:p>
    <w:p w14:paraId="673871FF" w14:textId="6387B1A1" w:rsidR="00103D98" w:rsidRPr="00C03235" w:rsidRDefault="00103D98" w:rsidP="002F5088">
      <w:pPr>
        <w:ind w:left="284"/>
        <w:jc w:val="both"/>
        <w:rPr>
          <w:i/>
          <w:iCs/>
          <w:sz w:val="22"/>
          <w:szCs w:val="22"/>
        </w:rPr>
      </w:pPr>
      <w:r w:rsidRPr="00C03235">
        <w:rPr>
          <w:i/>
          <w:iCs/>
          <w:sz w:val="22"/>
          <w:szCs w:val="22"/>
        </w:rPr>
        <w:t xml:space="preserve">• La Comisión definió aplicar una metodología de regla de 3 o proporcionalidad directa, teniendo como referencia los cargos tarifarios aprobados para otro mercado de comercialización, adelantado a través de una actuación administrativa distinta y con sujetos administrados distintos, sin que haya planteado las motivaciones de por qué consideró procedente dicha metodología, y como la misma responde a la documentación aportada y solicitada en el marco de la actuación administrativa que compete a Helios. </w:t>
      </w:r>
    </w:p>
    <w:p w14:paraId="7B7A3E84" w14:textId="77777777" w:rsidR="00103D98" w:rsidRPr="00C03235" w:rsidRDefault="00103D98" w:rsidP="002F5088">
      <w:pPr>
        <w:ind w:left="284"/>
        <w:jc w:val="both"/>
        <w:rPr>
          <w:i/>
          <w:iCs/>
          <w:sz w:val="22"/>
          <w:szCs w:val="22"/>
        </w:rPr>
      </w:pPr>
    </w:p>
    <w:p w14:paraId="14B013D4" w14:textId="49D94D03" w:rsidR="00103D98" w:rsidRPr="00C03235" w:rsidRDefault="00103D98" w:rsidP="002F5088">
      <w:pPr>
        <w:ind w:left="284"/>
        <w:jc w:val="both"/>
        <w:rPr>
          <w:i/>
          <w:iCs/>
          <w:sz w:val="22"/>
          <w:szCs w:val="22"/>
        </w:rPr>
      </w:pPr>
      <w:r w:rsidRPr="00C03235">
        <w:rPr>
          <w:i/>
          <w:iCs/>
          <w:sz w:val="22"/>
          <w:szCs w:val="22"/>
        </w:rPr>
        <w:t xml:space="preserve">• La metodología aplicada por la Comisión, respecto de la cual no se refleja sustento metodológico alguno sobre su procedencia e idoneidad, arroja como resultado la definición de un cargo tarifario máximo que no corresponde a los costos eficientes de prestación del servicio en Nazareth y Puerto Estrella, por cuanto pretende extender, proporcionalmente a la potencia instalada de la solución solar fotovoltaica, cargos tarifarios entre regiones con características socioeconómicas, culturales, geográficas, topográficas, climáticas, ambientales y de conectividad completamente diferentes, sin inclusive justificar como estas zonas y sus realidades económicas son compatibles para proponer la proporcionalidad comentada.  </w:t>
      </w:r>
    </w:p>
    <w:p w14:paraId="41F56962" w14:textId="77777777" w:rsidR="00103D98" w:rsidRPr="00C03235" w:rsidRDefault="00103D98" w:rsidP="002F5088">
      <w:pPr>
        <w:ind w:left="284"/>
        <w:jc w:val="both"/>
        <w:rPr>
          <w:i/>
          <w:iCs/>
          <w:sz w:val="22"/>
          <w:szCs w:val="22"/>
        </w:rPr>
      </w:pPr>
    </w:p>
    <w:p w14:paraId="1CC4E325" w14:textId="3D40491D" w:rsidR="00103D98" w:rsidRPr="00C03235" w:rsidRDefault="00103D98" w:rsidP="002F5088">
      <w:pPr>
        <w:ind w:left="284"/>
        <w:jc w:val="both"/>
        <w:rPr>
          <w:i/>
          <w:iCs/>
          <w:sz w:val="22"/>
          <w:szCs w:val="22"/>
        </w:rPr>
      </w:pPr>
      <w:r w:rsidRPr="00C03235">
        <w:rPr>
          <w:i/>
          <w:iCs/>
          <w:sz w:val="22"/>
          <w:szCs w:val="22"/>
        </w:rPr>
        <w:t>• Todo lo anterior arroja un cargo tarifario que no reconoce los costos eficientes en la prestación del servicio, incumpliendo entonces los mandatos legales para la construcción de metodologías tarifarias, particularmente el indicado en el tercer inciso del artículo 44 de la Ley 143 de 1994.</w:t>
      </w:r>
    </w:p>
    <w:p w14:paraId="484ACE32" w14:textId="77777777" w:rsidR="00103D98" w:rsidRPr="00C03235" w:rsidRDefault="00103D98" w:rsidP="002F5088">
      <w:pPr>
        <w:ind w:left="284"/>
        <w:jc w:val="both"/>
        <w:rPr>
          <w:i/>
          <w:iCs/>
          <w:sz w:val="22"/>
          <w:szCs w:val="22"/>
        </w:rPr>
      </w:pPr>
    </w:p>
    <w:p w14:paraId="7B3869A0" w14:textId="6B50918E" w:rsidR="00CA3DAC" w:rsidRPr="00C03235" w:rsidRDefault="00103D98" w:rsidP="002F5088">
      <w:pPr>
        <w:ind w:left="284"/>
        <w:jc w:val="both"/>
        <w:rPr>
          <w:i/>
          <w:iCs/>
          <w:sz w:val="22"/>
          <w:szCs w:val="22"/>
        </w:rPr>
      </w:pPr>
      <w:r w:rsidRPr="00C03235">
        <w:rPr>
          <w:i/>
          <w:iCs/>
          <w:sz w:val="22"/>
          <w:szCs w:val="22"/>
        </w:rPr>
        <w:t xml:space="preserve">• Corrigiendo los errores desplegados por la Comisión en la “Memoria de Calculo Cargo Nazareth”, el costo de generación </w:t>
      </w:r>
      <w:r w:rsidR="000B3EA5" w:rsidRPr="00C03235">
        <w:rPr>
          <w:i/>
          <w:iCs/>
          <w:sz w:val="22"/>
          <w:szCs w:val="22"/>
        </w:rPr>
        <w:t>diésel</w:t>
      </w:r>
      <w:r w:rsidRPr="00C03235">
        <w:rPr>
          <w:i/>
          <w:iCs/>
          <w:sz w:val="22"/>
          <w:szCs w:val="22"/>
        </w:rPr>
        <w:t xml:space="preserve"> es de $1,277.07 a pesos de octubre de 2022, llevados a pesos de diciembre de 2006, son $600.76, lo cual significa un ajuste en el factor beta para traslado de costos de generación al usuario para la tecnología solar fotovoltaica con alimentación directa a red a 83.75% y no de 93.16%</w:t>
      </w:r>
    </w:p>
    <w:p w14:paraId="05E6F1A4" w14:textId="77777777" w:rsidR="0045721F" w:rsidRPr="00C03235" w:rsidRDefault="0045721F" w:rsidP="002F5088">
      <w:pPr>
        <w:ind w:left="284"/>
        <w:jc w:val="both"/>
        <w:rPr>
          <w:i/>
          <w:iCs/>
          <w:sz w:val="22"/>
          <w:szCs w:val="22"/>
        </w:rPr>
      </w:pPr>
    </w:p>
    <w:p w14:paraId="2E3CF17A" w14:textId="04CD79F1" w:rsidR="00B53F43" w:rsidRPr="00C03235" w:rsidRDefault="00B53F43" w:rsidP="004F0970">
      <w:pPr>
        <w:ind w:left="284"/>
        <w:jc w:val="both"/>
        <w:rPr>
          <w:i/>
          <w:iCs/>
          <w:sz w:val="22"/>
          <w:szCs w:val="22"/>
        </w:rPr>
      </w:pPr>
      <w:r w:rsidRPr="00C03235">
        <w:rPr>
          <w:i/>
          <w:iCs/>
          <w:sz w:val="22"/>
          <w:szCs w:val="22"/>
        </w:rPr>
        <w:t>2.5 Principio de congruencia y de non reformatio in pejus</w:t>
      </w:r>
    </w:p>
    <w:p w14:paraId="2B7D2B61" w14:textId="77777777" w:rsidR="00B53F43" w:rsidRPr="00C03235" w:rsidRDefault="00B53F43" w:rsidP="002F5088">
      <w:pPr>
        <w:ind w:left="284"/>
        <w:jc w:val="both"/>
        <w:rPr>
          <w:i/>
          <w:iCs/>
          <w:sz w:val="22"/>
          <w:szCs w:val="22"/>
        </w:rPr>
      </w:pPr>
    </w:p>
    <w:p w14:paraId="66574855" w14:textId="77777777" w:rsidR="006B0A2D" w:rsidRPr="00C03235" w:rsidRDefault="00B53F43" w:rsidP="002F5088">
      <w:pPr>
        <w:ind w:left="284"/>
        <w:jc w:val="both"/>
        <w:rPr>
          <w:i/>
          <w:iCs/>
          <w:sz w:val="22"/>
          <w:szCs w:val="22"/>
        </w:rPr>
      </w:pPr>
      <w:r w:rsidRPr="00C03235">
        <w:rPr>
          <w:i/>
          <w:iCs/>
          <w:sz w:val="22"/>
          <w:szCs w:val="22"/>
        </w:rPr>
        <w:t>El principio de congruencia y la no reformatio in pejus constituyen principios basilares de un procedimiento administrativo garantista y ajustado a la Constitución, por lo tanto, el cumplimiento de tales principios constituye un límite al ejercicio de la actividad de las autoridades, que no pueden ser sobrepasados, so pena, de afectar las garantías constitucionales del interesado en la actuación.</w:t>
      </w:r>
    </w:p>
    <w:p w14:paraId="471EB433" w14:textId="77777777" w:rsidR="006B0A2D" w:rsidRPr="00C03235" w:rsidRDefault="006B0A2D" w:rsidP="002F5088">
      <w:pPr>
        <w:ind w:left="284"/>
        <w:jc w:val="both"/>
        <w:rPr>
          <w:i/>
          <w:iCs/>
          <w:sz w:val="22"/>
          <w:szCs w:val="22"/>
        </w:rPr>
      </w:pPr>
    </w:p>
    <w:p w14:paraId="78DDDC32" w14:textId="7FF3DD6B" w:rsidR="00ED7B57" w:rsidRPr="00C03235" w:rsidRDefault="00ED7B57" w:rsidP="002F5088">
      <w:pPr>
        <w:ind w:left="284"/>
        <w:jc w:val="both"/>
        <w:rPr>
          <w:i/>
          <w:iCs/>
          <w:sz w:val="22"/>
          <w:szCs w:val="22"/>
        </w:rPr>
      </w:pPr>
      <w:r w:rsidRPr="00C03235">
        <w:rPr>
          <w:i/>
          <w:iCs/>
          <w:sz w:val="22"/>
          <w:szCs w:val="22"/>
        </w:rPr>
        <w:t>Con referencia, al principio de congruencia se debe recordar que el mismo es definido</w:t>
      </w:r>
      <w:r w:rsidR="006B0A2D" w:rsidRPr="00C03235">
        <w:rPr>
          <w:i/>
          <w:iCs/>
          <w:sz w:val="22"/>
          <w:szCs w:val="22"/>
        </w:rPr>
        <w:t xml:space="preserve"> </w:t>
      </w:r>
      <w:r w:rsidRPr="00C03235">
        <w:rPr>
          <w:i/>
          <w:iCs/>
          <w:sz w:val="22"/>
          <w:szCs w:val="22"/>
        </w:rPr>
        <w:t>corresponde a una cristalización del derecho al debido proceso administrativo, contemplado en el artículo 29 constitucional, y usualmente su aplicación ha sido exigida dentro de los procesos</w:t>
      </w:r>
      <w:r w:rsidR="006B0A2D" w:rsidRPr="00C03235">
        <w:rPr>
          <w:i/>
          <w:iCs/>
          <w:sz w:val="22"/>
          <w:szCs w:val="22"/>
        </w:rPr>
        <w:t xml:space="preserve"> </w:t>
      </w:r>
      <w:r w:rsidRPr="00C03235">
        <w:rPr>
          <w:i/>
          <w:iCs/>
          <w:sz w:val="22"/>
          <w:szCs w:val="22"/>
        </w:rPr>
        <w:t>judiciales. El alcance que ha tenido en materia judicial implica que “al juez de la causa solo le resulta permitido emitir pronunciamiento con base en lo pretendido, lo probado y lo excepcionado dentro del mismo, sin que sea dable dictar sentencias por fuera (extra) o por más (ultra) de lo pedido (petita), y en caso de omitir pronunciarse sobre solicitado como pretensión tiene el deber de explicar de forma clara las razones de tal omisión.”</w:t>
      </w:r>
    </w:p>
    <w:p w14:paraId="725556CF" w14:textId="77777777" w:rsidR="00ED7B57" w:rsidRPr="00C03235" w:rsidRDefault="00ED7B57" w:rsidP="002F5088">
      <w:pPr>
        <w:ind w:left="284"/>
        <w:jc w:val="both"/>
        <w:rPr>
          <w:i/>
          <w:iCs/>
          <w:sz w:val="22"/>
          <w:szCs w:val="22"/>
        </w:rPr>
      </w:pPr>
    </w:p>
    <w:p w14:paraId="537F6E94" w14:textId="1094F31A" w:rsidR="00ED7B57" w:rsidRPr="00C03235" w:rsidRDefault="00ED7B57" w:rsidP="002F5088">
      <w:pPr>
        <w:ind w:left="284"/>
        <w:jc w:val="both"/>
        <w:rPr>
          <w:i/>
          <w:iCs/>
          <w:sz w:val="22"/>
          <w:szCs w:val="22"/>
        </w:rPr>
      </w:pPr>
      <w:r w:rsidRPr="00C03235">
        <w:rPr>
          <w:i/>
          <w:iCs/>
          <w:sz w:val="22"/>
          <w:szCs w:val="22"/>
        </w:rPr>
        <w:t>De esta manera, resulta claro que, en materia judicial, el Juez encuentra limitado su poder</w:t>
      </w:r>
      <w:r w:rsidR="006B0A2D" w:rsidRPr="00C03235">
        <w:rPr>
          <w:i/>
          <w:iCs/>
          <w:sz w:val="22"/>
          <w:szCs w:val="22"/>
        </w:rPr>
        <w:t xml:space="preserve"> </w:t>
      </w:r>
      <w:r w:rsidRPr="00C03235">
        <w:rPr>
          <w:i/>
          <w:iCs/>
          <w:sz w:val="22"/>
          <w:szCs w:val="22"/>
        </w:rPr>
        <w:t>decisorio respecto de la controversia por lo pretendido, probado y excepcionado, de manera tal,</w:t>
      </w:r>
      <w:r w:rsidR="006B0A2D" w:rsidRPr="00C03235">
        <w:rPr>
          <w:i/>
          <w:iCs/>
          <w:sz w:val="22"/>
          <w:szCs w:val="22"/>
        </w:rPr>
        <w:t xml:space="preserve"> </w:t>
      </w:r>
      <w:r w:rsidRPr="00C03235">
        <w:rPr>
          <w:i/>
          <w:iCs/>
          <w:sz w:val="22"/>
          <w:szCs w:val="22"/>
        </w:rPr>
        <w:t>que no le es posible decidir por fuera de los márgenes que le han sido impuestos por las partes.</w:t>
      </w:r>
    </w:p>
    <w:p w14:paraId="5AC1FE21" w14:textId="77777777" w:rsidR="00ED7B57" w:rsidRPr="00C03235" w:rsidRDefault="00ED7B57" w:rsidP="002F5088">
      <w:pPr>
        <w:ind w:left="284"/>
        <w:jc w:val="both"/>
        <w:rPr>
          <w:i/>
          <w:iCs/>
          <w:sz w:val="22"/>
          <w:szCs w:val="22"/>
        </w:rPr>
      </w:pPr>
    </w:p>
    <w:p w14:paraId="7D039AD2" w14:textId="371A6CFA" w:rsidR="00ED7B57" w:rsidRPr="00C03235" w:rsidRDefault="00ED7B57" w:rsidP="002F5088">
      <w:pPr>
        <w:ind w:left="284"/>
        <w:jc w:val="both"/>
        <w:rPr>
          <w:i/>
          <w:iCs/>
          <w:sz w:val="22"/>
          <w:szCs w:val="22"/>
        </w:rPr>
      </w:pPr>
      <w:r w:rsidRPr="00C03235">
        <w:rPr>
          <w:i/>
          <w:iCs/>
          <w:sz w:val="22"/>
          <w:szCs w:val="22"/>
        </w:rPr>
        <w:t>Ahora, la aplicación del principio de congruencia no solamente se encuentra limitado al proceso</w:t>
      </w:r>
      <w:r w:rsidR="006B0A2D" w:rsidRPr="00C03235">
        <w:rPr>
          <w:i/>
          <w:iCs/>
          <w:sz w:val="22"/>
          <w:szCs w:val="22"/>
        </w:rPr>
        <w:t xml:space="preserve"> </w:t>
      </w:r>
      <w:r w:rsidRPr="00C03235">
        <w:rPr>
          <w:i/>
          <w:iCs/>
          <w:sz w:val="22"/>
          <w:szCs w:val="22"/>
        </w:rPr>
        <w:t>judicial, sino que la jurisprudencia del Honorable Consejo de Estado ha considerado que el mismo</w:t>
      </w:r>
      <w:r w:rsidR="006B0A2D" w:rsidRPr="00C03235">
        <w:rPr>
          <w:i/>
          <w:iCs/>
          <w:sz w:val="22"/>
          <w:szCs w:val="22"/>
        </w:rPr>
        <w:t xml:space="preserve"> </w:t>
      </w:r>
      <w:r w:rsidRPr="00C03235">
        <w:rPr>
          <w:i/>
          <w:iCs/>
          <w:sz w:val="22"/>
          <w:szCs w:val="22"/>
        </w:rPr>
        <w:t>resulta aplicable, igualmente a las actuaciones de la administración pública, como</w:t>
      </w:r>
      <w:r w:rsidR="006B0A2D" w:rsidRPr="00C03235">
        <w:rPr>
          <w:i/>
          <w:iCs/>
          <w:sz w:val="22"/>
          <w:szCs w:val="22"/>
        </w:rPr>
        <w:t xml:space="preserve"> </w:t>
      </w:r>
      <w:r w:rsidRPr="00C03235">
        <w:rPr>
          <w:i/>
          <w:iCs/>
          <w:sz w:val="22"/>
          <w:szCs w:val="22"/>
        </w:rPr>
        <w:t>materialización del principio al derecho al debido proceso administrativo.</w:t>
      </w:r>
    </w:p>
    <w:p w14:paraId="0E5765D9" w14:textId="08A5D74B" w:rsidR="00ED7B57" w:rsidRPr="00C03235" w:rsidRDefault="00ED7B57" w:rsidP="002F5088">
      <w:pPr>
        <w:ind w:left="284"/>
        <w:jc w:val="both"/>
        <w:rPr>
          <w:i/>
          <w:iCs/>
          <w:sz w:val="22"/>
          <w:szCs w:val="22"/>
        </w:rPr>
      </w:pPr>
    </w:p>
    <w:p w14:paraId="7F138485" w14:textId="714E6B84" w:rsidR="00ED7B57" w:rsidRPr="00C03235" w:rsidRDefault="00ED7B57" w:rsidP="002F5088">
      <w:pPr>
        <w:ind w:left="284"/>
        <w:jc w:val="both"/>
        <w:rPr>
          <w:i/>
          <w:iCs/>
          <w:sz w:val="22"/>
          <w:szCs w:val="22"/>
        </w:rPr>
      </w:pPr>
      <w:r w:rsidRPr="00C03235">
        <w:rPr>
          <w:i/>
          <w:iCs/>
          <w:sz w:val="22"/>
          <w:szCs w:val="22"/>
        </w:rPr>
        <w:t>En materia administrativa, este principio constaría de una naturaleza dual. En primer lugar,</w:t>
      </w:r>
      <w:r w:rsidR="00943D52" w:rsidRPr="00C03235">
        <w:rPr>
          <w:i/>
          <w:iCs/>
          <w:sz w:val="22"/>
          <w:szCs w:val="22"/>
        </w:rPr>
        <w:t xml:space="preserve"> </w:t>
      </w:r>
      <w:r w:rsidRPr="00C03235">
        <w:rPr>
          <w:i/>
          <w:iCs/>
          <w:sz w:val="22"/>
          <w:szCs w:val="22"/>
        </w:rPr>
        <w:t>implicaría que, ante el ejercicio del derecho de petición, se debe dar respuesta efectiva a todas</w:t>
      </w:r>
      <w:r w:rsidR="00943D52" w:rsidRPr="00C03235">
        <w:rPr>
          <w:i/>
          <w:iCs/>
          <w:sz w:val="22"/>
          <w:szCs w:val="22"/>
        </w:rPr>
        <w:t xml:space="preserve"> </w:t>
      </w:r>
      <w:r w:rsidRPr="00C03235">
        <w:rPr>
          <w:i/>
          <w:iCs/>
          <w:sz w:val="22"/>
          <w:szCs w:val="22"/>
        </w:rPr>
        <w:t>las cuestiones que fueron planteadas a la Administración, dentro de la actuación administrativa.</w:t>
      </w:r>
      <w:r w:rsidR="00943D52" w:rsidRPr="00C03235">
        <w:rPr>
          <w:i/>
          <w:iCs/>
          <w:sz w:val="22"/>
          <w:szCs w:val="22"/>
        </w:rPr>
        <w:t xml:space="preserve"> </w:t>
      </w:r>
      <w:r w:rsidRPr="00C03235">
        <w:rPr>
          <w:i/>
          <w:iCs/>
          <w:sz w:val="22"/>
          <w:szCs w:val="22"/>
        </w:rPr>
        <w:t>En segundo lugar, con mayor importancia en el caso subexamine, el principio de congruencia</w:t>
      </w:r>
      <w:r w:rsidR="00943D52" w:rsidRPr="00C03235">
        <w:rPr>
          <w:i/>
          <w:iCs/>
          <w:sz w:val="22"/>
          <w:szCs w:val="22"/>
        </w:rPr>
        <w:t xml:space="preserve"> </w:t>
      </w:r>
      <w:r w:rsidRPr="00C03235">
        <w:rPr>
          <w:i/>
          <w:iCs/>
          <w:sz w:val="22"/>
          <w:szCs w:val="22"/>
        </w:rPr>
        <w:t>también limita el poder decisorio de la administración dentro de la segunda instancia de un</w:t>
      </w:r>
      <w:r w:rsidR="00943D52" w:rsidRPr="00C03235">
        <w:rPr>
          <w:i/>
          <w:iCs/>
          <w:sz w:val="22"/>
          <w:szCs w:val="22"/>
        </w:rPr>
        <w:t xml:space="preserve"> </w:t>
      </w:r>
      <w:r w:rsidRPr="00C03235">
        <w:rPr>
          <w:i/>
          <w:iCs/>
          <w:sz w:val="22"/>
          <w:szCs w:val="22"/>
        </w:rPr>
        <w:t>procedimiento administrativo, originado en la impugnación que de tal acto realizó el interesado.</w:t>
      </w:r>
      <w:r w:rsidR="0064497E" w:rsidRPr="00C03235">
        <w:rPr>
          <w:i/>
          <w:iCs/>
          <w:sz w:val="22"/>
          <w:szCs w:val="22"/>
        </w:rPr>
        <w:t xml:space="preserve"> </w:t>
      </w:r>
      <w:r w:rsidRPr="00C03235">
        <w:rPr>
          <w:i/>
          <w:iCs/>
          <w:sz w:val="22"/>
          <w:szCs w:val="22"/>
        </w:rPr>
        <w:t>La aplicación de este principio en esta etapa, de conformidad con lo señalado por el Honorable</w:t>
      </w:r>
      <w:r w:rsidR="00943D52" w:rsidRPr="00C03235">
        <w:rPr>
          <w:i/>
          <w:iCs/>
          <w:sz w:val="22"/>
          <w:szCs w:val="22"/>
        </w:rPr>
        <w:t xml:space="preserve"> </w:t>
      </w:r>
      <w:r w:rsidRPr="00C03235">
        <w:rPr>
          <w:i/>
          <w:iCs/>
          <w:sz w:val="22"/>
          <w:szCs w:val="22"/>
        </w:rPr>
        <w:t xml:space="preserve">Consejo de Estado, condiciona la competencia para decidir del funcionario, de manera tal que: </w:t>
      </w:r>
    </w:p>
    <w:p w14:paraId="2ACFD09D" w14:textId="69952A20" w:rsidR="00ED7B57" w:rsidRPr="00C03235" w:rsidRDefault="00ED7B57" w:rsidP="002F5088">
      <w:pPr>
        <w:ind w:left="284"/>
        <w:jc w:val="both"/>
        <w:rPr>
          <w:i/>
          <w:iCs/>
          <w:sz w:val="22"/>
          <w:szCs w:val="22"/>
        </w:rPr>
      </w:pPr>
    </w:p>
    <w:p w14:paraId="24654487" w14:textId="654A17B4" w:rsidR="00A94DC4" w:rsidRPr="00C03235" w:rsidRDefault="004F0970" w:rsidP="004F0970">
      <w:pPr>
        <w:ind w:left="567"/>
        <w:jc w:val="both"/>
        <w:rPr>
          <w:i/>
          <w:iCs/>
          <w:sz w:val="22"/>
          <w:szCs w:val="22"/>
        </w:rPr>
      </w:pPr>
      <w:r w:rsidRPr="00C03235">
        <w:rPr>
          <w:i/>
          <w:iCs/>
          <w:sz w:val="22"/>
          <w:szCs w:val="22"/>
        </w:rPr>
        <w:t>‘</w:t>
      </w:r>
      <w:r w:rsidR="00ED7B57" w:rsidRPr="00C03235">
        <w:rPr>
          <w:i/>
          <w:iCs/>
          <w:sz w:val="22"/>
          <w:szCs w:val="22"/>
        </w:rPr>
        <w:t xml:space="preserve">el principio de congruencia representa una garantía del debido proceso, en tanto busca enmarcar la competencia de la autoridad administrativa que resuelve el recurso administrativo con el fin de prevenir su arbitrariedad en lo que decide y la vulneración del derecho de defensa de quien incoó la correspondiente reclamación. […] En aras de afianzar esta garantía del debido proceso el artículo 80 del CPACA establece que la decisión que resuelve el recurso interpuesto definirá </w:t>
      </w:r>
      <w:r w:rsidR="00C70D3E" w:rsidRPr="00C03235">
        <w:rPr>
          <w:i/>
          <w:iCs/>
          <w:sz w:val="22"/>
          <w:szCs w:val="22"/>
        </w:rPr>
        <w:t>‘</w:t>
      </w:r>
      <w:r w:rsidR="00ED7B57" w:rsidRPr="00C03235">
        <w:rPr>
          <w:i/>
          <w:iCs/>
          <w:sz w:val="22"/>
          <w:szCs w:val="22"/>
        </w:rPr>
        <w:t>todas las peticiones que hayan sido oportunamente planteadas y las que surjan con motivo del recurso</w:t>
      </w:r>
      <w:r w:rsidR="00C70D3E" w:rsidRPr="00C03235">
        <w:rPr>
          <w:i/>
          <w:iCs/>
          <w:sz w:val="22"/>
          <w:szCs w:val="22"/>
        </w:rPr>
        <w:t>’</w:t>
      </w:r>
      <w:r w:rsidR="00ED7B57" w:rsidRPr="00C03235">
        <w:rPr>
          <w:i/>
          <w:iCs/>
          <w:sz w:val="22"/>
          <w:szCs w:val="22"/>
        </w:rPr>
        <w:t xml:space="preserve">. De esta forma, la vinculación de la Administración a lo que plantea el recurso resulta innegable y se erige en límite efectivo al margen de decisión administrativo, que en aras de reforzar la garantía de la contradicción implícita en el artículo 29 Superior, no podrá salirse de la discusión </w:t>
      </w:r>
      <w:r w:rsidR="00A94DC4" w:rsidRPr="00C03235">
        <w:rPr>
          <w:i/>
          <w:iCs/>
          <w:sz w:val="22"/>
          <w:szCs w:val="22"/>
        </w:rPr>
        <w:t>trazada por el recurrente.</w:t>
      </w:r>
      <w:r w:rsidR="00CD5A0B" w:rsidRPr="00C03235">
        <w:rPr>
          <w:i/>
          <w:iCs/>
          <w:sz w:val="22"/>
          <w:szCs w:val="22"/>
        </w:rPr>
        <w:t>’</w:t>
      </w:r>
    </w:p>
    <w:p w14:paraId="68403EA0" w14:textId="77777777" w:rsidR="00ED7B57" w:rsidRPr="00C03235" w:rsidRDefault="00ED7B57" w:rsidP="002F5088">
      <w:pPr>
        <w:ind w:left="284"/>
        <w:jc w:val="both"/>
        <w:rPr>
          <w:i/>
          <w:iCs/>
          <w:sz w:val="22"/>
          <w:szCs w:val="22"/>
        </w:rPr>
      </w:pPr>
    </w:p>
    <w:p w14:paraId="10E47AA1" w14:textId="0943DE2F" w:rsidR="00B53F43" w:rsidRPr="00C03235" w:rsidRDefault="008273E5" w:rsidP="002F5088">
      <w:pPr>
        <w:ind w:left="284"/>
        <w:jc w:val="both"/>
        <w:rPr>
          <w:i/>
          <w:iCs/>
          <w:sz w:val="22"/>
          <w:szCs w:val="22"/>
        </w:rPr>
      </w:pPr>
      <w:r w:rsidRPr="00C03235">
        <w:rPr>
          <w:i/>
          <w:iCs/>
          <w:sz w:val="22"/>
          <w:szCs w:val="22"/>
        </w:rPr>
        <w:t>No solo el principio de congruencia se torna en un límite a la actuación de la administración, sino que a la par, lo es la no reformatio in pejus, o lo que es lo mismo la no reforma en perjuicio del único apelante. Este principio de tiempo atrás reconocido como parte integral del derecho al debido proceso, y de aplicación en el proceso judicial, igualmente ha sido considerado como una garantía propia del derecho administrativo, y en particular, de un proceso administrativo conforme con los preceptos constitucionales.</w:t>
      </w:r>
    </w:p>
    <w:p w14:paraId="1157A952" w14:textId="77777777" w:rsidR="008273E5" w:rsidRPr="00C03235" w:rsidRDefault="008273E5" w:rsidP="002F5088">
      <w:pPr>
        <w:ind w:left="284"/>
        <w:jc w:val="both"/>
        <w:rPr>
          <w:i/>
          <w:iCs/>
          <w:sz w:val="22"/>
          <w:szCs w:val="22"/>
        </w:rPr>
      </w:pPr>
    </w:p>
    <w:p w14:paraId="4D0D1071" w14:textId="72A47B48" w:rsidR="00E66675" w:rsidRPr="00C03235" w:rsidRDefault="00B46906" w:rsidP="002F5088">
      <w:pPr>
        <w:ind w:left="284"/>
        <w:jc w:val="both"/>
        <w:rPr>
          <w:i/>
          <w:iCs/>
          <w:sz w:val="22"/>
          <w:szCs w:val="22"/>
        </w:rPr>
      </w:pPr>
      <w:r w:rsidRPr="00C03235">
        <w:rPr>
          <w:i/>
          <w:iCs/>
          <w:sz w:val="22"/>
          <w:szCs w:val="22"/>
        </w:rPr>
        <w:t>En particular, la Corte Constitucional se ha preguntado, si resulta exigible cumplir con el principio de no reformatio in pejus en materia administrativa, lo que ha resuelto de manera afirmativa, considerando que su aplicación es una manifestación del derecho al debido proceso y de las garantías constitucionales, a las que tiene el derecho el administrado. Así, por ejemplo, en</w:t>
      </w:r>
      <w:r w:rsidR="00641763" w:rsidRPr="00C03235">
        <w:t xml:space="preserve"> </w:t>
      </w:r>
      <w:r w:rsidR="008C6B7F" w:rsidRPr="00C03235">
        <w:rPr>
          <w:i/>
          <w:iCs/>
          <w:sz w:val="22"/>
          <w:szCs w:val="22"/>
        </w:rPr>
        <w:t xml:space="preserve">sentencia T-419 de 1992, la Corporación indicó que la no reformatio in pejus, así como otras garantías del derecho al debido proceso, </w:t>
      </w:r>
      <w:r w:rsidR="002254AE" w:rsidRPr="00C03235">
        <w:rPr>
          <w:i/>
          <w:iCs/>
          <w:sz w:val="22"/>
          <w:szCs w:val="22"/>
        </w:rPr>
        <w:t>‘</w:t>
      </w:r>
      <w:r w:rsidR="008C6B7F" w:rsidRPr="00C03235">
        <w:rPr>
          <w:i/>
          <w:iCs/>
          <w:sz w:val="22"/>
          <w:szCs w:val="22"/>
        </w:rPr>
        <w:t>tienen plena operancia mutatis mutandi, en las demás ramas del derecho procesal: procesal civil (que se extiende al laboral, etc.) y a la actividad administrativa que comprende tanto la actuación gubernativa como la contencioso administrativa...</w:t>
      </w:r>
      <w:r w:rsidR="002254AE" w:rsidRPr="00C03235">
        <w:rPr>
          <w:i/>
          <w:iCs/>
          <w:sz w:val="22"/>
          <w:szCs w:val="22"/>
        </w:rPr>
        <w:t>’</w:t>
      </w:r>
      <w:r w:rsidR="008C6B7F" w:rsidRPr="00C03235">
        <w:rPr>
          <w:i/>
          <w:iCs/>
          <w:sz w:val="22"/>
          <w:szCs w:val="22"/>
        </w:rPr>
        <w:t>.</w:t>
      </w:r>
      <w:r w:rsidR="00E66675" w:rsidRPr="00C03235">
        <w:t xml:space="preserve"> </w:t>
      </w:r>
      <w:r w:rsidR="00E66675" w:rsidRPr="00C03235">
        <w:rPr>
          <w:i/>
          <w:iCs/>
          <w:sz w:val="22"/>
          <w:szCs w:val="22"/>
        </w:rPr>
        <w:t xml:space="preserve">Esta doctrina se reiteró en la Sentencia T-233 de 1995, en la que se afirmó que: </w:t>
      </w:r>
      <w:r w:rsidR="0032635C" w:rsidRPr="00C03235">
        <w:rPr>
          <w:i/>
          <w:iCs/>
          <w:sz w:val="22"/>
          <w:szCs w:val="22"/>
        </w:rPr>
        <w:t>‘</w:t>
      </w:r>
      <w:r w:rsidR="00E66675" w:rsidRPr="00C03235">
        <w:rPr>
          <w:i/>
          <w:iCs/>
          <w:sz w:val="22"/>
          <w:szCs w:val="22"/>
        </w:rPr>
        <w:t>...la prohibición de reformar la condena en perjuicio de apelante único no solamente es aplicable en materia penal, ni tampoco está limitada a las sentencias judiciales, sino que, por el contrario, cobija otras ramas del derecho y se hace exigible en las actuaciones administrativas</w:t>
      </w:r>
      <w:r w:rsidR="00F1634D" w:rsidRPr="00C03235">
        <w:rPr>
          <w:i/>
          <w:iCs/>
          <w:sz w:val="22"/>
          <w:szCs w:val="22"/>
        </w:rPr>
        <w:t>’</w:t>
      </w:r>
      <w:r w:rsidR="00E66675" w:rsidRPr="00C03235">
        <w:rPr>
          <w:i/>
          <w:iCs/>
          <w:sz w:val="22"/>
          <w:szCs w:val="22"/>
        </w:rPr>
        <w:t>.</w:t>
      </w:r>
    </w:p>
    <w:p w14:paraId="3DD7EF13" w14:textId="093C93CC" w:rsidR="008C6B7F" w:rsidRPr="00C03235" w:rsidRDefault="008C6B7F" w:rsidP="002F5088">
      <w:pPr>
        <w:ind w:left="284"/>
        <w:jc w:val="both"/>
        <w:rPr>
          <w:i/>
          <w:iCs/>
          <w:sz w:val="22"/>
          <w:szCs w:val="22"/>
        </w:rPr>
      </w:pPr>
    </w:p>
    <w:p w14:paraId="68382D3B" w14:textId="67856CA1" w:rsidR="008C6B7F" w:rsidRPr="00C03235" w:rsidRDefault="00D16EDF" w:rsidP="002F5088">
      <w:pPr>
        <w:ind w:left="284"/>
        <w:jc w:val="both"/>
        <w:rPr>
          <w:i/>
          <w:iCs/>
          <w:sz w:val="22"/>
          <w:szCs w:val="22"/>
        </w:rPr>
      </w:pPr>
      <w:r w:rsidRPr="00C03235">
        <w:rPr>
          <w:i/>
          <w:iCs/>
          <w:sz w:val="22"/>
          <w:szCs w:val="22"/>
        </w:rPr>
        <w:t>Finalmente, en la Sentencia T-032 de 2022, en la que se discutía la decisión de la Sala</w:t>
      </w:r>
      <w:r w:rsidR="00185242" w:rsidRPr="00C03235">
        <w:rPr>
          <w:i/>
          <w:iCs/>
          <w:sz w:val="22"/>
          <w:szCs w:val="22"/>
        </w:rPr>
        <w:t xml:space="preserve"> </w:t>
      </w:r>
      <w:r w:rsidRPr="00C03235">
        <w:rPr>
          <w:i/>
          <w:iCs/>
          <w:sz w:val="22"/>
          <w:szCs w:val="22"/>
        </w:rPr>
        <w:t>administrativa del Consejo Superior de la Judicatura de modificar y disminuir los puntajes, obtenidos por las participantes en un concurso, al resolver el recurso de reposición que estas interpusieron en contra del acto administrativo, indicó que:</w:t>
      </w:r>
    </w:p>
    <w:p w14:paraId="6BDF250E" w14:textId="77777777" w:rsidR="00D16EDF" w:rsidRPr="00C03235" w:rsidRDefault="00D16EDF" w:rsidP="002F5088">
      <w:pPr>
        <w:ind w:left="284"/>
        <w:jc w:val="both"/>
        <w:rPr>
          <w:i/>
          <w:iCs/>
          <w:sz w:val="22"/>
          <w:szCs w:val="22"/>
        </w:rPr>
      </w:pPr>
    </w:p>
    <w:p w14:paraId="5F84C1F0" w14:textId="7BF58E86" w:rsidR="00F95E76" w:rsidRPr="00C03235" w:rsidRDefault="00F95E76" w:rsidP="002F5088">
      <w:pPr>
        <w:ind w:left="284"/>
        <w:jc w:val="both"/>
        <w:rPr>
          <w:i/>
          <w:iCs/>
          <w:sz w:val="22"/>
          <w:szCs w:val="22"/>
        </w:rPr>
      </w:pPr>
      <w:r w:rsidRPr="00C03235">
        <w:rPr>
          <w:i/>
          <w:iCs/>
          <w:sz w:val="22"/>
          <w:szCs w:val="22"/>
        </w:rPr>
        <w:t>Por lo cual, la prohibición de la reformatio in pejus tiene plena aplicabilidad en materias</w:t>
      </w:r>
      <w:r w:rsidR="00D24C41" w:rsidRPr="00C03235">
        <w:rPr>
          <w:i/>
          <w:iCs/>
          <w:sz w:val="22"/>
          <w:szCs w:val="22"/>
        </w:rPr>
        <w:t xml:space="preserve"> </w:t>
      </w:r>
      <w:r w:rsidRPr="00C03235">
        <w:rPr>
          <w:i/>
          <w:iCs/>
          <w:sz w:val="22"/>
          <w:szCs w:val="22"/>
        </w:rPr>
        <w:t>administrativas, tanto en el agotamiento de la vía gubernativa como en el desarrollo del</w:t>
      </w:r>
      <w:r w:rsidR="00D24C41" w:rsidRPr="00C03235">
        <w:rPr>
          <w:i/>
          <w:iCs/>
          <w:sz w:val="22"/>
          <w:szCs w:val="22"/>
        </w:rPr>
        <w:t xml:space="preserve"> </w:t>
      </w:r>
      <w:r w:rsidRPr="00C03235">
        <w:rPr>
          <w:i/>
          <w:iCs/>
          <w:sz w:val="22"/>
          <w:szCs w:val="22"/>
        </w:rPr>
        <w:t xml:space="preserve">procedimiento ante la jurisdicción de lo contencioso administrativo, circunstancia que se origina en la interpretación armónica y sistemática de los artículos 29 y 31 de la Constitución Política, logrando de esta manera hacer efectivo el derecho al debido proceso y por ende de los demás principios y derechos constitucionales que guardan correspondencia con dicha institución jurídica. </w:t>
      </w:r>
      <w:r w:rsidRPr="00C03235">
        <w:rPr>
          <w:i/>
          <w:iCs/>
          <w:sz w:val="22"/>
          <w:szCs w:val="22"/>
          <w:u w:val="single"/>
        </w:rPr>
        <w:t>De suerte que la congruencia y la prohibición de la no reformatio in pejus, limitan la actuación de la Administración en aras de la transparencia, legalidad y garantía en la actuación administrativa</w:t>
      </w:r>
      <w:r w:rsidRPr="00C03235">
        <w:rPr>
          <w:i/>
          <w:iCs/>
          <w:sz w:val="22"/>
          <w:szCs w:val="22"/>
        </w:rPr>
        <w:t>.</w:t>
      </w:r>
    </w:p>
    <w:p w14:paraId="6BD693FD" w14:textId="77777777" w:rsidR="00D24C41" w:rsidRPr="00C03235" w:rsidRDefault="00D24C41" w:rsidP="002F5088">
      <w:pPr>
        <w:ind w:left="284"/>
        <w:jc w:val="both"/>
        <w:rPr>
          <w:i/>
          <w:iCs/>
          <w:sz w:val="22"/>
          <w:szCs w:val="22"/>
        </w:rPr>
      </w:pPr>
    </w:p>
    <w:p w14:paraId="4B97D686" w14:textId="5283CE03" w:rsidR="00D24C41" w:rsidRPr="00C03235" w:rsidRDefault="000307F0" w:rsidP="002F5088">
      <w:pPr>
        <w:ind w:left="284"/>
        <w:jc w:val="both"/>
        <w:rPr>
          <w:i/>
          <w:iCs/>
          <w:sz w:val="22"/>
          <w:szCs w:val="22"/>
        </w:rPr>
      </w:pPr>
      <w:r w:rsidRPr="00C03235">
        <w:rPr>
          <w:i/>
          <w:iCs/>
          <w:sz w:val="22"/>
          <w:szCs w:val="22"/>
        </w:rPr>
        <w:t>En efecto, indica la Corte Constitucional, que el límite que se materializa con la no reformatio in pejus tiene una plena aplicación en materia administrativa y en los procedimientos que sigue la administración, incluyendo el agotamiento en la vía administrativa. Adicionalmente, la corporación, considera que este principio junto con el de congruencia, constituyen límites para la administración que se relacionan con el deber de transparencia, legalidad y garantía en la actuación administrativa.</w:t>
      </w:r>
    </w:p>
    <w:p w14:paraId="458EAB7A" w14:textId="77777777" w:rsidR="00906109" w:rsidRPr="00C03235" w:rsidRDefault="00906109" w:rsidP="002F5088">
      <w:pPr>
        <w:ind w:left="284"/>
        <w:jc w:val="both"/>
        <w:rPr>
          <w:i/>
          <w:iCs/>
          <w:sz w:val="22"/>
          <w:szCs w:val="22"/>
        </w:rPr>
      </w:pPr>
    </w:p>
    <w:p w14:paraId="1B2A4E23" w14:textId="35306BB4" w:rsidR="00906109" w:rsidRPr="00C03235" w:rsidRDefault="00906109" w:rsidP="002F5088">
      <w:pPr>
        <w:ind w:left="284"/>
        <w:jc w:val="both"/>
        <w:rPr>
          <w:i/>
          <w:iCs/>
          <w:sz w:val="22"/>
          <w:szCs w:val="22"/>
        </w:rPr>
      </w:pPr>
      <w:r w:rsidRPr="00C03235">
        <w:rPr>
          <w:i/>
          <w:iCs/>
          <w:sz w:val="22"/>
          <w:szCs w:val="22"/>
        </w:rPr>
        <w:t>A partir de lo expuesto, queda claro que el poder decisorio de la Comisión se encuentra limitado por el marco interpuesto en el recurso de reposición que se le presenta. De esta manera, no puede el regulador emitir una decisión en la que se reduzcan los cargos, que le han sido aprobados mediante la Resolución CREG 501 004 de 2023 a Helios, sino que exclusivamente su decisión se debe limitar a resolver el reparo interpuesto respecto del cálculo de las componentes de inversión y AOM. No obstante, ni respecto de estos, ni de otros cargos resulta posible que la Comisión llegare a eventualmente reducir o desmejorar la situación del recurrente, quien enrostra a la administración ciertos yerros en la determinación realizada en la resolución.</w:t>
      </w:r>
    </w:p>
    <w:p w14:paraId="36D16AE7" w14:textId="77777777" w:rsidR="00906109" w:rsidRPr="00C03235" w:rsidRDefault="00906109" w:rsidP="002F5088">
      <w:pPr>
        <w:ind w:left="284"/>
        <w:jc w:val="both"/>
        <w:rPr>
          <w:i/>
          <w:iCs/>
          <w:sz w:val="22"/>
          <w:szCs w:val="22"/>
        </w:rPr>
      </w:pPr>
    </w:p>
    <w:p w14:paraId="2675892F" w14:textId="761B7741" w:rsidR="00C44FFB" w:rsidRPr="00C03235" w:rsidRDefault="00C44FFB" w:rsidP="002F5088">
      <w:pPr>
        <w:ind w:left="284"/>
        <w:jc w:val="both"/>
        <w:rPr>
          <w:i/>
          <w:iCs/>
          <w:sz w:val="22"/>
          <w:szCs w:val="22"/>
        </w:rPr>
      </w:pPr>
      <w:r w:rsidRPr="00C03235">
        <w:rPr>
          <w:i/>
          <w:iCs/>
          <w:sz w:val="22"/>
          <w:szCs w:val="22"/>
        </w:rPr>
        <w:t>3 SOLICITUD</w:t>
      </w:r>
    </w:p>
    <w:p w14:paraId="061C9F81" w14:textId="77777777" w:rsidR="00C44FFB" w:rsidRPr="00C03235" w:rsidRDefault="00C44FFB" w:rsidP="002F5088">
      <w:pPr>
        <w:ind w:left="284"/>
        <w:jc w:val="both"/>
        <w:rPr>
          <w:i/>
          <w:iCs/>
          <w:sz w:val="22"/>
          <w:szCs w:val="22"/>
        </w:rPr>
      </w:pPr>
    </w:p>
    <w:p w14:paraId="432238CC" w14:textId="4AA5D252" w:rsidR="00C44FFB" w:rsidRPr="00C03235" w:rsidRDefault="00C44FFB" w:rsidP="002F5088">
      <w:pPr>
        <w:ind w:left="284"/>
        <w:jc w:val="both"/>
        <w:rPr>
          <w:i/>
          <w:iCs/>
          <w:sz w:val="22"/>
          <w:szCs w:val="22"/>
        </w:rPr>
      </w:pPr>
      <w:r w:rsidRPr="00C03235">
        <w:rPr>
          <w:i/>
          <w:iCs/>
          <w:sz w:val="22"/>
          <w:szCs w:val="22"/>
        </w:rPr>
        <w:t>Según las anteriores consideraciones, solicitamos modificar la Resolución CREG 501 004 del 03 de febrero de 2023, con el fin de que se dispongan los siguientes ajustes:</w:t>
      </w:r>
    </w:p>
    <w:p w14:paraId="12E9D0FD" w14:textId="77777777" w:rsidR="00C44FFB" w:rsidRPr="00C03235" w:rsidRDefault="00C44FFB" w:rsidP="002F5088">
      <w:pPr>
        <w:ind w:left="284"/>
        <w:jc w:val="both"/>
        <w:rPr>
          <w:i/>
          <w:iCs/>
          <w:sz w:val="22"/>
          <w:szCs w:val="22"/>
        </w:rPr>
      </w:pPr>
    </w:p>
    <w:p w14:paraId="41562972" w14:textId="255EEBAA" w:rsidR="00906109" w:rsidRPr="00C03235" w:rsidRDefault="00C44FFB" w:rsidP="002F5088">
      <w:pPr>
        <w:ind w:left="284"/>
        <w:jc w:val="both"/>
        <w:rPr>
          <w:i/>
          <w:iCs/>
          <w:sz w:val="22"/>
          <w:szCs w:val="22"/>
        </w:rPr>
      </w:pPr>
      <w:r w:rsidRPr="00C03235">
        <w:rPr>
          <w:i/>
          <w:iCs/>
          <w:sz w:val="22"/>
          <w:szCs w:val="22"/>
        </w:rPr>
        <w:t>• Ajustar el cargo máximo de generación mediante sistemas híbridos diésel solar con acumulación para Nazareth y Puerto Estrella, definido en el artículo 1 de la Resolución,</w:t>
      </w:r>
      <w:r w:rsidR="00EC50A3" w:rsidRPr="00C03235">
        <w:rPr>
          <w:i/>
          <w:iCs/>
          <w:sz w:val="22"/>
          <w:szCs w:val="22"/>
        </w:rPr>
        <w:t xml:space="preserve"> </w:t>
      </w:r>
      <w:r w:rsidRPr="00C03235">
        <w:rPr>
          <w:i/>
          <w:iCs/>
          <w:sz w:val="22"/>
          <w:szCs w:val="22"/>
        </w:rPr>
        <w:t>teniendo en cuenta los costos eficientes y precios de referencia que obran en el expediente</w:t>
      </w:r>
      <w:r w:rsidR="001059DC" w:rsidRPr="00C03235">
        <w:t xml:space="preserve"> </w:t>
      </w:r>
      <w:r w:rsidR="001059DC" w:rsidRPr="00C03235">
        <w:rPr>
          <w:i/>
          <w:iCs/>
          <w:sz w:val="22"/>
          <w:szCs w:val="22"/>
        </w:rPr>
        <w:t>de la actuación administrativa en referencia, arrojando por resultado el cargo máximo que</w:t>
      </w:r>
      <w:r w:rsidR="00324E3A" w:rsidRPr="00C03235">
        <w:rPr>
          <w:i/>
          <w:iCs/>
          <w:sz w:val="22"/>
          <w:szCs w:val="22"/>
        </w:rPr>
        <w:t xml:space="preserve"> </w:t>
      </w:r>
      <w:r w:rsidR="001059DC" w:rsidRPr="00C03235">
        <w:rPr>
          <w:i/>
          <w:iCs/>
          <w:sz w:val="22"/>
          <w:szCs w:val="22"/>
        </w:rPr>
        <w:t>se indica a continuación:</w:t>
      </w:r>
    </w:p>
    <w:p w14:paraId="21ECBF2A" w14:textId="77777777" w:rsidR="001059DC" w:rsidRPr="00C03235" w:rsidRDefault="001059DC" w:rsidP="002F5088">
      <w:pPr>
        <w:ind w:left="284"/>
        <w:jc w:val="both"/>
        <w:rPr>
          <w:i/>
          <w:iCs/>
          <w:sz w:val="22"/>
          <w:szCs w:val="22"/>
        </w:rPr>
      </w:pPr>
    </w:p>
    <w:tbl>
      <w:tblPr>
        <w:tblStyle w:val="Tablaconcuadrcula"/>
        <w:tblW w:w="7508" w:type="dxa"/>
        <w:jc w:val="center"/>
        <w:tblLook w:val="04A0" w:firstRow="1" w:lastRow="0" w:firstColumn="1" w:lastColumn="0" w:noHBand="0" w:noVBand="1"/>
      </w:tblPr>
      <w:tblGrid>
        <w:gridCol w:w="3826"/>
        <w:gridCol w:w="3682"/>
      </w:tblGrid>
      <w:tr w:rsidR="001059DC" w:rsidRPr="00C03235" w14:paraId="64C48D98" w14:textId="77777777" w:rsidTr="002F5088">
        <w:trPr>
          <w:jc w:val="center"/>
        </w:trPr>
        <w:tc>
          <w:tcPr>
            <w:tcW w:w="3826" w:type="dxa"/>
            <w:vAlign w:val="center"/>
          </w:tcPr>
          <w:p w14:paraId="04D78F6D" w14:textId="3A2EE24F" w:rsidR="001059DC" w:rsidRPr="00C03235" w:rsidRDefault="00AA7ADD" w:rsidP="00EA339D">
            <w:pPr>
              <w:jc w:val="center"/>
              <w:rPr>
                <w:b/>
                <w:bCs/>
                <w:i/>
                <w:iCs/>
                <w:sz w:val="22"/>
                <w:szCs w:val="22"/>
              </w:rPr>
            </w:pPr>
            <w:r w:rsidRPr="00C03235">
              <w:rPr>
                <w:b/>
                <w:bCs/>
                <w:i/>
                <w:iCs/>
                <w:sz w:val="22"/>
                <w:szCs w:val="22"/>
              </w:rPr>
              <w:t>Tipo de recurso energético</w:t>
            </w:r>
          </w:p>
        </w:tc>
        <w:tc>
          <w:tcPr>
            <w:tcW w:w="3682" w:type="dxa"/>
            <w:vAlign w:val="center"/>
          </w:tcPr>
          <w:p w14:paraId="5CA5EEBC" w14:textId="11301E5A" w:rsidR="001059DC" w:rsidRPr="00C03235" w:rsidRDefault="00B50B3D" w:rsidP="00EA339D">
            <w:pPr>
              <w:jc w:val="center"/>
              <w:rPr>
                <w:b/>
                <w:bCs/>
                <w:i/>
                <w:iCs/>
                <w:sz w:val="22"/>
                <w:szCs w:val="22"/>
              </w:rPr>
            </w:pPr>
            <w:r w:rsidRPr="00C03235">
              <w:rPr>
                <w:b/>
                <w:bCs/>
                <w:i/>
                <w:iCs/>
                <w:sz w:val="22"/>
                <w:szCs w:val="22"/>
              </w:rPr>
              <w:t>Costos de administración, operación y mantenimiento ($/kWh)</w:t>
            </w:r>
          </w:p>
        </w:tc>
      </w:tr>
      <w:tr w:rsidR="001059DC" w:rsidRPr="00C03235" w14:paraId="444CFF87" w14:textId="77777777" w:rsidTr="002F5088">
        <w:trPr>
          <w:jc w:val="center"/>
        </w:trPr>
        <w:tc>
          <w:tcPr>
            <w:tcW w:w="3826" w:type="dxa"/>
            <w:vAlign w:val="center"/>
          </w:tcPr>
          <w:p w14:paraId="581808C5" w14:textId="77777777" w:rsidR="0041673D" w:rsidRPr="00C03235" w:rsidRDefault="0041673D" w:rsidP="0021783D">
            <w:pPr>
              <w:jc w:val="center"/>
              <w:rPr>
                <w:i/>
                <w:iCs/>
                <w:sz w:val="22"/>
                <w:szCs w:val="22"/>
              </w:rPr>
            </w:pPr>
            <w:r w:rsidRPr="00C03235">
              <w:rPr>
                <w:i/>
                <w:iCs/>
                <w:sz w:val="22"/>
                <w:szCs w:val="22"/>
              </w:rPr>
              <w:t>Solar fotovoltaico con alimentación</w:t>
            </w:r>
          </w:p>
          <w:p w14:paraId="6378DE40" w14:textId="2D154349" w:rsidR="001059DC" w:rsidRPr="00C03235" w:rsidRDefault="0041673D" w:rsidP="0021783D">
            <w:pPr>
              <w:jc w:val="center"/>
              <w:rPr>
                <w:i/>
                <w:iCs/>
                <w:sz w:val="22"/>
                <w:szCs w:val="22"/>
              </w:rPr>
            </w:pPr>
            <w:r w:rsidRPr="00C03235">
              <w:rPr>
                <w:i/>
                <w:iCs/>
                <w:sz w:val="22"/>
                <w:szCs w:val="22"/>
              </w:rPr>
              <w:t>directa a red</w:t>
            </w:r>
          </w:p>
        </w:tc>
        <w:tc>
          <w:tcPr>
            <w:tcW w:w="3682" w:type="dxa"/>
            <w:vAlign w:val="center"/>
          </w:tcPr>
          <w:p w14:paraId="2EF33BE1" w14:textId="69C0D827" w:rsidR="001059DC" w:rsidRPr="00C03235" w:rsidRDefault="004672A5" w:rsidP="00EA339D">
            <w:pPr>
              <w:jc w:val="center"/>
              <w:rPr>
                <w:i/>
                <w:iCs/>
                <w:sz w:val="22"/>
                <w:szCs w:val="22"/>
              </w:rPr>
            </w:pPr>
            <w:r w:rsidRPr="00C03235">
              <w:rPr>
                <w:i/>
                <w:iCs/>
                <w:sz w:val="22"/>
                <w:szCs w:val="22"/>
              </w:rPr>
              <w:t>2.158,65</w:t>
            </w:r>
          </w:p>
        </w:tc>
      </w:tr>
      <w:tr w:rsidR="001059DC" w:rsidRPr="00C03235" w14:paraId="0FF17BA8" w14:textId="77777777" w:rsidTr="002F5088">
        <w:trPr>
          <w:jc w:val="center"/>
        </w:trPr>
        <w:tc>
          <w:tcPr>
            <w:tcW w:w="3826" w:type="dxa"/>
            <w:vAlign w:val="center"/>
          </w:tcPr>
          <w:p w14:paraId="58F3C13F" w14:textId="49A46ADF" w:rsidR="001059DC" w:rsidRPr="00C03235" w:rsidRDefault="009A7C51" w:rsidP="0021783D">
            <w:pPr>
              <w:jc w:val="center"/>
              <w:rPr>
                <w:i/>
                <w:iCs/>
                <w:sz w:val="22"/>
                <w:szCs w:val="22"/>
              </w:rPr>
            </w:pPr>
            <w:r w:rsidRPr="00C03235">
              <w:rPr>
                <w:i/>
                <w:iCs/>
                <w:sz w:val="22"/>
                <w:szCs w:val="22"/>
              </w:rPr>
              <w:t>Acumulación de recurso solar fotovoltaico</w:t>
            </w:r>
          </w:p>
        </w:tc>
        <w:tc>
          <w:tcPr>
            <w:tcW w:w="3682" w:type="dxa"/>
            <w:vAlign w:val="center"/>
          </w:tcPr>
          <w:p w14:paraId="1A497A9C" w14:textId="5C4164EA" w:rsidR="001059DC" w:rsidRPr="00C03235" w:rsidRDefault="00E271E5" w:rsidP="00EA339D">
            <w:pPr>
              <w:jc w:val="center"/>
              <w:rPr>
                <w:i/>
                <w:iCs/>
                <w:sz w:val="22"/>
                <w:szCs w:val="22"/>
              </w:rPr>
            </w:pPr>
            <w:r w:rsidRPr="00C03235">
              <w:rPr>
                <w:i/>
                <w:iCs/>
                <w:sz w:val="22"/>
                <w:szCs w:val="22"/>
              </w:rPr>
              <w:t>2.158,65</w:t>
            </w:r>
          </w:p>
        </w:tc>
      </w:tr>
      <w:tr w:rsidR="001059DC" w:rsidRPr="00C03235" w14:paraId="6991D489" w14:textId="77777777" w:rsidTr="002F5088">
        <w:trPr>
          <w:jc w:val="center"/>
        </w:trPr>
        <w:tc>
          <w:tcPr>
            <w:tcW w:w="3826" w:type="dxa"/>
            <w:vAlign w:val="center"/>
          </w:tcPr>
          <w:p w14:paraId="3E218C5C" w14:textId="3886B06B" w:rsidR="001059DC" w:rsidRPr="00C03235" w:rsidRDefault="00E73420" w:rsidP="0021783D">
            <w:pPr>
              <w:jc w:val="center"/>
              <w:rPr>
                <w:i/>
                <w:iCs/>
                <w:sz w:val="22"/>
                <w:szCs w:val="22"/>
              </w:rPr>
            </w:pPr>
            <w:r w:rsidRPr="00C03235">
              <w:rPr>
                <w:i/>
                <w:iCs/>
                <w:sz w:val="22"/>
                <w:szCs w:val="22"/>
              </w:rPr>
              <w:t>Diesel</w:t>
            </w:r>
          </w:p>
        </w:tc>
        <w:tc>
          <w:tcPr>
            <w:tcW w:w="3682" w:type="dxa"/>
            <w:vAlign w:val="center"/>
          </w:tcPr>
          <w:p w14:paraId="28128555" w14:textId="5BF6174A" w:rsidR="001059DC" w:rsidRPr="00C03235" w:rsidRDefault="007F0836" w:rsidP="0021783D">
            <w:pPr>
              <w:jc w:val="center"/>
              <w:rPr>
                <w:i/>
                <w:iCs/>
                <w:sz w:val="22"/>
                <w:szCs w:val="22"/>
              </w:rPr>
            </w:pPr>
            <w:r w:rsidRPr="00C03235">
              <w:rPr>
                <w:i/>
                <w:iCs/>
                <w:sz w:val="22"/>
                <w:szCs w:val="22"/>
              </w:rPr>
              <w:t>Según lo previsto en la Resolución CREG 091 de 2007, modificada mediante resolución CREG 057 de 2009</w:t>
            </w:r>
          </w:p>
        </w:tc>
      </w:tr>
    </w:tbl>
    <w:p w14:paraId="2F661DF2" w14:textId="77777777" w:rsidR="001059DC" w:rsidRPr="00C03235" w:rsidRDefault="001059DC" w:rsidP="002F5088">
      <w:pPr>
        <w:ind w:left="284"/>
        <w:jc w:val="both"/>
        <w:rPr>
          <w:i/>
          <w:iCs/>
          <w:sz w:val="22"/>
          <w:szCs w:val="22"/>
        </w:rPr>
      </w:pPr>
    </w:p>
    <w:p w14:paraId="670F5E41" w14:textId="49164E9D" w:rsidR="00B53F43" w:rsidRPr="00C03235" w:rsidRDefault="00E02097" w:rsidP="002F5088">
      <w:pPr>
        <w:ind w:left="284"/>
        <w:jc w:val="both"/>
        <w:rPr>
          <w:sz w:val="22"/>
          <w:szCs w:val="22"/>
        </w:rPr>
      </w:pPr>
      <w:r w:rsidRPr="00C03235">
        <w:rPr>
          <w:i/>
          <w:iCs/>
          <w:sz w:val="22"/>
          <w:szCs w:val="22"/>
        </w:rPr>
        <w:t>• Corregir la variable (β) utilizada en la fórmula de actualización del artículo 2 de la resolución impugnada, en el sentido de ajustarla al valor de 0.8375, derivado de la correcta aplicación, según lo soportado en la Memoria de Cálculo Cargo Nazareth Ajustada”</w:t>
      </w:r>
      <w:r w:rsidR="00F93BB7" w:rsidRPr="00C03235">
        <w:rPr>
          <w:sz w:val="22"/>
          <w:szCs w:val="22"/>
        </w:rPr>
        <w:t>.</w:t>
      </w:r>
    </w:p>
    <w:p w14:paraId="56E10939" w14:textId="77777777" w:rsidR="00DB234D" w:rsidRPr="00C03235" w:rsidRDefault="00DB234D" w:rsidP="00DB234D">
      <w:pPr>
        <w:jc w:val="both"/>
        <w:rPr>
          <w:sz w:val="22"/>
          <w:szCs w:val="22"/>
        </w:rPr>
      </w:pPr>
    </w:p>
    <w:p w14:paraId="20FDD89A" w14:textId="32D34151" w:rsidR="00DB234D" w:rsidRPr="00C03235" w:rsidRDefault="3BEEE29F" w:rsidP="00DB234D">
      <w:pPr>
        <w:jc w:val="both"/>
        <w:rPr>
          <w:sz w:val="22"/>
          <w:szCs w:val="22"/>
        </w:rPr>
      </w:pPr>
      <w:r w:rsidRPr="00C03235">
        <w:rPr>
          <w:sz w:val="22"/>
          <w:szCs w:val="22"/>
        </w:rPr>
        <w:t>Adicionalmente</w:t>
      </w:r>
      <w:r w:rsidR="546292E7" w:rsidRPr="00C03235">
        <w:rPr>
          <w:sz w:val="22"/>
          <w:szCs w:val="22"/>
        </w:rPr>
        <w:t>,</w:t>
      </w:r>
      <w:r w:rsidRPr="00C03235">
        <w:rPr>
          <w:sz w:val="22"/>
          <w:szCs w:val="22"/>
        </w:rPr>
        <w:t xml:space="preserve"> mediante el radicado </w:t>
      </w:r>
      <w:r w:rsidR="703C626B" w:rsidRPr="00C03235">
        <w:t>CREG E2023020941</w:t>
      </w:r>
      <w:r w:rsidRPr="00C03235">
        <w:rPr>
          <w:sz w:val="22"/>
          <w:szCs w:val="22"/>
        </w:rPr>
        <w:t xml:space="preserve"> HELIOS señal</w:t>
      </w:r>
      <w:r w:rsidR="4FC701B6" w:rsidRPr="00C03235">
        <w:rPr>
          <w:sz w:val="22"/>
          <w:szCs w:val="22"/>
        </w:rPr>
        <w:t>ó</w:t>
      </w:r>
      <w:r w:rsidR="544216F2" w:rsidRPr="00C03235">
        <w:rPr>
          <w:sz w:val="22"/>
          <w:szCs w:val="22"/>
        </w:rPr>
        <w:t>:</w:t>
      </w:r>
    </w:p>
    <w:p w14:paraId="10292E25" w14:textId="77777777" w:rsidR="00696278" w:rsidRPr="00C03235" w:rsidRDefault="00696278" w:rsidP="00DB234D">
      <w:pPr>
        <w:jc w:val="both"/>
        <w:rPr>
          <w:sz w:val="22"/>
          <w:szCs w:val="22"/>
        </w:rPr>
      </w:pPr>
    </w:p>
    <w:p w14:paraId="5C9ED9A5" w14:textId="77777777" w:rsidR="00696278" w:rsidRPr="00C03235" w:rsidRDefault="00696278" w:rsidP="005828E3">
      <w:pPr>
        <w:ind w:left="284"/>
        <w:jc w:val="both"/>
        <w:rPr>
          <w:i/>
          <w:iCs/>
          <w:sz w:val="22"/>
          <w:szCs w:val="22"/>
        </w:rPr>
      </w:pPr>
      <w:r w:rsidRPr="00C03235">
        <w:rPr>
          <w:i/>
          <w:iCs/>
          <w:sz w:val="22"/>
          <w:szCs w:val="22"/>
        </w:rPr>
        <w:t>“1. Aspectos generales sobre la idoneidad de utilizar el documento CREG 092 del 2019 para la definición de los cargos máximos de prestación del servicio en Nazareth.</w:t>
      </w:r>
    </w:p>
    <w:p w14:paraId="55106F13" w14:textId="6ECD66BB" w:rsidR="00696278" w:rsidRPr="00C03235" w:rsidRDefault="00696278" w:rsidP="005828E3">
      <w:pPr>
        <w:ind w:left="284"/>
        <w:jc w:val="both"/>
        <w:rPr>
          <w:i/>
          <w:iCs/>
          <w:sz w:val="22"/>
          <w:szCs w:val="22"/>
        </w:rPr>
      </w:pPr>
    </w:p>
    <w:p w14:paraId="2D3F6F58" w14:textId="328D027C" w:rsidR="00696278" w:rsidRPr="00C03235" w:rsidRDefault="544216F2" w:rsidP="00460143">
      <w:pPr>
        <w:ind w:left="284"/>
        <w:jc w:val="both"/>
        <w:rPr>
          <w:i/>
          <w:iCs/>
          <w:sz w:val="22"/>
          <w:szCs w:val="22"/>
        </w:rPr>
      </w:pPr>
      <w:r w:rsidRPr="00C03235">
        <w:rPr>
          <w:i/>
          <w:iCs/>
          <w:sz w:val="22"/>
          <w:szCs w:val="22"/>
        </w:rPr>
        <w:t>De manera general, debemos insistir en que se evidencia un número importante de factores económicos y operativos inherentes a la prestación del servicio en el municipio de Nazareth, que por definición no pueden ser extrapolados o extendidos, pari passu, con referencia a los cargos máximos para Unguía que se desarrollan en el documento CREG 092 de 2019. A continuación, destacamos sol</w:t>
      </w:r>
      <w:r w:rsidR="36ABD760" w:rsidRPr="00C03235">
        <w:rPr>
          <w:i/>
          <w:iCs/>
          <w:sz w:val="22"/>
          <w:szCs w:val="22"/>
        </w:rPr>
        <w:t>o</w:t>
      </w:r>
      <w:r w:rsidRPr="00C03235">
        <w:rPr>
          <w:i/>
          <w:iCs/>
          <w:sz w:val="22"/>
          <w:szCs w:val="22"/>
        </w:rPr>
        <w:t xml:space="preserve"> algunos de los que ya previamente mencionamos en la interposición del recurso de reposición que dio origen a la presente actuación administrativa:</w:t>
      </w:r>
    </w:p>
    <w:p w14:paraId="016538BA" w14:textId="77777777" w:rsidR="00696278" w:rsidRPr="00C03235" w:rsidRDefault="00696278" w:rsidP="00460143">
      <w:pPr>
        <w:ind w:left="284"/>
        <w:jc w:val="both"/>
        <w:rPr>
          <w:i/>
          <w:iCs/>
          <w:sz w:val="22"/>
          <w:szCs w:val="22"/>
        </w:rPr>
      </w:pPr>
    </w:p>
    <w:p w14:paraId="233DD89E" w14:textId="5844C3AC" w:rsidR="00696278" w:rsidRPr="00C03235" w:rsidRDefault="00696278" w:rsidP="00460143">
      <w:pPr>
        <w:ind w:left="284"/>
        <w:jc w:val="both"/>
        <w:rPr>
          <w:i/>
          <w:iCs/>
          <w:sz w:val="22"/>
          <w:szCs w:val="22"/>
        </w:rPr>
      </w:pPr>
      <w:r w:rsidRPr="00C03235">
        <w:rPr>
          <w:i/>
          <w:iCs/>
          <w:sz w:val="22"/>
          <w:szCs w:val="22"/>
        </w:rPr>
        <w:t>•</w:t>
      </w:r>
      <w:r w:rsidR="00FC6411" w:rsidRPr="00C03235">
        <w:rPr>
          <w:i/>
          <w:iCs/>
          <w:sz w:val="22"/>
          <w:szCs w:val="22"/>
        </w:rPr>
        <w:t xml:space="preserve"> </w:t>
      </w:r>
      <w:r w:rsidRPr="00C03235">
        <w:rPr>
          <w:i/>
          <w:iCs/>
          <w:sz w:val="22"/>
          <w:szCs w:val="22"/>
        </w:rPr>
        <w:t>Nazareth y Puerto Estrella carecen de las mismas condiciones de acceso logístico y transporte en comparación con el caso de Unguía, siendo condiciones mucho más precarias en el caso de Nazareth, lo cual aumenta los costos eficientes de operación de la infraestructura.</w:t>
      </w:r>
    </w:p>
    <w:p w14:paraId="16ABDCD9" w14:textId="160DF2FA" w:rsidR="00696278" w:rsidRPr="00C03235" w:rsidRDefault="00696278" w:rsidP="00460143">
      <w:pPr>
        <w:ind w:left="284"/>
        <w:jc w:val="both"/>
        <w:rPr>
          <w:i/>
          <w:iCs/>
          <w:sz w:val="22"/>
          <w:szCs w:val="22"/>
        </w:rPr>
      </w:pPr>
      <w:r w:rsidRPr="00C03235">
        <w:rPr>
          <w:i/>
          <w:iCs/>
          <w:sz w:val="22"/>
          <w:szCs w:val="22"/>
        </w:rPr>
        <w:t>•</w:t>
      </w:r>
      <w:r w:rsidR="00FC6411" w:rsidRPr="00C03235">
        <w:rPr>
          <w:i/>
          <w:iCs/>
          <w:sz w:val="22"/>
          <w:szCs w:val="22"/>
        </w:rPr>
        <w:t xml:space="preserve"> </w:t>
      </w:r>
      <w:r w:rsidRPr="00C03235">
        <w:rPr>
          <w:i/>
          <w:iCs/>
          <w:sz w:val="22"/>
          <w:szCs w:val="22"/>
        </w:rPr>
        <w:t>No existe en el mercado de transporte de combustibles nacional una sola empresa con interés comercial en proveer servicio de transporte de combustible hasta la subestación de Nazareth.</w:t>
      </w:r>
    </w:p>
    <w:p w14:paraId="5A443FB1" w14:textId="372A58D0" w:rsidR="00696278" w:rsidRPr="00C03235" w:rsidRDefault="00696278" w:rsidP="00460143">
      <w:pPr>
        <w:ind w:left="284"/>
        <w:jc w:val="both"/>
        <w:rPr>
          <w:i/>
          <w:iCs/>
          <w:sz w:val="22"/>
          <w:szCs w:val="22"/>
        </w:rPr>
      </w:pPr>
      <w:r w:rsidRPr="00C03235">
        <w:rPr>
          <w:i/>
          <w:iCs/>
          <w:sz w:val="22"/>
          <w:szCs w:val="22"/>
        </w:rPr>
        <w:t>•</w:t>
      </w:r>
      <w:r w:rsidR="00FC6411" w:rsidRPr="00C03235">
        <w:rPr>
          <w:i/>
          <w:iCs/>
          <w:sz w:val="22"/>
          <w:szCs w:val="22"/>
        </w:rPr>
        <w:t xml:space="preserve"> </w:t>
      </w:r>
      <w:r w:rsidRPr="00C03235">
        <w:rPr>
          <w:i/>
          <w:iCs/>
          <w:sz w:val="22"/>
          <w:szCs w:val="22"/>
        </w:rPr>
        <w:t>El operador debe asumir también el costo y los riesgos de transportar el combustible con personas particulares que prestan el servicio en condiciones que son enteramente compatibles con el cumplimiento de las normas regulatorias y de seguridad en transporte de este tipo de fluidos, acrecentando los riesgos inherentes y sus costos.</w:t>
      </w:r>
    </w:p>
    <w:p w14:paraId="074C5D1B" w14:textId="18F1390E" w:rsidR="00696278" w:rsidRPr="00C03235" w:rsidRDefault="544216F2" w:rsidP="00460143">
      <w:pPr>
        <w:ind w:left="284"/>
        <w:jc w:val="both"/>
        <w:rPr>
          <w:i/>
          <w:iCs/>
          <w:sz w:val="22"/>
          <w:szCs w:val="22"/>
        </w:rPr>
      </w:pPr>
      <w:r w:rsidRPr="00C03235">
        <w:rPr>
          <w:i/>
          <w:iCs/>
          <w:sz w:val="22"/>
          <w:szCs w:val="22"/>
        </w:rPr>
        <w:t>•</w:t>
      </w:r>
      <w:r w:rsidR="0DA3FBCF" w:rsidRPr="00C03235">
        <w:rPr>
          <w:i/>
          <w:iCs/>
          <w:sz w:val="22"/>
          <w:szCs w:val="22"/>
        </w:rPr>
        <w:t xml:space="preserve"> </w:t>
      </w:r>
      <w:r w:rsidR="2B24382F" w:rsidRPr="00C03235">
        <w:rPr>
          <w:i/>
          <w:iCs/>
          <w:sz w:val="22"/>
          <w:szCs w:val="22"/>
        </w:rPr>
        <w:t>L</w:t>
      </w:r>
      <w:r w:rsidRPr="00C03235">
        <w:rPr>
          <w:i/>
          <w:iCs/>
          <w:sz w:val="22"/>
          <w:szCs w:val="22"/>
        </w:rPr>
        <w:t>a zona en la cual se presta el servicio se encuentra impactada gravemente por el conflicto armado, aunando un incremento significativo en costos asociados al transporte y operación de la infraestructura en sitio, con el fin de permitir el acceso del personal a la zona entre otros.</w:t>
      </w:r>
    </w:p>
    <w:p w14:paraId="179C90E7" w14:textId="77777777" w:rsidR="00696278" w:rsidRPr="00C03235" w:rsidRDefault="00696278" w:rsidP="00460143">
      <w:pPr>
        <w:ind w:left="284"/>
        <w:jc w:val="both"/>
        <w:rPr>
          <w:i/>
          <w:iCs/>
          <w:sz w:val="22"/>
          <w:szCs w:val="22"/>
        </w:rPr>
      </w:pPr>
    </w:p>
    <w:p w14:paraId="6C6FBB51" w14:textId="3D6812AE" w:rsidR="00696278" w:rsidRPr="00C03235" w:rsidRDefault="544216F2" w:rsidP="00460143">
      <w:pPr>
        <w:ind w:left="284"/>
        <w:jc w:val="both"/>
        <w:rPr>
          <w:i/>
          <w:iCs/>
          <w:sz w:val="22"/>
          <w:szCs w:val="22"/>
        </w:rPr>
      </w:pPr>
      <w:r w:rsidRPr="00C03235">
        <w:rPr>
          <w:i/>
          <w:iCs/>
          <w:sz w:val="22"/>
          <w:szCs w:val="22"/>
        </w:rPr>
        <w:t>2. Sobre los parámetros y metodología utilizados en el documento CREG 092 de 2019</w:t>
      </w:r>
    </w:p>
    <w:p w14:paraId="1572049F" w14:textId="77777777" w:rsidR="00696278" w:rsidRPr="00C03235" w:rsidRDefault="00696278" w:rsidP="00460143">
      <w:pPr>
        <w:ind w:left="284"/>
        <w:jc w:val="both"/>
        <w:rPr>
          <w:i/>
          <w:iCs/>
          <w:sz w:val="22"/>
          <w:szCs w:val="22"/>
        </w:rPr>
      </w:pPr>
    </w:p>
    <w:p w14:paraId="5227F458" w14:textId="1B7AAA85" w:rsidR="00696278" w:rsidRPr="00C03235" w:rsidRDefault="544216F2" w:rsidP="00460143">
      <w:pPr>
        <w:ind w:left="284"/>
        <w:jc w:val="both"/>
        <w:rPr>
          <w:i/>
          <w:iCs/>
          <w:sz w:val="22"/>
          <w:szCs w:val="22"/>
        </w:rPr>
      </w:pPr>
      <w:r w:rsidRPr="00C03235">
        <w:rPr>
          <w:i/>
          <w:iCs/>
          <w:sz w:val="22"/>
          <w:szCs w:val="22"/>
        </w:rPr>
        <w:t>Se realizó un análisis comparativo entre ambas instalaciones, esto es, entre Unguía y Nazareth, por lo cual, podemos determinar varios factores que son importantes para tener en cuenta en el cálculo</w:t>
      </w:r>
      <w:r w:rsidR="63B2306C" w:rsidRPr="00C03235">
        <w:rPr>
          <w:i/>
          <w:iCs/>
          <w:sz w:val="22"/>
          <w:szCs w:val="22"/>
        </w:rPr>
        <w:t xml:space="preserve"> de cargo</w:t>
      </w:r>
      <w:r w:rsidRPr="00C03235">
        <w:rPr>
          <w:i/>
          <w:iCs/>
          <w:sz w:val="22"/>
          <w:szCs w:val="22"/>
        </w:rPr>
        <w:t xml:space="preserve"> máximo de generación. Como se observa en la tabla 1, la cantidad de usuarios que demandan energía tiene una gran diferencia entre localidades por lo que se hace indispensable analizar la demanda de cada mercado relevante.</w:t>
      </w:r>
    </w:p>
    <w:p w14:paraId="61D5B0BA" w14:textId="77777777" w:rsidR="00696278" w:rsidRPr="00C03235" w:rsidRDefault="00696278" w:rsidP="00460143">
      <w:pPr>
        <w:ind w:left="284"/>
        <w:jc w:val="both"/>
        <w:rPr>
          <w:i/>
          <w:iCs/>
          <w:sz w:val="22"/>
          <w:szCs w:val="22"/>
        </w:rPr>
      </w:pPr>
    </w:p>
    <w:p w14:paraId="5DE9CAD3" w14:textId="77777777" w:rsidR="00696278" w:rsidRPr="00C03235" w:rsidRDefault="00696278" w:rsidP="00460143">
      <w:pPr>
        <w:ind w:left="284"/>
        <w:jc w:val="both"/>
        <w:rPr>
          <w:i/>
          <w:iCs/>
          <w:sz w:val="22"/>
          <w:szCs w:val="22"/>
        </w:rPr>
      </w:pPr>
      <w:r w:rsidRPr="00C03235">
        <w:rPr>
          <w:i/>
          <w:iCs/>
          <w:sz w:val="22"/>
          <w:szCs w:val="22"/>
        </w:rPr>
        <w:t>Este factor hace incomparables los mercados, la economía a pequeña escala tiene impacto directo en el comportamiento de la demanda, lo cual se traduce en marcadas diferencias en los costos de energía para los clientes entre distintas localidades.</w:t>
      </w:r>
    </w:p>
    <w:p w14:paraId="6D16F922" w14:textId="77777777" w:rsidR="00696278" w:rsidRPr="00C03235" w:rsidRDefault="00696278" w:rsidP="00460143">
      <w:pPr>
        <w:ind w:left="284"/>
        <w:jc w:val="both"/>
        <w:rPr>
          <w:i/>
          <w:iCs/>
          <w:sz w:val="22"/>
          <w:szCs w:val="22"/>
        </w:rPr>
      </w:pPr>
    </w:p>
    <w:p w14:paraId="2560908E" w14:textId="77777777" w:rsidR="00696278" w:rsidRPr="00C03235" w:rsidRDefault="00696278" w:rsidP="00460143">
      <w:pPr>
        <w:ind w:left="284"/>
        <w:jc w:val="both"/>
        <w:rPr>
          <w:i/>
          <w:iCs/>
          <w:sz w:val="22"/>
          <w:szCs w:val="22"/>
        </w:rPr>
      </w:pPr>
      <w:r w:rsidRPr="00C03235">
        <w:rPr>
          <w:i/>
          <w:iCs/>
          <w:sz w:val="22"/>
          <w:szCs w:val="22"/>
        </w:rPr>
        <w:t>Esta comparación está realizada con la situación actual de la empresa ESPUN, sin tener en cuenta la proyección de la demanda que estiman que pase de los 7.488Kwh/día a 14.397Kwh/día con la entrada del parque solar y las baterías, lo que afianza lo incomparables que son estos dos mercados.</w:t>
      </w:r>
    </w:p>
    <w:p w14:paraId="04964D2A" w14:textId="77777777" w:rsidR="00696278" w:rsidRPr="00C03235" w:rsidRDefault="00696278" w:rsidP="00460143">
      <w:pPr>
        <w:ind w:left="284"/>
        <w:jc w:val="both"/>
        <w:rPr>
          <w:i/>
          <w:iCs/>
          <w:sz w:val="22"/>
          <w:szCs w:val="22"/>
        </w:rPr>
      </w:pPr>
    </w:p>
    <w:p w14:paraId="151AF2DE" w14:textId="51EE71E9" w:rsidR="00696278" w:rsidRPr="00C03235" w:rsidRDefault="544216F2" w:rsidP="00460143">
      <w:pPr>
        <w:ind w:left="284"/>
        <w:jc w:val="both"/>
        <w:rPr>
          <w:i/>
          <w:iCs/>
          <w:sz w:val="22"/>
          <w:szCs w:val="22"/>
        </w:rPr>
      </w:pPr>
      <w:r w:rsidRPr="00C03235">
        <w:rPr>
          <w:i/>
          <w:iCs/>
          <w:sz w:val="22"/>
          <w:szCs w:val="22"/>
        </w:rPr>
        <w:t>Con base en la diferencia de la demanda, es indispensable para nuestra operación en Nazareth – Uribia – Guajira tener en cuenta que la poca demanda que manejamos no hace eficiente nuestra gestión. Por l</w:t>
      </w:r>
      <w:r w:rsidR="15AE3921" w:rsidRPr="00C03235">
        <w:rPr>
          <w:i/>
          <w:iCs/>
          <w:sz w:val="22"/>
          <w:szCs w:val="22"/>
        </w:rPr>
        <w:t>o</w:t>
      </w:r>
      <w:r w:rsidRPr="00C03235">
        <w:rPr>
          <w:i/>
          <w:iCs/>
          <w:sz w:val="22"/>
          <w:szCs w:val="22"/>
        </w:rPr>
        <w:t xml:space="preserve"> cual, si utilizamos los valores que se reportan en esta asignación tarifaria no alcanza a cubrir nuestros AOM, sin considerar que enfrentamos particularidades por la ubicación geográfica de la comunidad y adicionalmente, no tenemos remuneración por inversión.</w:t>
      </w:r>
    </w:p>
    <w:p w14:paraId="45E3E160" w14:textId="77777777" w:rsidR="00696278" w:rsidRPr="00C03235" w:rsidRDefault="00696278" w:rsidP="00460143">
      <w:pPr>
        <w:ind w:left="284"/>
        <w:jc w:val="both"/>
        <w:rPr>
          <w:i/>
          <w:iCs/>
          <w:sz w:val="22"/>
          <w:szCs w:val="22"/>
        </w:rPr>
      </w:pPr>
    </w:p>
    <w:p w14:paraId="5249F897" w14:textId="1E37C66F" w:rsidR="00696278" w:rsidRPr="00C03235" w:rsidRDefault="003F542A" w:rsidP="0038222B">
      <w:pPr>
        <w:ind w:left="284"/>
        <w:jc w:val="center"/>
        <w:rPr>
          <w:i/>
          <w:iCs/>
          <w:sz w:val="22"/>
          <w:szCs w:val="22"/>
        </w:rPr>
      </w:pPr>
      <w:r w:rsidRPr="00C03235">
        <w:rPr>
          <w:i/>
          <w:iCs/>
          <w:noProof/>
          <w:sz w:val="22"/>
          <w:szCs w:val="22"/>
        </w:rPr>
        <w:lastRenderedPageBreak/>
        <w:drawing>
          <wp:inline distT="0" distB="0" distL="0" distR="0" wp14:anchorId="04E132D5" wp14:editId="54B7DF54">
            <wp:extent cx="3999676" cy="1595313"/>
            <wp:effectExtent l="0" t="0" r="1270" b="5080"/>
            <wp:docPr id="564232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32026" name=""/>
                    <pic:cNvPicPr/>
                  </pic:nvPicPr>
                  <pic:blipFill>
                    <a:blip r:embed="rId13"/>
                    <a:stretch>
                      <a:fillRect/>
                    </a:stretch>
                  </pic:blipFill>
                  <pic:spPr>
                    <a:xfrm>
                      <a:off x="0" y="0"/>
                      <a:ext cx="4017263" cy="1602328"/>
                    </a:xfrm>
                    <a:prstGeom prst="rect">
                      <a:avLst/>
                    </a:prstGeom>
                  </pic:spPr>
                </pic:pic>
              </a:graphicData>
            </a:graphic>
          </wp:inline>
        </w:drawing>
      </w:r>
    </w:p>
    <w:p w14:paraId="7AD29517" w14:textId="77777777" w:rsidR="00696278" w:rsidRPr="00C03235" w:rsidRDefault="00696278" w:rsidP="0038222B">
      <w:pPr>
        <w:ind w:left="284"/>
        <w:jc w:val="center"/>
        <w:rPr>
          <w:i/>
          <w:iCs/>
          <w:sz w:val="22"/>
          <w:szCs w:val="22"/>
        </w:rPr>
      </w:pPr>
      <w:r w:rsidRPr="00C03235">
        <w:rPr>
          <w:i/>
          <w:iCs/>
          <w:sz w:val="22"/>
          <w:szCs w:val="22"/>
        </w:rPr>
        <w:t>Tabla 1. Comparación de las instalaciones y compartimiento de la demanda</w:t>
      </w:r>
    </w:p>
    <w:p w14:paraId="7BAE8432" w14:textId="77777777" w:rsidR="00696278" w:rsidRPr="00C03235" w:rsidRDefault="00696278" w:rsidP="00F35536">
      <w:pPr>
        <w:ind w:left="284"/>
        <w:jc w:val="both"/>
        <w:rPr>
          <w:i/>
          <w:iCs/>
          <w:sz w:val="22"/>
          <w:szCs w:val="22"/>
        </w:rPr>
      </w:pPr>
    </w:p>
    <w:p w14:paraId="71126148" w14:textId="77777777" w:rsidR="00696278" w:rsidRPr="00C03235" w:rsidRDefault="00696278" w:rsidP="00F35536">
      <w:pPr>
        <w:ind w:left="284"/>
        <w:jc w:val="both"/>
        <w:rPr>
          <w:i/>
          <w:iCs/>
          <w:sz w:val="22"/>
          <w:szCs w:val="22"/>
        </w:rPr>
      </w:pPr>
      <w:r w:rsidRPr="00C03235">
        <w:rPr>
          <w:i/>
          <w:iCs/>
          <w:sz w:val="22"/>
          <w:szCs w:val="22"/>
        </w:rPr>
        <w:t>2.1. Cálculo del Cargo Máximo de generación del parque de generación actual.</w:t>
      </w:r>
    </w:p>
    <w:p w14:paraId="692AEF61" w14:textId="77777777" w:rsidR="00696278" w:rsidRPr="00C03235" w:rsidRDefault="00696278" w:rsidP="00F35536">
      <w:pPr>
        <w:ind w:left="284"/>
        <w:jc w:val="both"/>
        <w:rPr>
          <w:i/>
          <w:iCs/>
          <w:sz w:val="22"/>
          <w:szCs w:val="22"/>
        </w:rPr>
      </w:pPr>
    </w:p>
    <w:p w14:paraId="2F2E4F8E" w14:textId="77777777" w:rsidR="00696278" w:rsidRPr="00C03235" w:rsidRDefault="00696278" w:rsidP="00F35536">
      <w:pPr>
        <w:ind w:left="284"/>
        <w:jc w:val="both"/>
        <w:rPr>
          <w:i/>
          <w:iCs/>
          <w:sz w:val="22"/>
          <w:szCs w:val="22"/>
        </w:rPr>
      </w:pPr>
      <w:r w:rsidRPr="00C03235">
        <w:rPr>
          <w:i/>
          <w:iCs/>
          <w:sz w:val="22"/>
          <w:szCs w:val="22"/>
        </w:rPr>
        <w:t>Sobre el punto, no se enviaron los anexos correspondientes para poder analizar y comparar los valores que involucra directamente el cálculo de la generación.</w:t>
      </w:r>
    </w:p>
    <w:p w14:paraId="1EAEC2F8" w14:textId="77777777" w:rsidR="00696278" w:rsidRPr="00C03235" w:rsidRDefault="00696278" w:rsidP="00F35536">
      <w:pPr>
        <w:ind w:left="284"/>
        <w:jc w:val="both"/>
        <w:rPr>
          <w:i/>
          <w:iCs/>
          <w:sz w:val="22"/>
          <w:szCs w:val="22"/>
        </w:rPr>
      </w:pPr>
    </w:p>
    <w:p w14:paraId="317A6967" w14:textId="1FDF2A4C" w:rsidR="00696278" w:rsidRPr="00C03235" w:rsidRDefault="00ED0B4B" w:rsidP="00F615A7">
      <w:pPr>
        <w:ind w:left="284"/>
        <w:jc w:val="center"/>
        <w:rPr>
          <w:i/>
          <w:iCs/>
          <w:sz w:val="22"/>
          <w:szCs w:val="22"/>
        </w:rPr>
      </w:pPr>
      <w:r w:rsidRPr="00C03235">
        <w:rPr>
          <w:i/>
          <w:iCs/>
          <w:noProof/>
          <w:sz w:val="22"/>
          <w:szCs w:val="22"/>
        </w:rPr>
        <w:drawing>
          <wp:inline distT="0" distB="0" distL="0" distR="0" wp14:anchorId="45329F12" wp14:editId="5E5DBD9C">
            <wp:extent cx="5325533" cy="1589805"/>
            <wp:effectExtent l="0" t="0" r="0" b="0"/>
            <wp:docPr id="1836334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34699" name=""/>
                    <pic:cNvPicPr/>
                  </pic:nvPicPr>
                  <pic:blipFill>
                    <a:blip r:embed="rId14"/>
                    <a:stretch>
                      <a:fillRect/>
                    </a:stretch>
                  </pic:blipFill>
                  <pic:spPr>
                    <a:xfrm>
                      <a:off x="0" y="0"/>
                      <a:ext cx="5331199" cy="1591496"/>
                    </a:xfrm>
                    <a:prstGeom prst="rect">
                      <a:avLst/>
                    </a:prstGeom>
                  </pic:spPr>
                </pic:pic>
              </a:graphicData>
            </a:graphic>
          </wp:inline>
        </w:drawing>
      </w:r>
    </w:p>
    <w:p w14:paraId="402A6EEF" w14:textId="77777777" w:rsidR="00696278" w:rsidRPr="00C03235" w:rsidRDefault="00696278" w:rsidP="00F615A7">
      <w:pPr>
        <w:ind w:left="284"/>
        <w:jc w:val="center"/>
        <w:rPr>
          <w:i/>
          <w:iCs/>
          <w:sz w:val="22"/>
          <w:szCs w:val="22"/>
        </w:rPr>
      </w:pPr>
      <w:r w:rsidRPr="00C03235">
        <w:rPr>
          <w:i/>
          <w:iCs/>
          <w:sz w:val="22"/>
          <w:szCs w:val="22"/>
        </w:rPr>
        <w:t>Tabla 2. Resultado del cálculo de la componente de Generación</w:t>
      </w:r>
    </w:p>
    <w:p w14:paraId="36EE8A7C" w14:textId="77777777" w:rsidR="00696278" w:rsidRPr="00C03235" w:rsidRDefault="00696278" w:rsidP="00901884">
      <w:pPr>
        <w:ind w:left="284"/>
        <w:jc w:val="both"/>
        <w:rPr>
          <w:i/>
          <w:iCs/>
          <w:sz w:val="22"/>
          <w:szCs w:val="22"/>
        </w:rPr>
      </w:pPr>
    </w:p>
    <w:p w14:paraId="784391B5" w14:textId="77777777" w:rsidR="00696278" w:rsidRPr="00C03235" w:rsidRDefault="00696278" w:rsidP="00901884">
      <w:pPr>
        <w:ind w:left="284"/>
        <w:jc w:val="both"/>
        <w:rPr>
          <w:i/>
          <w:iCs/>
          <w:sz w:val="22"/>
          <w:szCs w:val="22"/>
        </w:rPr>
      </w:pPr>
      <w:r w:rsidRPr="00C03235">
        <w:rPr>
          <w:i/>
          <w:iCs/>
          <w:sz w:val="22"/>
          <w:szCs w:val="22"/>
        </w:rPr>
        <w:t>2.2 Características técnicas del proyecto presentado.</w:t>
      </w:r>
    </w:p>
    <w:p w14:paraId="5339C4B7" w14:textId="6DA505FE" w:rsidR="00696278" w:rsidRPr="00C03235" w:rsidRDefault="00696278" w:rsidP="00901884">
      <w:pPr>
        <w:ind w:left="284"/>
        <w:jc w:val="both"/>
        <w:rPr>
          <w:i/>
          <w:iCs/>
          <w:sz w:val="22"/>
          <w:szCs w:val="22"/>
        </w:rPr>
      </w:pPr>
    </w:p>
    <w:p w14:paraId="759F5516" w14:textId="09B617ED" w:rsidR="00696278" w:rsidRPr="00C03235" w:rsidRDefault="544216F2" w:rsidP="00901884">
      <w:pPr>
        <w:ind w:left="284"/>
        <w:jc w:val="both"/>
        <w:rPr>
          <w:i/>
          <w:iCs/>
          <w:sz w:val="22"/>
          <w:szCs w:val="22"/>
        </w:rPr>
      </w:pPr>
      <w:r w:rsidRPr="00C03235">
        <w:rPr>
          <w:i/>
          <w:iCs/>
          <w:sz w:val="22"/>
          <w:szCs w:val="22"/>
        </w:rPr>
        <w:t>Como se mencionó anteriormente, la proyección de la demanda con la nueva instalación que presento la empresa ESPUN, la cual se relaciona en la tabla 3, muestra las características técnicas que superan nuestra capacidad de generación, facto</w:t>
      </w:r>
      <w:r w:rsidR="401D49F2" w:rsidRPr="00C03235">
        <w:rPr>
          <w:i/>
          <w:iCs/>
          <w:sz w:val="22"/>
          <w:szCs w:val="22"/>
        </w:rPr>
        <w:t>r</w:t>
      </w:r>
      <w:r w:rsidRPr="00C03235">
        <w:rPr>
          <w:i/>
          <w:iCs/>
          <w:sz w:val="22"/>
          <w:szCs w:val="22"/>
        </w:rPr>
        <w:t xml:space="preserve"> que es determinante para nuestra operación, el cual es muy limitada en la actualidad, esta desproporcionalidad no permite realizar una comparación muy acertada para dimensionar una tarifa que en este momento no tenemos y sin embargo, continuamos prestando nuestros servicio.</w:t>
      </w:r>
    </w:p>
    <w:p w14:paraId="2C13BA23" w14:textId="77777777" w:rsidR="00696278" w:rsidRPr="00C03235" w:rsidRDefault="00696278" w:rsidP="00901884">
      <w:pPr>
        <w:ind w:left="284"/>
        <w:jc w:val="both"/>
        <w:rPr>
          <w:i/>
          <w:iCs/>
          <w:sz w:val="22"/>
          <w:szCs w:val="22"/>
        </w:rPr>
      </w:pPr>
    </w:p>
    <w:p w14:paraId="6533E871" w14:textId="250C3A7E" w:rsidR="00ED0B4B" w:rsidRPr="00C03235" w:rsidRDefault="003F4862" w:rsidP="00DA1299">
      <w:pPr>
        <w:ind w:left="284"/>
        <w:jc w:val="center"/>
        <w:rPr>
          <w:i/>
          <w:iCs/>
          <w:sz w:val="22"/>
          <w:szCs w:val="22"/>
        </w:rPr>
      </w:pPr>
      <w:r w:rsidRPr="00C03235">
        <w:rPr>
          <w:i/>
          <w:iCs/>
          <w:noProof/>
          <w:sz w:val="22"/>
          <w:szCs w:val="22"/>
        </w:rPr>
        <w:drawing>
          <wp:inline distT="0" distB="0" distL="0" distR="0" wp14:anchorId="612CC72B" wp14:editId="71B35DDA">
            <wp:extent cx="4281594" cy="2545479"/>
            <wp:effectExtent l="0" t="0" r="5080" b="7620"/>
            <wp:docPr id="39793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3020" name=""/>
                    <pic:cNvPicPr/>
                  </pic:nvPicPr>
                  <pic:blipFill>
                    <a:blip r:embed="rId15"/>
                    <a:stretch>
                      <a:fillRect/>
                    </a:stretch>
                  </pic:blipFill>
                  <pic:spPr>
                    <a:xfrm>
                      <a:off x="0" y="0"/>
                      <a:ext cx="4285092" cy="2547558"/>
                    </a:xfrm>
                    <a:prstGeom prst="rect">
                      <a:avLst/>
                    </a:prstGeom>
                  </pic:spPr>
                </pic:pic>
              </a:graphicData>
            </a:graphic>
          </wp:inline>
        </w:drawing>
      </w:r>
    </w:p>
    <w:p w14:paraId="0F4AFB55" w14:textId="38C37295" w:rsidR="00696278" w:rsidRPr="00C03235" w:rsidRDefault="00696278" w:rsidP="00DA1299">
      <w:pPr>
        <w:ind w:left="284"/>
        <w:jc w:val="center"/>
        <w:rPr>
          <w:i/>
          <w:iCs/>
          <w:sz w:val="22"/>
          <w:szCs w:val="22"/>
        </w:rPr>
      </w:pPr>
      <w:r w:rsidRPr="00C03235">
        <w:rPr>
          <w:i/>
          <w:iCs/>
          <w:sz w:val="22"/>
          <w:szCs w:val="22"/>
        </w:rPr>
        <w:t>Tabla 3. Datos técnicos de la nueva planta de generación fotovoltaica.</w:t>
      </w:r>
    </w:p>
    <w:p w14:paraId="4A98B77B" w14:textId="77777777" w:rsidR="00696278" w:rsidRPr="00C03235" w:rsidRDefault="00696278" w:rsidP="00DA1299">
      <w:pPr>
        <w:ind w:left="284"/>
        <w:jc w:val="both"/>
        <w:rPr>
          <w:i/>
          <w:iCs/>
          <w:sz w:val="22"/>
          <w:szCs w:val="22"/>
        </w:rPr>
      </w:pPr>
    </w:p>
    <w:p w14:paraId="5FC3CE16" w14:textId="77777777" w:rsidR="00696278" w:rsidRPr="00C03235" w:rsidRDefault="00696278" w:rsidP="00DA1299">
      <w:pPr>
        <w:ind w:left="284"/>
        <w:jc w:val="both"/>
        <w:rPr>
          <w:i/>
          <w:iCs/>
          <w:sz w:val="22"/>
          <w:szCs w:val="22"/>
        </w:rPr>
      </w:pPr>
      <w:r w:rsidRPr="00C03235">
        <w:rPr>
          <w:i/>
          <w:iCs/>
          <w:sz w:val="22"/>
          <w:szCs w:val="22"/>
        </w:rPr>
        <w:lastRenderedPageBreak/>
        <w:t>3. Conclusiones y solicitudes.</w:t>
      </w:r>
    </w:p>
    <w:p w14:paraId="75C60B1D" w14:textId="77777777" w:rsidR="00696278" w:rsidRPr="00C03235" w:rsidRDefault="00696278" w:rsidP="00DA1299">
      <w:pPr>
        <w:ind w:left="284"/>
        <w:jc w:val="both"/>
        <w:rPr>
          <w:i/>
          <w:iCs/>
          <w:sz w:val="22"/>
          <w:szCs w:val="22"/>
        </w:rPr>
      </w:pPr>
    </w:p>
    <w:p w14:paraId="49A551AB" w14:textId="77777777" w:rsidR="00696278" w:rsidRPr="00C03235" w:rsidRDefault="00696278" w:rsidP="00DA1299">
      <w:pPr>
        <w:ind w:left="284"/>
        <w:jc w:val="both"/>
        <w:rPr>
          <w:i/>
          <w:iCs/>
          <w:sz w:val="22"/>
          <w:szCs w:val="22"/>
        </w:rPr>
      </w:pPr>
      <w:r w:rsidRPr="00C03235">
        <w:rPr>
          <w:i/>
          <w:iCs/>
          <w:sz w:val="22"/>
          <w:szCs w:val="22"/>
        </w:rPr>
        <w:t xml:space="preserve">Según lo evidenciado, no existen elementos suficientes que permitan definir la idoneidad del documento CREG 092 de 2019 para ser utilizado como base metodológica de cálculo de los cargos máximos en la prestación del servicio público domiciliario de energía eléctrica en Unguía. </w:t>
      </w:r>
    </w:p>
    <w:p w14:paraId="663AE9F5" w14:textId="77777777" w:rsidR="00696278" w:rsidRPr="00C03235" w:rsidRDefault="00696278" w:rsidP="00DA1299">
      <w:pPr>
        <w:ind w:left="284"/>
        <w:jc w:val="both"/>
        <w:rPr>
          <w:i/>
          <w:iCs/>
          <w:sz w:val="22"/>
          <w:szCs w:val="22"/>
        </w:rPr>
      </w:pPr>
    </w:p>
    <w:p w14:paraId="7D2E37DD" w14:textId="77777777" w:rsidR="00696278" w:rsidRPr="00C03235" w:rsidRDefault="00696278" w:rsidP="005828E3">
      <w:pPr>
        <w:ind w:left="284"/>
        <w:jc w:val="both"/>
        <w:rPr>
          <w:i/>
          <w:iCs/>
          <w:sz w:val="22"/>
          <w:szCs w:val="22"/>
        </w:rPr>
      </w:pPr>
      <w:r w:rsidRPr="00C03235">
        <w:rPr>
          <w:i/>
          <w:iCs/>
          <w:sz w:val="22"/>
          <w:szCs w:val="22"/>
        </w:rPr>
        <w:t>No podemos dejar de recordar a la CREG lo dispuesto en el artículo 87 de la ley 142 de 1994 incluyó en criterio de suficiencia financiera de la siguiente manera.</w:t>
      </w:r>
    </w:p>
    <w:p w14:paraId="71220DA5" w14:textId="77777777" w:rsidR="005828E3" w:rsidRPr="00C03235" w:rsidRDefault="005828E3" w:rsidP="005828E3">
      <w:pPr>
        <w:ind w:left="284"/>
        <w:jc w:val="both"/>
        <w:rPr>
          <w:i/>
          <w:iCs/>
          <w:sz w:val="22"/>
          <w:szCs w:val="22"/>
        </w:rPr>
      </w:pPr>
    </w:p>
    <w:p w14:paraId="42727697" w14:textId="77777777" w:rsidR="00696278" w:rsidRPr="00C03235" w:rsidRDefault="544216F2" w:rsidP="001669A6">
      <w:pPr>
        <w:ind w:left="567"/>
        <w:jc w:val="both"/>
        <w:rPr>
          <w:i/>
          <w:iCs/>
          <w:sz w:val="22"/>
          <w:szCs w:val="22"/>
        </w:rPr>
      </w:pPr>
      <w:r w:rsidRPr="00C03235">
        <w:rPr>
          <w:i/>
          <w:iCs/>
          <w:sz w:val="22"/>
          <w:szCs w:val="22"/>
        </w:rPr>
        <w:t>Artículo 87. Criterios para definir el régimen tarifario. El régimen tarifario estará orientado por los criterios de la eficiencia económica, neutralidad, solidaridad, redistribución, suficiencia financiera, simplicidad y transparencia.</w:t>
      </w:r>
    </w:p>
    <w:p w14:paraId="3C3C5E3D" w14:textId="77777777" w:rsidR="00696278" w:rsidRPr="00C03235" w:rsidRDefault="544216F2" w:rsidP="001669A6">
      <w:pPr>
        <w:ind w:left="567"/>
        <w:jc w:val="both"/>
        <w:rPr>
          <w:i/>
          <w:iCs/>
          <w:sz w:val="22"/>
          <w:szCs w:val="22"/>
        </w:rPr>
      </w:pPr>
      <w:r w:rsidRPr="00C03235">
        <w:rPr>
          <w:i/>
          <w:iCs/>
          <w:sz w:val="22"/>
          <w:szCs w:val="22"/>
        </w:rPr>
        <w:t>(…)</w:t>
      </w:r>
    </w:p>
    <w:p w14:paraId="72F82CC3" w14:textId="00078CB1" w:rsidR="00696278" w:rsidRPr="00C03235" w:rsidRDefault="00696278" w:rsidP="001669A6">
      <w:pPr>
        <w:ind w:left="567"/>
        <w:jc w:val="both"/>
        <w:rPr>
          <w:i/>
          <w:iCs/>
          <w:sz w:val="22"/>
          <w:szCs w:val="22"/>
        </w:rPr>
      </w:pPr>
    </w:p>
    <w:p w14:paraId="2E73EA2D" w14:textId="77777777" w:rsidR="00696278" w:rsidRPr="00C03235" w:rsidRDefault="544216F2" w:rsidP="001669A6">
      <w:pPr>
        <w:ind w:left="567"/>
        <w:jc w:val="both"/>
        <w:rPr>
          <w:i/>
          <w:iCs/>
          <w:sz w:val="22"/>
          <w:szCs w:val="22"/>
        </w:rPr>
      </w:pPr>
      <w:r w:rsidRPr="00C03235">
        <w:rPr>
          <w:i/>
          <w:iCs/>
          <w:sz w:val="22"/>
          <w:szCs w:val="22"/>
        </w:rPr>
        <w:t>87.4 Por suficiencia financiera se entiende que las fórmulas se entiende que las fórmulas tarifarias garantizarán la recuperación de los costos y gastos propios de la operación, incluyendo la expansión, la reposición y el mantenimiento; permitirán remunerar el patrimonio de los accionistas en la misma forma en la que se habría remunerado una empresa eficiente en un sector de riesgo comparable; y permitirán utilizar las tecnologías y sistemas administrativos que garanticen la mejor calidad, continuidad y seguridad a sus usuarios.</w:t>
      </w:r>
    </w:p>
    <w:p w14:paraId="0F6B3629" w14:textId="77777777" w:rsidR="00696278" w:rsidRPr="00C03235" w:rsidRDefault="00696278" w:rsidP="001669A6">
      <w:pPr>
        <w:ind w:left="284"/>
        <w:jc w:val="both"/>
        <w:rPr>
          <w:i/>
          <w:iCs/>
          <w:sz w:val="22"/>
          <w:szCs w:val="22"/>
        </w:rPr>
      </w:pPr>
    </w:p>
    <w:p w14:paraId="1F097732" w14:textId="77777777" w:rsidR="00696278" w:rsidRPr="00C03235" w:rsidRDefault="00696278" w:rsidP="001669A6">
      <w:pPr>
        <w:ind w:left="284"/>
        <w:jc w:val="both"/>
        <w:rPr>
          <w:i/>
          <w:iCs/>
          <w:sz w:val="22"/>
          <w:szCs w:val="22"/>
        </w:rPr>
      </w:pPr>
      <w:r w:rsidRPr="00C03235">
        <w:rPr>
          <w:i/>
          <w:iCs/>
          <w:sz w:val="22"/>
          <w:szCs w:val="22"/>
        </w:rPr>
        <w:t>Posteriormente, la Ley 143 de 1994 estableció en su artículo 44:</w:t>
      </w:r>
    </w:p>
    <w:p w14:paraId="492E8AC3" w14:textId="77777777" w:rsidR="00696278" w:rsidRPr="00C03235" w:rsidRDefault="00696278" w:rsidP="001669A6">
      <w:pPr>
        <w:ind w:left="284"/>
        <w:jc w:val="both"/>
        <w:rPr>
          <w:i/>
          <w:iCs/>
          <w:sz w:val="22"/>
          <w:szCs w:val="22"/>
        </w:rPr>
      </w:pPr>
    </w:p>
    <w:p w14:paraId="198E2D43" w14:textId="77777777" w:rsidR="00696278" w:rsidRPr="00C03235" w:rsidRDefault="544216F2" w:rsidP="001669A6">
      <w:pPr>
        <w:ind w:left="567"/>
        <w:jc w:val="both"/>
        <w:rPr>
          <w:i/>
          <w:iCs/>
          <w:sz w:val="22"/>
          <w:szCs w:val="22"/>
        </w:rPr>
      </w:pPr>
      <w:r w:rsidRPr="00C03235">
        <w:rPr>
          <w:i/>
          <w:iCs/>
          <w:sz w:val="22"/>
          <w:szCs w:val="22"/>
        </w:rPr>
        <w:t>El régimen tarifario para usuarios finales regulados de una misma empresa estará orientado por los criterios de eficiencia económica suficiencia financiera, neutralidad, solidaridad y redistribución del ingreso, simplicidad y transparencia.</w:t>
      </w:r>
    </w:p>
    <w:p w14:paraId="7E6B35AF" w14:textId="77777777" w:rsidR="00696278" w:rsidRPr="00C03235" w:rsidRDefault="544216F2" w:rsidP="001669A6">
      <w:pPr>
        <w:ind w:left="567"/>
        <w:jc w:val="both"/>
        <w:rPr>
          <w:i/>
          <w:iCs/>
          <w:sz w:val="22"/>
          <w:szCs w:val="22"/>
        </w:rPr>
      </w:pPr>
      <w:r w:rsidRPr="00C03235">
        <w:rPr>
          <w:i/>
          <w:iCs/>
          <w:sz w:val="22"/>
          <w:szCs w:val="22"/>
        </w:rPr>
        <w:t>(…)</w:t>
      </w:r>
    </w:p>
    <w:p w14:paraId="1A7E91C5" w14:textId="77777777" w:rsidR="00D4187E" w:rsidRPr="00C03235" w:rsidRDefault="00D4187E" w:rsidP="001669A6">
      <w:pPr>
        <w:ind w:left="567"/>
        <w:jc w:val="both"/>
        <w:rPr>
          <w:i/>
          <w:iCs/>
          <w:sz w:val="22"/>
          <w:szCs w:val="22"/>
        </w:rPr>
      </w:pPr>
    </w:p>
    <w:p w14:paraId="71F76C50" w14:textId="47837DD1" w:rsidR="00696278" w:rsidRPr="00C03235" w:rsidRDefault="544216F2" w:rsidP="001669A6">
      <w:pPr>
        <w:ind w:left="567"/>
        <w:jc w:val="both"/>
        <w:rPr>
          <w:i/>
          <w:iCs/>
          <w:sz w:val="22"/>
          <w:szCs w:val="22"/>
        </w:rPr>
      </w:pPr>
      <w:r w:rsidRPr="00C03235">
        <w:rPr>
          <w:i/>
          <w:iCs/>
          <w:sz w:val="22"/>
          <w:szCs w:val="22"/>
        </w:rPr>
        <w:t>Por suficiencia financiera se entiende que las empresas eficientes tendrán garantizada la recuperación de sus costos de inversión y sus gastos de administración, operación y mantenimiento, con el valor de las ventas de electricidad y el monto de los subsidios que reciban en compensación por atender a usuarios residenciales de menores ingresos.</w:t>
      </w:r>
    </w:p>
    <w:p w14:paraId="3C032F13" w14:textId="6A703249" w:rsidR="005828E3" w:rsidRPr="00C03235" w:rsidRDefault="005828E3" w:rsidP="005828E3">
      <w:pPr>
        <w:ind w:left="284"/>
        <w:jc w:val="both"/>
        <w:rPr>
          <w:i/>
          <w:iCs/>
          <w:sz w:val="22"/>
          <w:szCs w:val="22"/>
        </w:rPr>
      </w:pPr>
    </w:p>
    <w:p w14:paraId="4295A3BD" w14:textId="0142BF5F" w:rsidR="00696278" w:rsidRPr="00C03235" w:rsidRDefault="544216F2" w:rsidP="00B95C18">
      <w:pPr>
        <w:ind w:left="284"/>
        <w:jc w:val="both"/>
        <w:rPr>
          <w:i/>
          <w:iCs/>
          <w:sz w:val="22"/>
          <w:szCs w:val="22"/>
        </w:rPr>
      </w:pPr>
      <w:r w:rsidRPr="00C03235">
        <w:rPr>
          <w:i/>
          <w:iCs/>
          <w:sz w:val="22"/>
          <w:szCs w:val="22"/>
        </w:rPr>
        <w:t xml:space="preserve">En este sentido, este criterio toma base en el precepto constitucional para garantizar que exista una relación directa entre las tarifas y los costos relacionados a la prestación de un servicio público domiciliario. Por lo tanto, los particulares desarrollan su objeto de forma competitiva y eficiente, dado que se asegura </w:t>
      </w:r>
      <w:r w:rsidR="282E7E24" w:rsidRPr="00C03235">
        <w:rPr>
          <w:i/>
          <w:iCs/>
          <w:sz w:val="22"/>
          <w:szCs w:val="22"/>
        </w:rPr>
        <w:t xml:space="preserve">la </w:t>
      </w:r>
      <w:r w:rsidRPr="00C03235">
        <w:rPr>
          <w:i/>
          <w:iCs/>
          <w:sz w:val="22"/>
          <w:szCs w:val="22"/>
        </w:rPr>
        <w:t>viabilidad económica en la prestación de este tipo de servicios. Esta viabilidad no está pensada solamente frente a los actores prestadores, dado que la ciudadanía en general se ve beneficiada cuando la prestación es eficiente y permite la actualización y mejora del sistema.</w:t>
      </w:r>
    </w:p>
    <w:p w14:paraId="4DFA5601" w14:textId="77777777" w:rsidR="00696278" w:rsidRPr="00C03235" w:rsidRDefault="00696278" w:rsidP="00B95C18">
      <w:pPr>
        <w:ind w:left="284"/>
        <w:jc w:val="both"/>
        <w:rPr>
          <w:i/>
          <w:iCs/>
          <w:sz w:val="22"/>
          <w:szCs w:val="22"/>
        </w:rPr>
      </w:pPr>
    </w:p>
    <w:p w14:paraId="17C2483F" w14:textId="77777777" w:rsidR="00696278" w:rsidRPr="00C03235" w:rsidRDefault="00696278" w:rsidP="00B95C18">
      <w:pPr>
        <w:ind w:left="284"/>
        <w:jc w:val="both"/>
        <w:rPr>
          <w:i/>
          <w:iCs/>
          <w:sz w:val="22"/>
          <w:szCs w:val="22"/>
        </w:rPr>
      </w:pPr>
      <w:r w:rsidRPr="00C03235">
        <w:rPr>
          <w:i/>
          <w:iCs/>
          <w:sz w:val="22"/>
          <w:szCs w:val="22"/>
        </w:rPr>
        <w:t>La Corte Constitucional por su parte ha manifestado:</w:t>
      </w:r>
    </w:p>
    <w:p w14:paraId="135A513C" w14:textId="7F73B792" w:rsidR="00696278" w:rsidRPr="00C03235" w:rsidRDefault="00696278" w:rsidP="00B95C18">
      <w:pPr>
        <w:ind w:left="284"/>
        <w:jc w:val="both"/>
        <w:rPr>
          <w:i/>
          <w:iCs/>
          <w:sz w:val="22"/>
          <w:szCs w:val="22"/>
        </w:rPr>
      </w:pPr>
    </w:p>
    <w:p w14:paraId="2FEB81E9" w14:textId="6700339D" w:rsidR="00696278" w:rsidRPr="00C03235" w:rsidRDefault="00696278" w:rsidP="00B95C18">
      <w:pPr>
        <w:ind w:left="284"/>
        <w:jc w:val="both"/>
        <w:rPr>
          <w:i/>
          <w:iCs/>
          <w:sz w:val="22"/>
          <w:szCs w:val="22"/>
        </w:rPr>
      </w:pPr>
      <w:r w:rsidRPr="00C03235">
        <w:rPr>
          <w:i/>
          <w:iCs/>
          <w:sz w:val="22"/>
          <w:szCs w:val="22"/>
        </w:rPr>
        <w:t xml:space="preserve">-- Criterios de eficiencia y suficiencia financiera. </w:t>
      </w:r>
      <w:r w:rsidR="00206A14" w:rsidRPr="00C03235">
        <w:rPr>
          <w:i/>
          <w:iCs/>
          <w:sz w:val="22"/>
          <w:szCs w:val="22"/>
        </w:rPr>
        <w:t>‘</w:t>
      </w:r>
      <w:r w:rsidRPr="00C03235">
        <w:rPr>
          <w:i/>
          <w:iCs/>
          <w:sz w:val="22"/>
          <w:szCs w:val="22"/>
        </w:rPr>
        <w:t xml:space="preserve">(…) el criterio que establece el legislador consiste en que la formula tarifaria que fijen las respectivas comisiones de regulación, cuente con unas características tales que para un inversionista sea </w:t>
      </w:r>
      <w:r w:rsidR="00206A14" w:rsidRPr="00C03235">
        <w:rPr>
          <w:i/>
          <w:iCs/>
          <w:sz w:val="22"/>
          <w:szCs w:val="22"/>
        </w:rPr>
        <w:t>‘</w:t>
      </w:r>
      <w:r w:rsidRPr="00C03235">
        <w:rPr>
          <w:i/>
          <w:iCs/>
          <w:sz w:val="22"/>
          <w:szCs w:val="22"/>
        </w:rPr>
        <w:t>igualmente</w:t>
      </w:r>
      <w:r w:rsidR="00206A14" w:rsidRPr="00C03235">
        <w:rPr>
          <w:i/>
          <w:iCs/>
          <w:sz w:val="22"/>
          <w:szCs w:val="22"/>
        </w:rPr>
        <w:t>’</w:t>
      </w:r>
      <w:r w:rsidRPr="00C03235">
        <w:rPr>
          <w:i/>
          <w:iCs/>
          <w:sz w:val="22"/>
          <w:szCs w:val="22"/>
        </w:rPr>
        <w:t xml:space="preserve"> atractivo e </w:t>
      </w:r>
      <w:r w:rsidR="00206A14" w:rsidRPr="00C03235">
        <w:rPr>
          <w:i/>
          <w:iCs/>
          <w:sz w:val="22"/>
          <w:szCs w:val="22"/>
        </w:rPr>
        <w:t>‘</w:t>
      </w:r>
      <w:r w:rsidRPr="00C03235">
        <w:rPr>
          <w:i/>
          <w:iCs/>
          <w:sz w:val="22"/>
          <w:szCs w:val="22"/>
        </w:rPr>
        <w:t>igualmente</w:t>
      </w:r>
      <w:r w:rsidR="00206A14" w:rsidRPr="00C03235">
        <w:rPr>
          <w:i/>
          <w:iCs/>
          <w:sz w:val="22"/>
          <w:szCs w:val="22"/>
        </w:rPr>
        <w:t>’</w:t>
      </w:r>
      <w:r w:rsidRPr="00C03235">
        <w:rPr>
          <w:i/>
          <w:iCs/>
          <w:sz w:val="22"/>
          <w:szCs w:val="22"/>
        </w:rPr>
        <w:t xml:space="preserve"> riesgoso invertir en una empresa prestadora de servicios públicos sujeta a la regulación estatal o en una de similares características pero en condiciones eficientes de libre competencia … el criterio que contiene la ley para la remuneración del patrimonio supone que corresponde a los usuarios pagar tarifas iguales a las que correspondería pagar si el servicio pudiera ser ofrecido en un mercado competitivo, sin perjuicio de los mecanismos que, en concreto, consagra la ley para garantizar el principio de solidaridad…</w:t>
      </w:r>
    </w:p>
    <w:p w14:paraId="7C5F0DC8" w14:textId="77777777" w:rsidR="00696278" w:rsidRPr="00C03235" w:rsidRDefault="00696278" w:rsidP="00B95C18">
      <w:pPr>
        <w:ind w:left="284"/>
        <w:jc w:val="both"/>
        <w:rPr>
          <w:i/>
          <w:iCs/>
          <w:sz w:val="22"/>
          <w:szCs w:val="22"/>
        </w:rPr>
      </w:pPr>
    </w:p>
    <w:p w14:paraId="65A0BE98" w14:textId="77777777" w:rsidR="00696278" w:rsidRPr="00C03235" w:rsidRDefault="00696278" w:rsidP="00B95C18">
      <w:pPr>
        <w:ind w:left="284"/>
        <w:jc w:val="both"/>
        <w:rPr>
          <w:i/>
          <w:iCs/>
          <w:sz w:val="22"/>
          <w:szCs w:val="22"/>
        </w:rPr>
      </w:pPr>
      <w:r w:rsidRPr="00C03235">
        <w:rPr>
          <w:i/>
          <w:iCs/>
          <w:sz w:val="22"/>
          <w:szCs w:val="22"/>
        </w:rPr>
        <w:t>En sentido contrario, si la norma estipulara que un factor de remuneración del patrimonio para las empresas encargadas de la prestación de los servicios públicos superior a la que tendría una empresa similar en condiciones y bajo riesgo de mercado, se estaría vulnerando el principio de eficiencia respecto de la prestación de los servicios públicos, igualmente consagrado en el artículo 365 de la Carta…</w:t>
      </w:r>
    </w:p>
    <w:p w14:paraId="62BCC0AE" w14:textId="576FEBE2" w:rsidR="00696278" w:rsidRPr="00C03235" w:rsidRDefault="00696278" w:rsidP="00B95C18">
      <w:pPr>
        <w:ind w:left="284"/>
        <w:jc w:val="both"/>
        <w:rPr>
          <w:i/>
          <w:iCs/>
          <w:sz w:val="22"/>
          <w:szCs w:val="22"/>
        </w:rPr>
      </w:pPr>
    </w:p>
    <w:p w14:paraId="72B8FF72" w14:textId="1F3F92EB" w:rsidR="00696278" w:rsidRPr="00C03235" w:rsidRDefault="544216F2" w:rsidP="00B95C18">
      <w:pPr>
        <w:ind w:left="284"/>
        <w:jc w:val="both"/>
        <w:rPr>
          <w:i/>
          <w:iCs/>
          <w:sz w:val="22"/>
          <w:szCs w:val="22"/>
        </w:rPr>
      </w:pPr>
      <w:r w:rsidRPr="00C03235">
        <w:rPr>
          <w:i/>
          <w:iCs/>
          <w:sz w:val="22"/>
          <w:szCs w:val="22"/>
        </w:rPr>
        <w:t>La inclusión en las formular de un factor que permita a las empresas utilizar las tecnologías sistemas administrativos que garanticen la mejor calidad, continuidad y seguridad responde al mandato contenido en el artículo 367 de la Constitución… el criterio de suficiencia financiera que adoptó la Ley 142 de 1994 establece los parámetros necesarios para asegurar que las fórmulas tarifarias cubran los costos y gastos de prestación del servicio, incluidos los de expansión con el fin de lograr paulatinamente un cubrimiento a todos los habitantes del territorio; que haya un nivel de utilidades para las empresas que garantice a la vez los derechos de los usuarios y el ejercicio efectivo de la iniciativa privada; y que las empresas cuenten con recursos para garantizar mejoras sucesivas en los índices de calidad, continuidad y seguridad del servicio</w:t>
      </w:r>
      <w:r w:rsidR="00562E51" w:rsidRPr="00C03235">
        <w:rPr>
          <w:i/>
          <w:iCs/>
          <w:sz w:val="22"/>
          <w:szCs w:val="22"/>
        </w:rPr>
        <w:t>’</w:t>
      </w:r>
      <w:r w:rsidRPr="00C03235">
        <w:rPr>
          <w:i/>
          <w:iCs/>
          <w:sz w:val="22"/>
          <w:szCs w:val="22"/>
        </w:rPr>
        <w:t>.</w:t>
      </w:r>
    </w:p>
    <w:p w14:paraId="648C4142" w14:textId="4B5A3525" w:rsidR="00696278" w:rsidRPr="00C03235" w:rsidRDefault="00696278" w:rsidP="00B95C18">
      <w:pPr>
        <w:ind w:left="284"/>
        <w:jc w:val="both"/>
        <w:rPr>
          <w:i/>
          <w:iCs/>
          <w:sz w:val="22"/>
          <w:szCs w:val="22"/>
        </w:rPr>
      </w:pPr>
    </w:p>
    <w:p w14:paraId="3E2CB360" w14:textId="76F505FE" w:rsidR="00696278" w:rsidRPr="00C03235" w:rsidRDefault="544216F2" w:rsidP="00B95C18">
      <w:pPr>
        <w:ind w:left="284"/>
        <w:jc w:val="both"/>
        <w:rPr>
          <w:i/>
          <w:iCs/>
          <w:sz w:val="22"/>
          <w:szCs w:val="22"/>
        </w:rPr>
      </w:pPr>
      <w:r w:rsidRPr="00C03235">
        <w:rPr>
          <w:i/>
          <w:iCs/>
          <w:sz w:val="22"/>
          <w:szCs w:val="22"/>
        </w:rPr>
        <w:t xml:space="preserve">Así pues, tal como la CREG, </w:t>
      </w:r>
      <w:r w:rsidR="00562E51" w:rsidRPr="00C03235">
        <w:rPr>
          <w:i/>
          <w:iCs/>
          <w:sz w:val="22"/>
          <w:szCs w:val="22"/>
        </w:rPr>
        <w:t>‘</w:t>
      </w:r>
      <w:r w:rsidRPr="00C03235">
        <w:rPr>
          <w:i/>
          <w:iCs/>
          <w:sz w:val="22"/>
          <w:szCs w:val="22"/>
        </w:rPr>
        <w:t>conforme al principio de suficiencia financiera, se debe garantizar a las empresas la recuperación de los recursos que deben utilizar para prestar el servicio al mayor número de usuarios con el fin de alcanzar el principio de universalidad consagrado en el artículo 365 de la Constitución</w:t>
      </w:r>
      <w:r w:rsidR="00BF23F6" w:rsidRPr="00C03235">
        <w:rPr>
          <w:i/>
          <w:iCs/>
          <w:sz w:val="22"/>
          <w:szCs w:val="22"/>
        </w:rPr>
        <w:t>’</w:t>
      </w:r>
      <w:r w:rsidRPr="00C03235">
        <w:rPr>
          <w:i/>
          <w:iCs/>
          <w:sz w:val="22"/>
          <w:szCs w:val="22"/>
        </w:rPr>
        <w:t>. En consecuencia, la regulación tiene la obligación de diseñar el sistema tarifario atendiendo a la relación directa que este debe tener con los costos asociados a la prestación y operación de los servicios públicos domiciliarios.</w:t>
      </w:r>
    </w:p>
    <w:p w14:paraId="4FD25303" w14:textId="4D7589FF" w:rsidR="00696278" w:rsidRPr="00C03235" w:rsidRDefault="00696278" w:rsidP="00B95C18">
      <w:pPr>
        <w:ind w:left="284"/>
        <w:jc w:val="both"/>
        <w:rPr>
          <w:i/>
          <w:iCs/>
          <w:sz w:val="22"/>
          <w:szCs w:val="22"/>
        </w:rPr>
      </w:pPr>
    </w:p>
    <w:p w14:paraId="78E39F02" w14:textId="77777777" w:rsidR="00696278" w:rsidRPr="00C03235" w:rsidRDefault="00696278" w:rsidP="00B95C18">
      <w:pPr>
        <w:ind w:left="284"/>
        <w:jc w:val="both"/>
        <w:rPr>
          <w:i/>
          <w:iCs/>
          <w:sz w:val="22"/>
          <w:szCs w:val="22"/>
        </w:rPr>
      </w:pPr>
      <w:r w:rsidRPr="00C03235">
        <w:rPr>
          <w:i/>
          <w:iCs/>
          <w:sz w:val="22"/>
          <w:szCs w:val="22"/>
        </w:rPr>
        <w:t>Como hemos demostrado en este escrito, y según las pruebas que obran en el excedente tarifario de la actuación administrativa en referencia, la definición de los cargos máximos en la resolución impugnada no atiende a criterios específicos y relevantes para la prestación del servicio en Nazareth y Puerto Estrella, puesto que exclusivamente pretende la extensión de otros cargos tarifarios, para la prestación del servicio en otro departamento del país, al caso de Nazareth y Puerto Estrella. Consideramos que el documento CREG 092 del 2019 no es idóneo no permite el cabal cumplimiento de lo dispuesto en la normatividad y jurisprudencia citada respecto del principio de suficiencia financiera definido en el inciso tercero del artículo 44 de la Ley 143 de 1994, para el caso de la definición de cargos máximos en Nazareth. Es según lo anterior que solicitamos:</w:t>
      </w:r>
    </w:p>
    <w:p w14:paraId="47D14D7B" w14:textId="77777777" w:rsidR="00696278" w:rsidRPr="00C03235" w:rsidRDefault="00696278" w:rsidP="00B95C18">
      <w:pPr>
        <w:ind w:left="284"/>
        <w:jc w:val="both"/>
        <w:rPr>
          <w:i/>
          <w:iCs/>
          <w:sz w:val="22"/>
          <w:szCs w:val="22"/>
        </w:rPr>
      </w:pPr>
    </w:p>
    <w:p w14:paraId="4396317D" w14:textId="1B06E761" w:rsidR="00696278" w:rsidRPr="00C03235" w:rsidRDefault="00696278" w:rsidP="00B95C18">
      <w:pPr>
        <w:ind w:left="284"/>
        <w:jc w:val="both"/>
        <w:rPr>
          <w:i/>
          <w:iCs/>
          <w:sz w:val="22"/>
          <w:szCs w:val="22"/>
        </w:rPr>
      </w:pPr>
      <w:r w:rsidRPr="00C03235">
        <w:rPr>
          <w:i/>
          <w:iCs/>
          <w:sz w:val="22"/>
          <w:szCs w:val="22"/>
        </w:rPr>
        <w:t>•</w:t>
      </w:r>
      <w:r w:rsidR="00D4187E" w:rsidRPr="00C03235">
        <w:rPr>
          <w:i/>
          <w:iCs/>
          <w:sz w:val="22"/>
          <w:szCs w:val="22"/>
        </w:rPr>
        <w:t xml:space="preserve"> </w:t>
      </w:r>
      <w:r w:rsidRPr="00C03235">
        <w:rPr>
          <w:i/>
          <w:iCs/>
          <w:sz w:val="22"/>
          <w:szCs w:val="22"/>
        </w:rPr>
        <w:t>No aportar como prueba, por falta de idoneidad, el documento CREG 092 de 2019</w:t>
      </w:r>
    </w:p>
    <w:p w14:paraId="73F55F06" w14:textId="77777777" w:rsidR="00696278" w:rsidRPr="00C03235" w:rsidRDefault="00696278" w:rsidP="00B95C18">
      <w:pPr>
        <w:ind w:left="284"/>
        <w:jc w:val="both"/>
        <w:rPr>
          <w:i/>
          <w:iCs/>
          <w:sz w:val="22"/>
          <w:szCs w:val="22"/>
        </w:rPr>
      </w:pPr>
    </w:p>
    <w:p w14:paraId="62509CDF" w14:textId="51ED6112" w:rsidR="00696278" w:rsidRPr="00C03235" w:rsidRDefault="00696278" w:rsidP="005828E3">
      <w:pPr>
        <w:ind w:left="284"/>
        <w:jc w:val="both"/>
        <w:rPr>
          <w:sz w:val="22"/>
          <w:szCs w:val="22"/>
        </w:rPr>
      </w:pPr>
      <w:r w:rsidRPr="00C03235">
        <w:rPr>
          <w:i/>
          <w:iCs/>
          <w:sz w:val="22"/>
          <w:szCs w:val="22"/>
        </w:rPr>
        <w:t>•</w:t>
      </w:r>
      <w:r w:rsidR="008A72F1" w:rsidRPr="00C03235">
        <w:rPr>
          <w:i/>
          <w:iCs/>
          <w:sz w:val="22"/>
          <w:szCs w:val="22"/>
        </w:rPr>
        <w:t xml:space="preserve"> </w:t>
      </w:r>
      <w:r w:rsidRPr="00C03235">
        <w:rPr>
          <w:i/>
          <w:iCs/>
          <w:sz w:val="22"/>
          <w:szCs w:val="22"/>
        </w:rPr>
        <w:t>En caso tan que la CREG decida continuar con la aportación como prueba, solicitamos que el contenido de este documento se utilice única y exclusivamente como valor de referencia, respecto del cual la CREG deberá hacer las actualizaciones del caso, especialmente aquellas relacionadas con la verificación adecuada de los costos reales de prestación del servicio en Nazareth, y sus amplias diferencias con los costos reales de prestación del servicio en Unguía.”</w:t>
      </w:r>
    </w:p>
    <w:p w14:paraId="00BA59BB" w14:textId="77777777" w:rsidR="00965AB4" w:rsidRPr="00C03235" w:rsidRDefault="00965AB4" w:rsidP="00417150">
      <w:pPr>
        <w:jc w:val="both"/>
        <w:rPr>
          <w:i/>
          <w:iCs/>
          <w:sz w:val="22"/>
          <w:szCs w:val="22"/>
        </w:rPr>
      </w:pPr>
    </w:p>
    <w:p w14:paraId="4DEE0908" w14:textId="055790A0" w:rsidR="0075175E" w:rsidRPr="00C03235" w:rsidRDefault="0075175E" w:rsidP="0021783D">
      <w:pPr>
        <w:pStyle w:val="Prrafodelista"/>
        <w:numPr>
          <w:ilvl w:val="0"/>
          <w:numId w:val="16"/>
        </w:numPr>
        <w:rPr>
          <w:szCs w:val="24"/>
        </w:rPr>
      </w:pPr>
      <w:r w:rsidRPr="00C03235">
        <w:rPr>
          <w:b/>
          <w:bCs/>
          <w:sz w:val="24"/>
          <w:szCs w:val="24"/>
        </w:rPr>
        <w:t>CONSIDERACIONES DE LA CREG</w:t>
      </w:r>
    </w:p>
    <w:p w14:paraId="3FDD43A9" w14:textId="77777777" w:rsidR="0075175E" w:rsidRPr="00C03235" w:rsidRDefault="0075175E" w:rsidP="0075175E">
      <w:pPr>
        <w:jc w:val="both"/>
      </w:pPr>
    </w:p>
    <w:p w14:paraId="26797660" w14:textId="69FF4DD3" w:rsidR="0075175E" w:rsidRPr="00C03235" w:rsidRDefault="4A392031" w:rsidP="006251EC">
      <w:pPr>
        <w:jc w:val="both"/>
      </w:pPr>
      <w:r w:rsidRPr="00C03235">
        <w:t>Frente a los argumentos expuestos por el recurrente, se advierte por parte de esta Comisión que los mismos tienen como objeto solicitar</w:t>
      </w:r>
      <w:r w:rsidR="00D84475">
        <w:t xml:space="preserve"> que</w:t>
      </w:r>
      <w:r w:rsidRPr="00C03235">
        <w:t xml:space="preserve"> se modifique la Resolución CREG 501 </w:t>
      </w:r>
      <w:r w:rsidR="5E539224" w:rsidRPr="00C03235">
        <w:t>004</w:t>
      </w:r>
      <w:r w:rsidRPr="00C03235">
        <w:t xml:space="preserve"> de 202</w:t>
      </w:r>
      <w:r w:rsidR="5887B806" w:rsidRPr="00C03235">
        <w:t>3</w:t>
      </w:r>
      <w:r w:rsidR="12FF7492" w:rsidRPr="00C03235">
        <w:t>.</w:t>
      </w:r>
      <w:r w:rsidR="00D84475">
        <w:t xml:space="preserve"> </w:t>
      </w:r>
      <w:r w:rsidRPr="00C03235">
        <w:t xml:space="preserve">En relación con lo anterior, se debe tener en cuenta en cada </w:t>
      </w:r>
      <w:r w:rsidR="00D84475">
        <w:t>argumento,</w:t>
      </w:r>
      <w:r w:rsidR="00D84475" w:rsidRPr="00C03235">
        <w:t xml:space="preserve"> </w:t>
      </w:r>
      <w:r w:rsidRPr="00C03235">
        <w:t>lo siguiente:</w:t>
      </w:r>
    </w:p>
    <w:p w14:paraId="22DB1440" w14:textId="77777777" w:rsidR="005C18A9" w:rsidRPr="00C03235" w:rsidRDefault="005C18A9" w:rsidP="0075175E">
      <w:pPr>
        <w:jc w:val="both"/>
      </w:pPr>
    </w:p>
    <w:p w14:paraId="12BA57D5" w14:textId="197B204E" w:rsidR="000932A9" w:rsidRPr="00C03235" w:rsidRDefault="00BB1ED6" w:rsidP="001E74D8">
      <w:pPr>
        <w:pStyle w:val="Prrafodelista"/>
        <w:numPr>
          <w:ilvl w:val="1"/>
          <w:numId w:val="16"/>
        </w:numPr>
        <w:jc w:val="both"/>
        <w:rPr>
          <w:bCs/>
          <w:iCs/>
        </w:rPr>
      </w:pPr>
      <w:r w:rsidRPr="00C03235">
        <w:rPr>
          <w:b/>
          <w:bCs/>
          <w:i/>
          <w:iCs/>
          <w:sz w:val="24"/>
          <w:szCs w:val="24"/>
        </w:rPr>
        <w:lastRenderedPageBreak/>
        <w:t>La CREG no tuvo en cuenta la información aportada por el peticionario para resolver la solicitud de cargo de generación</w:t>
      </w:r>
      <w:r w:rsidR="007D2CC2" w:rsidRPr="00C03235">
        <w:rPr>
          <w:b/>
          <w:bCs/>
          <w:i/>
          <w:iCs/>
          <w:sz w:val="24"/>
          <w:szCs w:val="24"/>
        </w:rPr>
        <w:t xml:space="preserve"> al inicio de la actuación administrativa </w:t>
      </w:r>
    </w:p>
    <w:p w14:paraId="77442E8B" w14:textId="77777777" w:rsidR="000932A9" w:rsidRPr="00C03235" w:rsidRDefault="000932A9" w:rsidP="00327E75">
      <w:pPr>
        <w:rPr>
          <w:b/>
        </w:rPr>
      </w:pPr>
    </w:p>
    <w:p w14:paraId="776B209A" w14:textId="374672A0" w:rsidR="000824FC" w:rsidRPr="00C03235" w:rsidRDefault="5322AF22" w:rsidP="00B9081B">
      <w:pPr>
        <w:spacing w:line="259" w:lineRule="auto"/>
        <w:jc w:val="both"/>
      </w:pPr>
      <w:r w:rsidRPr="00C03235">
        <w:t>De acuerdo con lo manifestado por el recurrente</w:t>
      </w:r>
      <w:r w:rsidR="081C1BB3" w:rsidRPr="00C03235">
        <w:t>,</w:t>
      </w:r>
      <w:r w:rsidRPr="00C03235">
        <w:t xml:space="preserve"> l</w:t>
      </w:r>
      <w:r w:rsidR="7C7CCD3E" w:rsidRPr="00C03235">
        <w:t>a Comisión no fundamentó la decisión con base en la información de costos eficientes y precios de referencia presentad</w:t>
      </w:r>
      <w:r w:rsidR="4D656E4B" w:rsidRPr="00C03235">
        <w:t>os</w:t>
      </w:r>
      <w:r w:rsidR="7C7CCD3E" w:rsidRPr="00C03235">
        <w:t xml:space="preserve"> por H</w:t>
      </w:r>
      <w:r w:rsidR="0ADB9780" w:rsidRPr="00C03235">
        <w:t xml:space="preserve">ELIOS </w:t>
      </w:r>
      <w:r w:rsidR="7C7CCD3E" w:rsidRPr="00C03235">
        <w:t>al inicio de la actuación administrativa</w:t>
      </w:r>
      <w:r w:rsidR="583ED560" w:rsidRPr="00C03235">
        <w:t>.</w:t>
      </w:r>
      <w:r w:rsidR="204E00E1" w:rsidRPr="00C03235">
        <w:t xml:space="preserve"> </w:t>
      </w:r>
      <w:r w:rsidR="4BCF27D8" w:rsidRPr="00C03235">
        <w:t xml:space="preserve">Al respecto, es importante señalar que la </w:t>
      </w:r>
      <w:r w:rsidR="6EF047A7" w:rsidRPr="00C03235">
        <w:t>CREG</w:t>
      </w:r>
      <w:r w:rsidR="10B6D4AA" w:rsidRPr="00C03235">
        <w:t>, en ejercicio de su potestad discrecional, puede</w:t>
      </w:r>
      <w:r w:rsidR="4BCF27D8" w:rsidRPr="00C03235">
        <w:t xml:space="preserve"> valorar y utilizar la información que considere pertinente y adecuada</w:t>
      </w:r>
      <w:r w:rsidR="00853E68">
        <w:t>,</w:t>
      </w:r>
      <w:r w:rsidR="4BCF27D8" w:rsidRPr="00C03235">
        <w:t xml:space="preserve"> </w:t>
      </w:r>
      <w:r w:rsidR="2735C199" w:rsidRPr="00C03235">
        <w:t xml:space="preserve">que permita cumplir </w:t>
      </w:r>
      <w:r w:rsidR="4BCF27D8" w:rsidRPr="00C03235">
        <w:t xml:space="preserve">los fines que se persiguen con la actuación administrativa y teniendo en cuenta los criterios y principios tarifarios. En esa medida puede optar por </w:t>
      </w:r>
      <w:r w:rsidR="6E09535F" w:rsidRPr="00C03235">
        <w:t>utilizar,</w:t>
      </w:r>
      <w:r w:rsidR="01E0207A" w:rsidRPr="00C03235">
        <w:t xml:space="preserve"> utilizar parcialmente o no utilizar la</w:t>
      </w:r>
      <w:r w:rsidR="4BCF27D8" w:rsidRPr="00C03235">
        <w:t xml:space="preserve"> información que presente la empresa</w:t>
      </w:r>
      <w:r w:rsidR="1C036E68" w:rsidRPr="00C03235">
        <w:t xml:space="preserve"> justificando las razones para ello.</w:t>
      </w:r>
    </w:p>
    <w:p w14:paraId="5AA73813" w14:textId="77777777" w:rsidR="000824FC" w:rsidRPr="00C03235" w:rsidRDefault="000824FC" w:rsidP="007D2CC2">
      <w:pPr>
        <w:jc w:val="both"/>
      </w:pPr>
    </w:p>
    <w:p w14:paraId="2F5B254E" w14:textId="601936B4" w:rsidR="001A4DFA" w:rsidRPr="00C03235" w:rsidRDefault="272C572D" w:rsidP="007D2CC2">
      <w:pPr>
        <w:jc w:val="both"/>
      </w:pPr>
      <w:r w:rsidRPr="00C03235">
        <w:t xml:space="preserve">En ese sentido, la CREG actúa conforme al marco normativo que le confiere la competencia para </w:t>
      </w:r>
      <w:r w:rsidR="00D84475">
        <w:t>fijar</w:t>
      </w:r>
      <w:r w:rsidR="00D84475" w:rsidRPr="00C03235">
        <w:t xml:space="preserve"> </w:t>
      </w:r>
      <w:r w:rsidRPr="00C03235">
        <w:t>los cargos de generación. Esto significa que, si la información suministrada resulta incompleta o no refleja de manera precisa los costos eficientes de generación, la Comisión puede recurrir a otras fuentes de información que permitan definir de manera adecuada la remuneración de las componentes de inversión, de administración, operación y mantenimiento.</w:t>
      </w:r>
    </w:p>
    <w:p w14:paraId="4874C066" w14:textId="77777777" w:rsidR="001A4DFA" w:rsidRPr="00C03235" w:rsidRDefault="001A4DFA" w:rsidP="00734194">
      <w:pPr>
        <w:jc w:val="both"/>
      </w:pPr>
    </w:p>
    <w:p w14:paraId="62BEFEE9" w14:textId="55983DF8" w:rsidR="70098B75" w:rsidRPr="00C03235" w:rsidRDefault="70098B75" w:rsidP="006C5370">
      <w:pPr>
        <w:spacing w:line="259" w:lineRule="auto"/>
        <w:jc w:val="both"/>
      </w:pPr>
      <w:r w:rsidRPr="00C03235">
        <w:t>En línea con lo anterior, el Consejo de Estado, a través de la sala de Consulta y Servicio Civil ha señalado:</w:t>
      </w:r>
    </w:p>
    <w:p w14:paraId="428FDA0B" w14:textId="1AC3375C" w:rsidR="79E27E0E" w:rsidRPr="00C03235" w:rsidRDefault="79E27E0E" w:rsidP="79E27E0E">
      <w:pPr>
        <w:spacing w:line="259" w:lineRule="auto"/>
        <w:jc w:val="both"/>
      </w:pPr>
    </w:p>
    <w:p w14:paraId="135159FB" w14:textId="3B021286" w:rsidR="70098B75" w:rsidRPr="00C03235" w:rsidRDefault="70098B75" w:rsidP="006C5370">
      <w:pPr>
        <w:spacing w:line="259" w:lineRule="auto"/>
        <w:ind w:left="284"/>
        <w:jc w:val="both"/>
        <w:rPr>
          <w:i/>
          <w:iCs/>
          <w:sz w:val="22"/>
          <w:szCs w:val="22"/>
        </w:rPr>
      </w:pPr>
      <w:r w:rsidRPr="00C03235">
        <w:rPr>
          <w:i/>
          <w:iCs/>
          <w:sz w:val="22"/>
          <w:szCs w:val="22"/>
        </w:rPr>
        <w:t xml:space="preserve">“(...) En lo que concierne a </w:t>
      </w:r>
      <w:r w:rsidRPr="00C03235">
        <w:rPr>
          <w:i/>
          <w:iCs/>
          <w:sz w:val="22"/>
          <w:szCs w:val="22"/>
          <w:u w:val="single"/>
        </w:rPr>
        <w:t>la facultad discrecional se ha señalado que esta constituye una herramienta necesaria para la consecución de los fines estatales y el adecuado cumplimiento de las funciones que le han sido asignadas a la administración</w:t>
      </w:r>
      <w:r w:rsidRPr="00C03235">
        <w:rPr>
          <w:i/>
          <w:iCs/>
          <w:sz w:val="22"/>
          <w:szCs w:val="22"/>
        </w:rPr>
        <w:t xml:space="preserve">, pues esta, en un contexto de cambiantes y complejas relaciones jurídicas, debe contar con instrumentos que le permitan decidir con algún grado de </w:t>
      </w:r>
      <w:r w:rsidR="22F53AC2" w:rsidRPr="00C03235">
        <w:rPr>
          <w:i/>
          <w:iCs/>
          <w:sz w:val="22"/>
          <w:szCs w:val="22"/>
        </w:rPr>
        <w:t xml:space="preserve">libertad cómo proceder. Igualmente, </w:t>
      </w:r>
      <w:r w:rsidR="22F53AC2" w:rsidRPr="00C03235">
        <w:rPr>
          <w:i/>
          <w:iCs/>
          <w:sz w:val="22"/>
          <w:szCs w:val="22"/>
          <w:u w:val="single"/>
        </w:rPr>
        <w:t>la potestad discrecional permite a la administración resolver de mejor manera los casos particulares o concret</w:t>
      </w:r>
      <w:r w:rsidR="1E999ACF" w:rsidRPr="00C03235">
        <w:rPr>
          <w:i/>
          <w:iCs/>
          <w:sz w:val="22"/>
          <w:szCs w:val="22"/>
          <w:u w:val="single"/>
        </w:rPr>
        <w:t>o</w:t>
      </w:r>
      <w:r w:rsidR="22F53AC2" w:rsidRPr="00C03235">
        <w:rPr>
          <w:i/>
          <w:iCs/>
          <w:sz w:val="22"/>
          <w:szCs w:val="22"/>
          <w:u w:val="single"/>
        </w:rPr>
        <w:t>s a los que debe enfrentarse</w:t>
      </w:r>
      <w:r w:rsidR="22F53AC2" w:rsidRPr="00C03235">
        <w:rPr>
          <w:i/>
          <w:iCs/>
          <w:sz w:val="22"/>
          <w:szCs w:val="22"/>
        </w:rPr>
        <w:t xml:space="preserve">. Con todo, </w:t>
      </w:r>
      <w:r w:rsidR="5FF0B5AE" w:rsidRPr="00C03235">
        <w:rPr>
          <w:i/>
          <w:iCs/>
          <w:sz w:val="22"/>
          <w:szCs w:val="22"/>
        </w:rPr>
        <w:t>debe resaltarse que la discrecionalidad no es sinónimo de arbitrariedad, por lo tanto la autoridad administrativa debe ejercerla dentro de los límites se</w:t>
      </w:r>
      <w:r w:rsidR="258D65B3" w:rsidRPr="00C03235">
        <w:rPr>
          <w:i/>
          <w:iCs/>
          <w:sz w:val="22"/>
          <w:szCs w:val="22"/>
        </w:rPr>
        <w:t>ñalados por la ley y la jurisprudencia”</w:t>
      </w:r>
      <w:r w:rsidRPr="00C03235">
        <w:rPr>
          <w:rStyle w:val="Refdenotaalpie"/>
          <w:i/>
          <w:iCs/>
          <w:sz w:val="22"/>
          <w:szCs w:val="22"/>
        </w:rPr>
        <w:footnoteReference w:id="3"/>
      </w:r>
      <w:r w:rsidR="258D65B3" w:rsidRPr="00C03235">
        <w:rPr>
          <w:i/>
          <w:iCs/>
          <w:sz w:val="22"/>
          <w:szCs w:val="22"/>
        </w:rPr>
        <w:t>.</w:t>
      </w:r>
      <w:r w:rsidR="370442C2" w:rsidRPr="00C03235">
        <w:rPr>
          <w:i/>
          <w:iCs/>
          <w:sz w:val="22"/>
          <w:szCs w:val="22"/>
        </w:rPr>
        <w:t xml:space="preserve"> </w:t>
      </w:r>
      <w:r w:rsidR="370442C2" w:rsidRPr="00C03235">
        <w:rPr>
          <w:sz w:val="22"/>
          <w:szCs w:val="22"/>
        </w:rPr>
        <w:t>(Subrayado fuera del texto).</w:t>
      </w:r>
    </w:p>
    <w:p w14:paraId="283A9378" w14:textId="71C44EDF" w:rsidR="00A43D29" w:rsidRPr="00C03235" w:rsidRDefault="00A43D29" w:rsidP="00327E75">
      <w:pPr>
        <w:jc w:val="both"/>
      </w:pPr>
    </w:p>
    <w:p w14:paraId="0D6DBE43" w14:textId="7301B857" w:rsidR="00E63333" w:rsidRPr="00C03235" w:rsidRDefault="272C572D" w:rsidP="00327E75">
      <w:pPr>
        <w:jc w:val="both"/>
      </w:pPr>
      <w:r w:rsidRPr="00C03235">
        <w:t xml:space="preserve">Por su parte, </w:t>
      </w:r>
      <w:r w:rsidR="38E290D2" w:rsidRPr="00C03235">
        <w:t>el numeral</w:t>
      </w:r>
      <w:r w:rsidR="198E4254" w:rsidRPr="00C03235">
        <w:t xml:space="preserve"> 2 del artículo</w:t>
      </w:r>
      <w:r w:rsidR="38E290D2" w:rsidRPr="00C03235">
        <w:t xml:space="preserve"> 124 de la </w:t>
      </w:r>
      <w:r w:rsidR="26B3F45B" w:rsidRPr="00C03235">
        <w:t xml:space="preserve">Ley </w:t>
      </w:r>
      <w:r w:rsidR="38E290D2" w:rsidRPr="00C03235">
        <w:t>142</w:t>
      </w:r>
      <w:r w:rsidR="6459F31B" w:rsidRPr="00C03235">
        <w:t xml:space="preserve"> de 1994</w:t>
      </w:r>
      <w:r w:rsidR="7BA84D37" w:rsidRPr="00C03235">
        <w:t xml:space="preserve"> </w:t>
      </w:r>
      <w:r w:rsidRPr="00C03235">
        <w:t>establece que la información presentada por una empresa en</w:t>
      </w:r>
      <w:r w:rsidR="2CD3D834" w:rsidRPr="00C03235">
        <w:t xml:space="preserve"> el</w:t>
      </w:r>
      <w:r w:rsidRPr="00C03235">
        <w:t xml:space="preserve"> marco de una actuación administrativa</w:t>
      </w:r>
      <w:r w:rsidR="5195F503" w:rsidRPr="00C03235">
        <w:t>, como la que acá atañe,</w:t>
      </w:r>
      <w:r w:rsidRPr="00C03235">
        <w:t xml:space="preserve"> debe ser </w:t>
      </w:r>
      <w:r w:rsidR="5928BF37" w:rsidRPr="00C03235">
        <w:t xml:space="preserve">suficiente </w:t>
      </w:r>
      <w:r w:rsidR="1D4DDD15" w:rsidRPr="00C03235">
        <w:t>y define el criterio para determinarlo</w:t>
      </w:r>
      <w:r w:rsidR="25DA76E5" w:rsidRPr="00C03235">
        <w:t>,</w:t>
      </w:r>
      <w:r w:rsidR="1D4DDD15" w:rsidRPr="00C03235">
        <w:t xml:space="preserve"> así</w:t>
      </w:r>
      <w:r w:rsidR="6620CE3B" w:rsidRPr="00C03235">
        <w:t xml:space="preserve">: </w:t>
      </w:r>
    </w:p>
    <w:p w14:paraId="72EEB907" w14:textId="77777777" w:rsidR="004A4EEB" w:rsidRPr="00C03235" w:rsidRDefault="004A4EEB" w:rsidP="004A4EEB">
      <w:pPr>
        <w:jc w:val="both"/>
      </w:pPr>
    </w:p>
    <w:p w14:paraId="7DCECF50" w14:textId="1D4793BC" w:rsidR="004A4EEB" w:rsidRPr="00C03235" w:rsidRDefault="004A4EEB" w:rsidP="006C5370">
      <w:pPr>
        <w:ind w:left="284"/>
        <w:jc w:val="both"/>
        <w:rPr>
          <w:i/>
          <w:iCs/>
          <w:sz w:val="22"/>
          <w:szCs w:val="22"/>
        </w:rPr>
      </w:pPr>
      <w:r w:rsidRPr="00C03235">
        <w:rPr>
          <w:i/>
          <w:iCs/>
          <w:sz w:val="22"/>
          <w:szCs w:val="22"/>
        </w:rPr>
        <w:t>“</w:t>
      </w:r>
      <w:r w:rsidR="00C14333" w:rsidRPr="00C03235">
        <w:rPr>
          <w:i/>
          <w:iCs/>
          <w:sz w:val="22"/>
          <w:szCs w:val="22"/>
        </w:rPr>
        <w:t xml:space="preserve">ARTICULO 124. </w:t>
      </w:r>
      <w:r w:rsidRPr="00C03235">
        <w:rPr>
          <w:i/>
          <w:iCs/>
          <w:sz w:val="22"/>
          <w:szCs w:val="22"/>
        </w:rPr>
        <w:t>Actuación administrativa. Para determinar las fórmulas tarifarias se aplicarán las normas sobre régimen tarifario de las empresas de servicios públicos previstas en esta Ley, las normas del Código Contencioso Administrativo, y las siguientes reglas especiales:</w:t>
      </w:r>
    </w:p>
    <w:p w14:paraId="01F41944" w14:textId="77777777" w:rsidR="004A4EEB" w:rsidRPr="00C03235" w:rsidRDefault="004A4EEB" w:rsidP="006C5370">
      <w:pPr>
        <w:ind w:left="284"/>
        <w:jc w:val="both"/>
        <w:rPr>
          <w:i/>
          <w:iCs/>
          <w:sz w:val="22"/>
          <w:szCs w:val="22"/>
        </w:rPr>
      </w:pPr>
    </w:p>
    <w:p w14:paraId="701B72EC" w14:textId="02825223" w:rsidR="004A4EEB" w:rsidRPr="00C03235" w:rsidRDefault="00AD3728" w:rsidP="006C5370">
      <w:pPr>
        <w:ind w:left="284"/>
        <w:jc w:val="both"/>
        <w:rPr>
          <w:i/>
          <w:iCs/>
          <w:sz w:val="22"/>
          <w:szCs w:val="22"/>
        </w:rPr>
      </w:pPr>
      <w:r w:rsidRPr="00C03235">
        <w:rPr>
          <w:i/>
          <w:iCs/>
          <w:sz w:val="22"/>
          <w:szCs w:val="22"/>
        </w:rPr>
        <w:t>(…)</w:t>
      </w:r>
    </w:p>
    <w:p w14:paraId="6814CBFB" w14:textId="77777777" w:rsidR="004A4EEB" w:rsidRPr="00C03235" w:rsidRDefault="004A4EEB" w:rsidP="006C5370">
      <w:pPr>
        <w:ind w:left="284"/>
        <w:jc w:val="both"/>
        <w:rPr>
          <w:i/>
          <w:iCs/>
          <w:sz w:val="22"/>
          <w:szCs w:val="22"/>
        </w:rPr>
      </w:pPr>
    </w:p>
    <w:p w14:paraId="2800972A" w14:textId="18A1FC20" w:rsidR="00E63333" w:rsidRPr="00C03235" w:rsidRDefault="004A4EEB" w:rsidP="006C5370">
      <w:pPr>
        <w:ind w:left="284"/>
        <w:jc w:val="both"/>
        <w:rPr>
          <w:i/>
          <w:iCs/>
          <w:sz w:val="22"/>
          <w:szCs w:val="22"/>
        </w:rPr>
      </w:pPr>
      <w:r w:rsidRPr="00C03235">
        <w:rPr>
          <w:i/>
          <w:iCs/>
          <w:sz w:val="22"/>
          <w:szCs w:val="22"/>
        </w:rPr>
        <w:t xml:space="preserve">124.2. Si la actuación se inicia de oficio, la comisión debe disponer de estudios suficientes para definir la fórmula de que se trate; si se inicia por petición de una </w:t>
      </w:r>
      <w:r w:rsidRPr="00C03235">
        <w:rPr>
          <w:i/>
          <w:iCs/>
          <w:sz w:val="22"/>
          <w:szCs w:val="22"/>
        </w:rPr>
        <w:lastRenderedPageBreak/>
        <w:t>empresa de servicios públicos, el solicitante debe acompañar tales estudios. Son estudios suficientes, los que tengan la misma clase y cantidad de información que haya empleado cualquier comisión de regulación para determinar una fórmula tarifaria.</w:t>
      </w:r>
      <w:r w:rsidR="00AD3728" w:rsidRPr="00C03235">
        <w:rPr>
          <w:i/>
          <w:iCs/>
          <w:sz w:val="22"/>
          <w:szCs w:val="22"/>
        </w:rPr>
        <w:t>”</w:t>
      </w:r>
    </w:p>
    <w:p w14:paraId="46E52E3D" w14:textId="77777777" w:rsidR="00E63333" w:rsidRPr="00C03235" w:rsidRDefault="00E63333" w:rsidP="00BF37AA">
      <w:pPr>
        <w:jc w:val="both"/>
      </w:pPr>
    </w:p>
    <w:p w14:paraId="7E101959" w14:textId="4D90A633" w:rsidR="008A523A" w:rsidRPr="00C03235" w:rsidRDefault="734DB579" w:rsidP="79E27E0E">
      <w:pPr>
        <w:jc w:val="both"/>
        <w:rPr>
          <w:highlight w:val="yellow"/>
        </w:rPr>
      </w:pPr>
      <w:r w:rsidRPr="00C03235">
        <w:t xml:space="preserve">Con base en lo anterior, la </w:t>
      </w:r>
      <w:r w:rsidR="38E290D2" w:rsidRPr="00C03235">
        <w:t xml:space="preserve">Comisión </w:t>
      </w:r>
      <w:r w:rsidR="56C877B7" w:rsidRPr="00C03235">
        <w:t xml:space="preserve">procedió a valorar </w:t>
      </w:r>
      <w:r w:rsidR="36E555C7" w:rsidRPr="00C03235">
        <w:t xml:space="preserve">si </w:t>
      </w:r>
      <w:r w:rsidR="56C877B7" w:rsidRPr="00C03235">
        <w:t>la información presentada</w:t>
      </w:r>
      <w:r w:rsidR="5F73CF13" w:rsidRPr="00C03235">
        <w:t xml:space="preserve"> </w:t>
      </w:r>
      <w:r w:rsidR="38E290D2" w:rsidRPr="00C03235">
        <w:t>por</w:t>
      </w:r>
      <w:r w:rsidR="5F73CF13" w:rsidRPr="00C03235">
        <w:t xml:space="preserve"> HELIOS</w:t>
      </w:r>
      <w:r w:rsidR="38E290D2" w:rsidRPr="00C03235">
        <w:t xml:space="preserve"> </w:t>
      </w:r>
      <w:r w:rsidR="5F73CF13" w:rsidRPr="00C03235">
        <w:t xml:space="preserve">contaba con </w:t>
      </w:r>
      <w:r w:rsidR="6D18C230" w:rsidRPr="00C03235">
        <w:t xml:space="preserve">la </w:t>
      </w:r>
      <w:r w:rsidR="38E290D2" w:rsidRPr="00C03235">
        <w:t xml:space="preserve">calidad de </w:t>
      </w:r>
      <w:r w:rsidR="7EB243E1" w:rsidRPr="00C03235">
        <w:t>“</w:t>
      </w:r>
      <w:r w:rsidR="38E290D2" w:rsidRPr="00C03235">
        <w:t>estudios suficientes</w:t>
      </w:r>
      <w:r w:rsidR="648136E2" w:rsidRPr="00C03235">
        <w:t>”</w:t>
      </w:r>
      <w:r w:rsidR="38E290D2" w:rsidRPr="00C03235">
        <w:t xml:space="preserve"> para determinar la fórmula tarifaria</w:t>
      </w:r>
      <w:r w:rsidR="108FBDB4" w:rsidRPr="00C03235">
        <w:t xml:space="preserve"> del cargo de generación para el mercado de Nazareth y Puerto Estrella en el municipio de Uribia</w:t>
      </w:r>
      <w:r w:rsidR="4F479268" w:rsidRPr="00C03235">
        <w:t xml:space="preserve">, </w:t>
      </w:r>
      <w:r w:rsidR="108FBDB4" w:rsidRPr="00C03235">
        <w:t>departamento de la Guajira</w:t>
      </w:r>
      <w:r w:rsidR="38E290D2" w:rsidRPr="00C03235">
        <w:t>.</w:t>
      </w:r>
      <w:r w:rsidR="150EC354" w:rsidRPr="00C03235">
        <w:t xml:space="preserve"> </w:t>
      </w:r>
    </w:p>
    <w:p w14:paraId="317CB086" w14:textId="68DA5D36" w:rsidR="008A523A" w:rsidRPr="00C03235" w:rsidRDefault="008A523A" w:rsidP="00CB7033">
      <w:pPr>
        <w:jc w:val="both"/>
      </w:pPr>
    </w:p>
    <w:p w14:paraId="009C8FAB" w14:textId="2B7EF113" w:rsidR="008A523A" w:rsidRPr="00C03235" w:rsidRDefault="0CF37FAD" w:rsidP="00397BF8">
      <w:pPr>
        <w:spacing w:line="259" w:lineRule="auto"/>
        <w:jc w:val="both"/>
        <w:rPr>
          <w:highlight w:val="yellow"/>
        </w:rPr>
      </w:pPr>
      <w:r w:rsidRPr="00C03235">
        <w:t>No obstante, del análisis realizado por la CREG</w:t>
      </w:r>
      <w:r w:rsidR="508BDC9E" w:rsidRPr="00C03235">
        <w:t>,</w:t>
      </w:r>
      <w:r w:rsidRPr="00C03235">
        <w:t xml:space="preserve"> se evidenció de</w:t>
      </w:r>
      <w:r w:rsidR="150EC354" w:rsidRPr="00C03235">
        <w:t xml:space="preserve"> la información aportada por HELIOS</w:t>
      </w:r>
      <w:r w:rsidR="43B4271D" w:rsidRPr="00C03235">
        <w:t xml:space="preserve"> </w:t>
      </w:r>
      <w:r w:rsidR="7667C2C5" w:rsidRPr="00C03235">
        <w:t xml:space="preserve">que los costos relacionados </w:t>
      </w:r>
      <w:r w:rsidR="0059474F" w:rsidRPr="00C03235">
        <w:t>exce</w:t>
      </w:r>
      <w:r w:rsidR="00F409A3" w:rsidRPr="00C03235">
        <w:t>den</w:t>
      </w:r>
      <w:r w:rsidR="54141DA7" w:rsidRPr="00C03235">
        <w:t xml:space="preserve"> rangos eficientes para el desarrollo de la actividad </w:t>
      </w:r>
      <w:r w:rsidR="01938DBD" w:rsidRPr="00C03235">
        <w:t>d</w:t>
      </w:r>
      <w:r w:rsidR="54141DA7" w:rsidRPr="00C03235">
        <w:t xml:space="preserve">e generación con tecnología </w:t>
      </w:r>
      <w:r w:rsidR="00D84475">
        <w:t>s</w:t>
      </w:r>
      <w:r w:rsidR="54141DA7" w:rsidRPr="00C03235">
        <w:t xml:space="preserve">olar fotovoltaica </w:t>
      </w:r>
      <w:r w:rsidR="4EBAABAD" w:rsidRPr="00C03235">
        <w:t>con</w:t>
      </w:r>
      <w:r w:rsidR="54141DA7" w:rsidRPr="00C03235">
        <w:t xml:space="preserve"> almacenamiento</w:t>
      </w:r>
      <w:r w:rsidR="00DA0169" w:rsidRPr="00C03235">
        <w:t xml:space="preserve">, ya que </w:t>
      </w:r>
      <w:r w:rsidR="0024571B" w:rsidRPr="00C03235">
        <w:t xml:space="preserve">en </w:t>
      </w:r>
      <w:r w:rsidR="00B36FCB" w:rsidRPr="00C03235">
        <w:t>ese momento la C</w:t>
      </w:r>
      <w:r w:rsidR="007F61E1" w:rsidRPr="00C03235">
        <w:t>omisión</w:t>
      </w:r>
      <w:r w:rsidR="00B36FCB" w:rsidRPr="00C03235">
        <w:t xml:space="preserve"> contaba</w:t>
      </w:r>
      <w:r w:rsidR="0024571B" w:rsidRPr="00C03235">
        <w:t xml:space="preserve"> con </w:t>
      </w:r>
      <w:r w:rsidR="00B36FCB" w:rsidRPr="00C03235">
        <w:t xml:space="preserve">información de otras actuaciones administrativas </w:t>
      </w:r>
      <w:r w:rsidR="007F61E1" w:rsidRPr="00C03235">
        <w:t>las cuales tenían</w:t>
      </w:r>
      <w:r w:rsidR="00B36FCB" w:rsidRPr="00C03235">
        <w:t xml:space="preserve"> menores costos de inversión y gastos de AOM para </w:t>
      </w:r>
      <w:r w:rsidR="00B97B16" w:rsidRPr="00C03235">
        <w:t>sistemas</w:t>
      </w:r>
      <w:r w:rsidR="007F61E1" w:rsidRPr="00C03235">
        <w:t xml:space="preserve"> </w:t>
      </w:r>
      <w:r w:rsidR="005D1506" w:rsidRPr="00C03235">
        <w:t xml:space="preserve">que operaban </w:t>
      </w:r>
      <w:r w:rsidR="00B97B16" w:rsidRPr="00C03235">
        <w:t xml:space="preserve">con </w:t>
      </w:r>
      <w:r w:rsidR="003568AE" w:rsidRPr="00C03235">
        <w:t>la misma tecnología.</w:t>
      </w:r>
      <w:r w:rsidR="121DE936" w:rsidRPr="00C03235">
        <w:t xml:space="preserve"> Dentro del análisis también se pudo observ</w:t>
      </w:r>
      <w:r w:rsidR="365F5363" w:rsidRPr="00C03235">
        <w:t>ar</w:t>
      </w:r>
      <w:r w:rsidR="121DE936" w:rsidRPr="00C03235">
        <w:t xml:space="preserve"> que la empresa </w:t>
      </w:r>
      <w:r w:rsidR="03664A11" w:rsidRPr="00C03235">
        <w:t>incluy</w:t>
      </w:r>
      <w:r w:rsidR="121DE936" w:rsidRPr="00C03235">
        <w:t>ó</w:t>
      </w:r>
      <w:r w:rsidR="00A97839" w:rsidRPr="00C03235">
        <w:t xml:space="preserve"> infraestructura y</w:t>
      </w:r>
      <w:r w:rsidR="03664A11" w:rsidRPr="00C03235">
        <w:t xml:space="preserve"> </w:t>
      </w:r>
      <w:r w:rsidR="38E48C3F" w:rsidRPr="00C03235">
        <w:t>gastos</w:t>
      </w:r>
      <w:r w:rsidR="2B70C277" w:rsidRPr="00C03235">
        <w:t xml:space="preserve"> de </w:t>
      </w:r>
      <w:r w:rsidR="5F7D19F6" w:rsidRPr="00C03235">
        <w:t>AOM</w:t>
      </w:r>
      <w:r w:rsidR="38E48C3F" w:rsidRPr="00C03235">
        <w:t xml:space="preserve"> correspondientes a la</w:t>
      </w:r>
      <w:r w:rsidR="0A377B02" w:rsidRPr="00C03235">
        <w:t>s</w:t>
      </w:r>
      <w:r w:rsidR="38E48C3F" w:rsidRPr="00C03235">
        <w:t xml:space="preserve"> actividad</w:t>
      </w:r>
      <w:r w:rsidR="6ACD15E9" w:rsidRPr="00C03235">
        <w:t>es</w:t>
      </w:r>
      <w:r w:rsidR="38E48C3F" w:rsidRPr="00C03235">
        <w:t xml:space="preserve"> de distribución y comercialización</w:t>
      </w:r>
      <w:r w:rsidR="3A9E23CF" w:rsidRPr="00C03235">
        <w:t>, los cuales se encuentran por fuera de</w:t>
      </w:r>
      <w:r w:rsidR="01297C06" w:rsidRPr="00C03235">
        <w:t>l alcance de</w:t>
      </w:r>
      <w:r w:rsidR="38FF7158" w:rsidRPr="00C03235">
        <w:t xml:space="preserve"> la</w:t>
      </w:r>
      <w:r w:rsidR="01297C06" w:rsidRPr="00C03235">
        <w:t xml:space="preserve"> solicitud </w:t>
      </w:r>
      <w:r w:rsidR="38FF7158" w:rsidRPr="00C03235">
        <w:t>presentada y del objeto de la actuación administrativa</w:t>
      </w:r>
      <w:r w:rsidR="06379474" w:rsidRPr="00C03235">
        <w:t>.</w:t>
      </w:r>
      <w:r w:rsidR="44B6FC41" w:rsidRPr="00C03235">
        <w:t xml:space="preserve"> </w:t>
      </w:r>
      <w:r w:rsidR="5CA93A32" w:rsidRPr="00C03235">
        <w:t>Veamos:</w:t>
      </w:r>
    </w:p>
    <w:p w14:paraId="2D30D904" w14:textId="2C6816F6" w:rsidR="001B3E92" w:rsidRPr="00C03235" w:rsidRDefault="001B3E92" w:rsidP="00CB7033">
      <w:pPr>
        <w:jc w:val="both"/>
        <w:rPr>
          <w:highlight w:val="yellow"/>
        </w:rPr>
      </w:pPr>
    </w:p>
    <w:p w14:paraId="42D8833B" w14:textId="3694778C" w:rsidR="001B3E92" w:rsidRPr="00C03235" w:rsidRDefault="001B3E92" w:rsidP="001B3E92">
      <w:pPr>
        <w:jc w:val="center"/>
        <w:rPr>
          <w:highlight w:val="yellow"/>
        </w:rPr>
      </w:pPr>
      <w:r w:rsidRPr="00C03235">
        <w:rPr>
          <w:noProof/>
        </w:rPr>
        <w:drawing>
          <wp:inline distT="0" distB="0" distL="0" distR="0" wp14:anchorId="78BAFBEA" wp14:editId="5B9FDADE">
            <wp:extent cx="3352800" cy="3541297"/>
            <wp:effectExtent l="0" t="0" r="0" b="2540"/>
            <wp:docPr id="1892167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67804" name=""/>
                    <pic:cNvPicPr/>
                  </pic:nvPicPr>
                  <pic:blipFill>
                    <a:blip r:embed="rId16"/>
                    <a:stretch>
                      <a:fillRect/>
                    </a:stretch>
                  </pic:blipFill>
                  <pic:spPr>
                    <a:xfrm>
                      <a:off x="0" y="0"/>
                      <a:ext cx="3361959" cy="3550970"/>
                    </a:xfrm>
                    <a:prstGeom prst="rect">
                      <a:avLst/>
                    </a:prstGeom>
                  </pic:spPr>
                </pic:pic>
              </a:graphicData>
            </a:graphic>
          </wp:inline>
        </w:drawing>
      </w:r>
    </w:p>
    <w:p w14:paraId="33DEC65A" w14:textId="13F05DCE" w:rsidR="00420035" w:rsidRPr="00C03235" w:rsidRDefault="75E33271" w:rsidP="00420035">
      <w:pPr>
        <w:jc w:val="center"/>
        <w:rPr>
          <w:b/>
          <w:bCs/>
          <w:sz w:val="22"/>
          <w:szCs w:val="22"/>
        </w:rPr>
      </w:pPr>
      <w:r w:rsidRPr="00C03235">
        <w:rPr>
          <w:b/>
          <w:bCs/>
          <w:sz w:val="22"/>
          <w:szCs w:val="22"/>
        </w:rPr>
        <w:t xml:space="preserve">Figura </w:t>
      </w:r>
      <w:r w:rsidR="00E85CFA" w:rsidRPr="00C03235">
        <w:rPr>
          <w:b/>
          <w:bCs/>
          <w:i/>
          <w:iCs/>
          <w:sz w:val="22"/>
          <w:szCs w:val="22"/>
        </w:rPr>
        <w:fldChar w:fldCharType="begin"/>
      </w:r>
      <w:r w:rsidR="00E85CFA" w:rsidRPr="00C03235">
        <w:rPr>
          <w:b/>
          <w:bCs/>
          <w:sz w:val="22"/>
          <w:szCs w:val="22"/>
        </w:rPr>
        <w:instrText xml:space="preserve"> SEQ Figura \* ARABIC </w:instrText>
      </w:r>
      <w:r w:rsidR="00E85CFA" w:rsidRPr="00C03235">
        <w:rPr>
          <w:b/>
          <w:bCs/>
          <w:i/>
          <w:iCs/>
          <w:sz w:val="22"/>
          <w:szCs w:val="22"/>
        </w:rPr>
        <w:fldChar w:fldCharType="separate"/>
      </w:r>
      <w:r w:rsidR="00AB0C09">
        <w:rPr>
          <w:b/>
          <w:bCs/>
          <w:noProof/>
          <w:sz w:val="22"/>
          <w:szCs w:val="22"/>
        </w:rPr>
        <w:t>1</w:t>
      </w:r>
      <w:r w:rsidR="00E85CFA" w:rsidRPr="00C03235">
        <w:rPr>
          <w:b/>
          <w:bCs/>
          <w:i/>
          <w:iCs/>
          <w:sz w:val="22"/>
          <w:szCs w:val="22"/>
        </w:rPr>
        <w:fldChar w:fldCharType="end"/>
      </w:r>
      <w:r w:rsidR="00420035" w:rsidRPr="00C03235">
        <w:rPr>
          <w:b/>
          <w:sz w:val="22"/>
          <w:szCs w:val="22"/>
        </w:rPr>
        <w:t>.</w:t>
      </w:r>
      <w:r w:rsidRPr="00C03235">
        <w:rPr>
          <w:b/>
          <w:bCs/>
          <w:sz w:val="22"/>
          <w:szCs w:val="22"/>
        </w:rPr>
        <w:t xml:space="preserve"> Información de gastos de AOM del sistema de generación solar fotovoltaico con almacenamiento reportada por HELIOS </w:t>
      </w:r>
      <w:r w:rsidR="00C43276" w:rsidRPr="00C03235">
        <w:rPr>
          <w:b/>
          <w:bCs/>
          <w:sz w:val="22"/>
          <w:szCs w:val="22"/>
        </w:rPr>
        <w:t>en el radicado CREG E-2022-006852</w:t>
      </w:r>
      <w:r w:rsidR="14C3207D" w:rsidRPr="00C03235">
        <w:rPr>
          <w:b/>
          <w:bCs/>
          <w:sz w:val="22"/>
          <w:szCs w:val="22"/>
        </w:rPr>
        <w:t xml:space="preserve"> en el archivo con nombre “(Anexo 06) PRESUPUESTO PLANTA DE GENERACI</w:t>
      </w:r>
      <w:r w:rsidR="682FB97C" w:rsidRPr="00C03235">
        <w:rPr>
          <w:b/>
          <w:bCs/>
          <w:sz w:val="22"/>
          <w:szCs w:val="22"/>
        </w:rPr>
        <w:t>Ó</w:t>
      </w:r>
      <w:r w:rsidR="14C3207D" w:rsidRPr="00C03235">
        <w:rPr>
          <w:b/>
          <w:bCs/>
          <w:sz w:val="22"/>
          <w:szCs w:val="22"/>
        </w:rPr>
        <w:t>N HIBRIDA NAZARETH-PUERTO ESTRELLA 03-06-2022”</w:t>
      </w:r>
    </w:p>
    <w:p w14:paraId="0E1B42A6" w14:textId="77777777" w:rsidR="00E14462" w:rsidRPr="00C03235" w:rsidRDefault="00E14462" w:rsidP="001B3E92">
      <w:pPr>
        <w:jc w:val="center"/>
        <w:rPr>
          <w:highlight w:val="yellow"/>
        </w:rPr>
      </w:pPr>
    </w:p>
    <w:p w14:paraId="2A9E9E4C" w14:textId="5B730340" w:rsidR="00420035" w:rsidRPr="00C03235" w:rsidRDefault="00420035" w:rsidP="001B3E92">
      <w:pPr>
        <w:jc w:val="center"/>
        <w:rPr>
          <w:highlight w:val="yellow"/>
        </w:rPr>
      </w:pPr>
      <w:r w:rsidRPr="00C03235">
        <w:rPr>
          <w:noProof/>
        </w:rPr>
        <w:lastRenderedPageBreak/>
        <w:drawing>
          <wp:inline distT="0" distB="0" distL="0" distR="0" wp14:anchorId="66509114" wp14:editId="5F6B5F7B">
            <wp:extent cx="3733800" cy="4293870"/>
            <wp:effectExtent l="0" t="0" r="0" b="0"/>
            <wp:docPr id="1471915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5741" name=""/>
                    <pic:cNvPicPr/>
                  </pic:nvPicPr>
                  <pic:blipFill>
                    <a:blip r:embed="rId17"/>
                    <a:stretch>
                      <a:fillRect/>
                    </a:stretch>
                  </pic:blipFill>
                  <pic:spPr>
                    <a:xfrm>
                      <a:off x="0" y="0"/>
                      <a:ext cx="3740431" cy="4301496"/>
                    </a:xfrm>
                    <a:prstGeom prst="rect">
                      <a:avLst/>
                    </a:prstGeom>
                  </pic:spPr>
                </pic:pic>
              </a:graphicData>
            </a:graphic>
          </wp:inline>
        </w:drawing>
      </w:r>
    </w:p>
    <w:p w14:paraId="26C1CBC0" w14:textId="0A223DC5" w:rsidR="00170159" w:rsidRPr="00C03235" w:rsidRDefault="00170159" w:rsidP="00170159">
      <w:pPr>
        <w:jc w:val="center"/>
        <w:rPr>
          <w:b/>
          <w:bCs/>
          <w:sz w:val="22"/>
          <w:szCs w:val="22"/>
        </w:rPr>
      </w:pPr>
      <w:r w:rsidRPr="00C03235">
        <w:rPr>
          <w:b/>
          <w:bCs/>
          <w:sz w:val="22"/>
          <w:szCs w:val="22"/>
        </w:rPr>
        <w:t xml:space="preserve">Figura </w:t>
      </w:r>
      <w:r w:rsidR="00E85CFA" w:rsidRPr="00C03235">
        <w:rPr>
          <w:b/>
          <w:bCs/>
          <w:i/>
          <w:iCs/>
          <w:sz w:val="22"/>
          <w:szCs w:val="22"/>
        </w:rPr>
        <w:fldChar w:fldCharType="begin"/>
      </w:r>
      <w:r w:rsidR="00E85CFA" w:rsidRPr="00C03235">
        <w:rPr>
          <w:b/>
          <w:bCs/>
          <w:sz w:val="22"/>
          <w:szCs w:val="22"/>
        </w:rPr>
        <w:instrText xml:space="preserve"> SEQ Figura \* ARABIC </w:instrText>
      </w:r>
      <w:r w:rsidR="00E85CFA" w:rsidRPr="00C03235">
        <w:rPr>
          <w:b/>
          <w:bCs/>
          <w:i/>
          <w:iCs/>
          <w:sz w:val="22"/>
          <w:szCs w:val="22"/>
        </w:rPr>
        <w:fldChar w:fldCharType="separate"/>
      </w:r>
      <w:r w:rsidR="00AB0C09">
        <w:rPr>
          <w:b/>
          <w:bCs/>
          <w:noProof/>
          <w:sz w:val="22"/>
          <w:szCs w:val="22"/>
        </w:rPr>
        <w:t>2</w:t>
      </w:r>
      <w:r w:rsidR="00E85CFA" w:rsidRPr="00C03235">
        <w:rPr>
          <w:b/>
          <w:bCs/>
          <w:i/>
          <w:iCs/>
          <w:sz w:val="22"/>
          <w:szCs w:val="22"/>
        </w:rPr>
        <w:fldChar w:fldCharType="end"/>
      </w:r>
      <w:r w:rsidR="00E85CFA" w:rsidRPr="00C03235">
        <w:rPr>
          <w:b/>
          <w:bCs/>
          <w:sz w:val="22"/>
          <w:szCs w:val="22"/>
        </w:rPr>
        <w:t>.</w:t>
      </w:r>
      <w:r w:rsidRPr="00C03235">
        <w:rPr>
          <w:b/>
          <w:bCs/>
          <w:sz w:val="22"/>
          <w:szCs w:val="22"/>
        </w:rPr>
        <w:t xml:space="preserve"> Gastos de personal reportados por HELIOS </w:t>
      </w:r>
      <w:r w:rsidR="00733C86" w:rsidRPr="00C03235">
        <w:rPr>
          <w:b/>
          <w:bCs/>
          <w:sz w:val="22"/>
          <w:szCs w:val="22"/>
        </w:rPr>
        <w:t>e incluidos en la hoja de “AOM G Solar” como concepto de “personal</w:t>
      </w:r>
      <w:r w:rsidR="001D6EFD" w:rsidRPr="00C03235">
        <w:rPr>
          <w:b/>
          <w:bCs/>
          <w:sz w:val="22"/>
          <w:szCs w:val="22"/>
        </w:rPr>
        <w:t xml:space="preserve"> operación</w:t>
      </w:r>
      <w:r w:rsidR="00733C86" w:rsidRPr="00C03235">
        <w:rPr>
          <w:b/>
          <w:bCs/>
          <w:sz w:val="22"/>
          <w:szCs w:val="22"/>
        </w:rPr>
        <w:t>”</w:t>
      </w:r>
      <w:r w:rsidR="001D6EFD" w:rsidRPr="00C03235">
        <w:rPr>
          <w:b/>
          <w:bCs/>
          <w:sz w:val="22"/>
          <w:szCs w:val="22"/>
        </w:rPr>
        <w:t xml:space="preserve"> y “Personal de Mantenimiento” en el archivo </w:t>
      </w:r>
      <w:r w:rsidR="00A927C6" w:rsidRPr="00C03235">
        <w:rPr>
          <w:b/>
          <w:bCs/>
          <w:sz w:val="22"/>
          <w:szCs w:val="22"/>
        </w:rPr>
        <w:t xml:space="preserve">con nombre “(Anexo 06) PRESUPUESTO PLANTA DE </w:t>
      </w:r>
      <w:r w:rsidR="00AF6A39" w:rsidRPr="00C03235">
        <w:rPr>
          <w:b/>
          <w:bCs/>
          <w:sz w:val="22"/>
          <w:szCs w:val="22"/>
        </w:rPr>
        <w:t xml:space="preserve">GENERACIÓN </w:t>
      </w:r>
      <w:r w:rsidR="00A927C6" w:rsidRPr="00C03235">
        <w:rPr>
          <w:b/>
          <w:bCs/>
          <w:sz w:val="22"/>
          <w:szCs w:val="22"/>
        </w:rPr>
        <w:t>HIBRIDA NAZARETH-PUERTO ESTRELLA 03-06-2022</w:t>
      </w:r>
      <w:r w:rsidR="00D6730A" w:rsidRPr="00C03235">
        <w:rPr>
          <w:b/>
          <w:bCs/>
          <w:sz w:val="22"/>
          <w:szCs w:val="22"/>
        </w:rPr>
        <w:t>”</w:t>
      </w:r>
      <w:r w:rsidR="00733C86" w:rsidRPr="00C03235">
        <w:rPr>
          <w:b/>
          <w:bCs/>
          <w:sz w:val="22"/>
          <w:szCs w:val="22"/>
        </w:rPr>
        <w:t xml:space="preserve"> </w:t>
      </w:r>
      <w:r w:rsidR="00D6730A" w:rsidRPr="00C03235">
        <w:rPr>
          <w:b/>
          <w:bCs/>
          <w:sz w:val="22"/>
          <w:szCs w:val="22"/>
        </w:rPr>
        <w:t>incluido en el</w:t>
      </w:r>
      <w:r w:rsidRPr="00C03235">
        <w:rPr>
          <w:b/>
          <w:bCs/>
          <w:sz w:val="22"/>
          <w:szCs w:val="22"/>
        </w:rPr>
        <w:t xml:space="preserve"> radicado CREG E-2022-006852</w:t>
      </w:r>
    </w:p>
    <w:p w14:paraId="52BFE6FB" w14:textId="77777777" w:rsidR="00170159" w:rsidRPr="00C03235" w:rsidRDefault="00170159" w:rsidP="001B3E92">
      <w:pPr>
        <w:jc w:val="center"/>
        <w:rPr>
          <w:highlight w:val="yellow"/>
        </w:rPr>
      </w:pPr>
    </w:p>
    <w:p w14:paraId="71868E63" w14:textId="68602107" w:rsidR="00E14462" w:rsidRPr="00C03235" w:rsidRDefault="00E14462" w:rsidP="001B3E92">
      <w:pPr>
        <w:jc w:val="center"/>
        <w:rPr>
          <w:highlight w:val="yellow"/>
        </w:rPr>
      </w:pPr>
      <w:r w:rsidRPr="00C03235">
        <w:rPr>
          <w:noProof/>
        </w:rPr>
        <w:drawing>
          <wp:inline distT="0" distB="0" distL="0" distR="0" wp14:anchorId="76AB5BBE" wp14:editId="00ED9C73">
            <wp:extent cx="3874528" cy="3454400"/>
            <wp:effectExtent l="0" t="0" r="0" b="0"/>
            <wp:docPr id="1415502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02548" name=""/>
                    <pic:cNvPicPr/>
                  </pic:nvPicPr>
                  <pic:blipFill>
                    <a:blip r:embed="rId18"/>
                    <a:stretch>
                      <a:fillRect/>
                    </a:stretch>
                  </pic:blipFill>
                  <pic:spPr>
                    <a:xfrm>
                      <a:off x="0" y="0"/>
                      <a:ext cx="3883165" cy="3462100"/>
                    </a:xfrm>
                    <a:prstGeom prst="rect">
                      <a:avLst/>
                    </a:prstGeom>
                  </pic:spPr>
                </pic:pic>
              </a:graphicData>
            </a:graphic>
          </wp:inline>
        </w:drawing>
      </w:r>
    </w:p>
    <w:p w14:paraId="2C4505BB" w14:textId="1B868E0F" w:rsidR="00226B0C" w:rsidRPr="00C03235" w:rsidRDefault="00226B0C" w:rsidP="00226B0C">
      <w:pPr>
        <w:jc w:val="center"/>
        <w:rPr>
          <w:b/>
          <w:bCs/>
          <w:sz w:val="22"/>
          <w:szCs w:val="22"/>
        </w:rPr>
      </w:pPr>
      <w:r w:rsidRPr="00C03235">
        <w:rPr>
          <w:b/>
          <w:bCs/>
          <w:sz w:val="22"/>
          <w:szCs w:val="22"/>
        </w:rPr>
        <w:t xml:space="preserve">Figura </w:t>
      </w:r>
      <w:r w:rsidR="00E85CFA" w:rsidRPr="00C03235">
        <w:rPr>
          <w:b/>
          <w:bCs/>
          <w:i/>
          <w:iCs/>
          <w:sz w:val="22"/>
          <w:szCs w:val="22"/>
        </w:rPr>
        <w:fldChar w:fldCharType="begin"/>
      </w:r>
      <w:r w:rsidR="00E85CFA" w:rsidRPr="00C03235">
        <w:rPr>
          <w:b/>
          <w:bCs/>
          <w:sz w:val="22"/>
          <w:szCs w:val="22"/>
        </w:rPr>
        <w:instrText xml:space="preserve"> SEQ Figura \* ARABIC </w:instrText>
      </w:r>
      <w:r w:rsidR="00E85CFA" w:rsidRPr="00C03235">
        <w:rPr>
          <w:b/>
          <w:bCs/>
          <w:i/>
          <w:iCs/>
          <w:sz w:val="22"/>
          <w:szCs w:val="22"/>
        </w:rPr>
        <w:fldChar w:fldCharType="separate"/>
      </w:r>
      <w:r w:rsidR="00AB0C09">
        <w:rPr>
          <w:b/>
          <w:bCs/>
          <w:noProof/>
          <w:sz w:val="22"/>
          <w:szCs w:val="22"/>
        </w:rPr>
        <w:t>3</w:t>
      </w:r>
      <w:r w:rsidR="00E85CFA" w:rsidRPr="00C03235">
        <w:rPr>
          <w:b/>
          <w:bCs/>
          <w:i/>
          <w:iCs/>
          <w:sz w:val="22"/>
          <w:szCs w:val="22"/>
        </w:rPr>
        <w:fldChar w:fldCharType="end"/>
      </w:r>
      <w:r w:rsidR="00E85CFA" w:rsidRPr="00C03235">
        <w:rPr>
          <w:b/>
          <w:bCs/>
          <w:sz w:val="22"/>
          <w:szCs w:val="22"/>
        </w:rPr>
        <w:t>.</w:t>
      </w:r>
      <w:r w:rsidRPr="00C03235">
        <w:rPr>
          <w:b/>
          <w:bCs/>
          <w:sz w:val="22"/>
          <w:szCs w:val="22"/>
        </w:rPr>
        <w:t xml:space="preserve"> Información de gastos de AOM del sistema de generación solar fotovoltaico con almacenamiento reportada por HELIOS en el radicado CREG E-</w:t>
      </w:r>
      <w:r w:rsidRPr="00C03235">
        <w:rPr>
          <w:b/>
          <w:bCs/>
          <w:sz w:val="22"/>
          <w:szCs w:val="22"/>
        </w:rPr>
        <w:lastRenderedPageBreak/>
        <w:t>2022-006852 en el archivo con nombre “</w:t>
      </w:r>
      <w:r w:rsidR="00AF6A39" w:rsidRPr="00C03235">
        <w:rPr>
          <w:b/>
          <w:bCs/>
          <w:sz w:val="22"/>
          <w:szCs w:val="22"/>
        </w:rPr>
        <w:t>(Anexo 01) Solicitud de cargos de generación solar 03-06-2022</w:t>
      </w:r>
      <w:r w:rsidRPr="00C03235">
        <w:rPr>
          <w:b/>
          <w:bCs/>
          <w:sz w:val="22"/>
          <w:szCs w:val="22"/>
        </w:rPr>
        <w:t>”</w:t>
      </w:r>
    </w:p>
    <w:p w14:paraId="04BA4077" w14:textId="77777777" w:rsidR="00AF6A39" w:rsidRPr="00C03235" w:rsidRDefault="00AF6A39" w:rsidP="00226B0C">
      <w:pPr>
        <w:jc w:val="center"/>
        <w:rPr>
          <w:b/>
          <w:bCs/>
        </w:rPr>
      </w:pPr>
    </w:p>
    <w:p w14:paraId="46450208" w14:textId="50A553E3" w:rsidR="003F1A37" w:rsidRPr="00C03235" w:rsidRDefault="003F1A37" w:rsidP="00BF1EB9">
      <w:pPr>
        <w:jc w:val="center"/>
        <w:rPr>
          <w:highlight w:val="yellow"/>
        </w:rPr>
      </w:pPr>
      <w:r w:rsidRPr="00C03235">
        <w:rPr>
          <w:noProof/>
        </w:rPr>
        <w:drawing>
          <wp:inline distT="0" distB="0" distL="0" distR="0" wp14:anchorId="71901ABB" wp14:editId="7F78F489">
            <wp:extent cx="3722625" cy="4258733"/>
            <wp:effectExtent l="0" t="0" r="0" b="8890"/>
            <wp:docPr id="807990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90000" name=""/>
                    <pic:cNvPicPr/>
                  </pic:nvPicPr>
                  <pic:blipFill>
                    <a:blip r:embed="rId19"/>
                    <a:stretch>
                      <a:fillRect/>
                    </a:stretch>
                  </pic:blipFill>
                  <pic:spPr>
                    <a:xfrm>
                      <a:off x="0" y="0"/>
                      <a:ext cx="3729943" cy="4267105"/>
                    </a:xfrm>
                    <a:prstGeom prst="rect">
                      <a:avLst/>
                    </a:prstGeom>
                  </pic:spPr>
                </pic:pic>
              </a:graphicData>
            </a:graphic>
          </wp:inline>
        </w:drawing>
      </w:r>
    </w:p>
    <w:p w14:paraId="38DDBE9D" w14:textId="7B3E0414" w:rsidR="007741AF" w:rsidRPr="00C03235" w:rsidRDefault="007741AF" w:rsidP="007741AF">
      <w:pPr>
        <w:jc w:val="center"/>
        <w:rPr>
          <w:b/>
          <w:bCs/>
          <w:sz w:val="22"/>
          <w:szCs w:val="22"/>
        </w:rPr>
      </w:pPr>
      <w:r w:rsidRPr="00C03235">
        <w:rPr>
          <w:b/>
          <w:bCs/>
          <w:sz w:val="22"/>
          <w:szCs w:val="22"/>
        </w:rPr>
        <w:t xml:space="preserve">Figura </w:t>
      </w:r>
      <w:r w:rsidR="00E85CFA" w:rsidRPr="00C03235">
        <w:rPr>
          <w:b/>
          <w:bCs/>
          <w:i/>
          <w:iCs/>
          <w:sz w:val="22"/>
          <w:szCs w:val="22"/>
        </w:rPr>
        <w:fldChar w:fldCharType="begin"/>
      </w:r>
      <w:r w:rsidR="00E85CFA" w:rsidRPr="00C03235">
        <w:rPr>
          <w:b/>
          <w:bCs/>
          <w:sz w:val="22"/>
          <w:szCs w:val="22"/>
        </w:rPr>
        <w:instrText xml:space="preserve"> SEQ Figura \* ARABIC </w:instrText>
      </w:r>
      <w:r w:rsidR="00E85CFA" w:rsidRPr="00C03235">
        <w:rPr>
          <w:b/>
          <w:bCs/>
          <w:i/>
          <w:iCs/>
          <w:sz w:val="22"/>
          <w:szCs w:val="22"/>
        </w:rPr>
        <w:fldChar w:fldCharType="separate"/>
      </w:r>
      <w:r w:rsidR="00AB0C09">
        <w:rPr>
          <w:b/>
          <w:bCs/>
          <w:noProof/>
          <w:sz w:val="22"/>
          <w:szCs w:val="22"/>
        </w:rPr>
        <w:t>4</w:t>
      </w:r>
      <w:r w:rsidR="00E85CFA" w:rsidRPr="00C03235">
        <w:rPr>
          <w:b/>
          <w:bCs/>
          <w:i/>
          <w:iCs/>
          <w:sz w:val="22"/>
          <w:szCs w:val="22"/>
        </w:rPr>
        <w:fldChar w:fldCharType="end"/>
      </w:r>
      <w:r w:rsidR="00E85CFA" w:rsidRPr="00C03235">
        <w:rPr>
          <w:b/>
          <w:bCs/>
          <w:sz w:val="22"/>
          <w:szCs w:val="22"/>
        </w:rPr>
        <w:t>.</w:t>
      </w:r>
      <w:r w:rsidRPr="00C03235">
        <w:rPr>
          <w:b/>
          <w:bCs/>
          <w:sz w:val="22"/>
          <w:szCs w:val="22"/>
        </w:rPr>
        <w:t xml:space="preserve"> Información de gastos de AOM del sistema de generación solar fotovoltaico con almacenamiento reportada por HELIOS en el radicado CREG </w:t>
      </w:r>
      <w:r w:rsidR="00D22D87" w:rsidRPr="00C03235">
        <w:rPr>
          <w:b/>
          <w:bCs/>
          <w:sz w:val="22"/>
          <w:szCs w:val="22"/>
        </w:rPr>
        <w:t xml:space="preserve">E2023011007 </w:t>
      </w:r>
      <w:r w:rsidRPr="00C03235">
        <w:rPr>
          <w:b/>
          <w:bCs/>
          <w:sz w:val="22"/>
          <w:szCs w:val="22"/>
        </w:rPr>
        <w:t xml:space="preserve">en el archivo con nombre </w:t>
      </w:r>
      <w:r w:rsidR="004E172F" w:rsidRPr="00C03235">
        <w:rPr>
          <w:b/>
          <w:bCs/>
          <w:sz w:val="22"/>
          <w:szCs w:val="22"/>
        </w:rPr>
        <w:t>“</w:t>
      </w:r>
      <w:r w:rsidR="00473F0E" w:rsidRPr="00C03235">
        <w:rPr>
          <w:b/>
          <w:bCs/>
          <w:sz w:val="22"/>
          <w:szCs w:val="22"/>
        </w:rPr>
        <w:t>_Anexo_01__PRESUPUESTO_PLANTA_DE_GENERACION_HIBRIDA_NAZARETH_PUERTO_ESTRELLA</w:t>
      </w:r>
      <w:r w:rsidRPr="00C03235">
        <w:rPr>
          <w:b/>
          <w:bCs/>
          <w:sz w:val="22"/>
          <w:szCs w:val="22"/>
        </w:rPr>
        <w:t>”</w:t>
      </w:r>
    </w:p>
    <w:p w14:paraId="3E0D7D39" w14:textId="3312E7EA" w:rsidR="001E0799" w:rsidRPr="00C03235" w:rsidRDefault="001E0799" w:rsidP="002F310B">
      <w:pPr>
        <w:ind w:left="708"/>
        <w:jc w:val="center"/>
        <w:rPr>
          <w:highlight w:val="yellow"/>
        </w:rPr>
      </w:pPr>
    </w:p>
    <w:p w14:paraId="7DBD3404" w14:textId="7F571D7A" w:rsidR="00D712BD" w:rsidRPr="00C03235" w:rsidRDefault="06B4CD5F" w:rsidP="00E71FD7">
      <w:pPr>
        <w:spacing w:line="259" w:lineRule="auto"/>
        <w:jc w:val="both"/>
      </w:pPr>
      <w:r w:rsidRPr="00C03235">
        <w:t xml:space="preserve">Es importante recordar </w:t>
      </w:r>
      <w:r w:rsidR="5F8FAC37" w:rsidRPr="00C03235">
        <w:t>que</w:t>
      </w:r>
      <w:r w:rsidR="00102E3D" w:rsidRPr="00C03235">
        <w:t xml:space="preserve">, </w:t>
      </w:r>
      <w:r w:rsidR="005B7814" w:rsidRPr="00C03235">
        <w:t>en el reconocimiento de los costos de operación</w:t>
      </w:r>
      <w:r w:rsidR="00102E3D" w:rsidRPr="00C03235">
        <w:t xml:space="preserve">, en este caso de generación, </w:t>
      </w:r>
      <w:r w:rsidR="018BC7D1" w:rsidRPr="00C03235">
        <w:t xml:space="preserve">debe </w:t>
      </w:r>
      <w:r w:rsidRPr="00C03235">
        <w:t>tener</w:t>
      </w:r>
      <w:r w:rsidR="00102E3D" w:rsidRPr="00C03235">
        <w:t>se</w:t>
      </w:r>
      <w:r w:rsidRPr="00C03235">
        <w:t xml:space="preserve"> en cuenta el principio</w:t>
      </w:r>
      <w:r w:rsidR="3D05FBB4" w:rsidRPr="00C03235">
        <w:t xml:space="preserve"> de</w:t>
      </w:r>
      <w:r w:rsidRPr="00C03235">
        <w:t xml:space="preserve"> eficiencia económica establecido en el numeral 87.1 </w:t>
      </w:r>
      <w:r w:rsidR="3F14600A" w:rsidRPr="00C03235">
        <w:t xml:space="preserve">del artículo 87 </w:t>
      </w:r>
      <w:r w:rsidRPr="00C03235">
        <w:t xml:space="preserve">de la </w:t>
      </w:r>
      <w:r w:rsidR="00D84475">
        <w:t>L</w:t>
      </w:r>
      <w:r w:rsidRPr="00C03235">
        <w:t xml:space="preserve">ey 142 de 1994, el cual </w:t>
      </w:r>
      <w:r w:rsidR="2085F7AA" w:rsidRPr="00C03235">
        <w:t>señala</w:t>
      </w:r>
      <w:r w:rsidRPr="00C03235">
        <w:t>:</w:t>
      </w:r>
    </w:p>
    <w:p w14:paraId="230B2AA5" w14:textId="77777777" w:rsidR="00102E3D" w:rsidRPr="00C03235" w:rsidRDefault="00102E3D" w:rsidP="00E71FD7">
      <w:pPr>
        <w:spacing w:line="259" w:lineRule="auto"/>
        <w:jc w:val="both"/>
      </w:pPr>
    </w:p>
    <w:p w14:paraId="265A2367" w14:textId="19A8039A" w:rsidR="00D712BD" w:rsidRPr="00C03235" w:rsidRDefault="06B4CD5F" w:rsidP="00102E3D">
      <w:pPr>
        <w:ind w:left="284"/>
        <w:jc w:val="both"/>
        <w:rPr>
          <w:i/>
          <w:iCs/>
          <w:sz w:val="22"/>
          <w:szCs w:val="22"/>
        </w:rPr>
      </w:pPr>
      <w:r w:rsidRPr="00C03235">
        <w:rPr>
          <w:sz w:val="22"/>
          <w:szCs w:val="22"/>
        </w:rPr>
        <w:t>“</w:t>
      </w:r>
      <w:r w:rsidRPr="00C03235">
        <w:rPr>
          <w:i/>
          <w:iCs/>
          <w:sz w:val="22"/>
          <w:szCs w:val="22"/>
        </w:rPr>
        <w:t>(…)</w:t>
      </w:r>
      <w:r w:rsidRPr="00C03235">
        <w:rPr>
          <w:b/>
          <w:bCs/>
          <w:i/>
          <w:iCs/>
          <w:sz w:val="22"/>
          <w:szCs w:val="22"/>
          <w:u w:val="single"/>
        </w:rPr>
        <w:t xml:space="preserve"> que las fórmulas tarifarias no pueden trasladar a los usuarios los costos de una gestión ineficiente</w:t>
      </w:r>
      <w:r w:rsidRPr="00C03235">
        <w:rPr>
          <w:i/>
          <w:iCs/>
          <w:sz w:val="22"/>
          <w:szCs w:val="22"/>
        </w:rPr>
        <w:t>, ni permitir que las empresas se apropien de las utilidades provenientes de prácticas restrictivas de la competencia. (…)”</w:t>
      </w:r>
      <w:r w:rsidR="157592EC" w:rsidRPr="00C03235">
        <w:rPr>
          <w:i/>
          <w:iCs/>
          <w:sz w:val="22"/>
          <w:szCs w:val="22"/>
        </w:rPr>
        <w:t xml:space="preserve"> </w:t>
      </w:r>
      <w:r w:rsidR="00C61561" w:rsidRPr="00C03235">
        <w:rPr>
          <w:sz w:val="22"/>
          <w:szCs w:val="22"/>
        </w:rPr>
        <w:t>Resaltado y subrayado fuera de texto</w:t>
      </w:r>
    </w:p>
    <w:p w14:paraId="0D87C659" w14:textId="77777777" w:rsidR="00102E3D" w:rsidRPr="00C03235" w:rsidRDefault="00102E3D" w:rsidP="00102E3D">
      <w:pPr>
        <w:spacing w:line="259" w:lineRule="auto"/>
        <w:jc w:val="both"/>
      </w:pPr>
    </w:p>
    <w:p w14:paraId="559A1190" w14:textId="0322112C" w:rsidR="007F22D5" w:rsidRPr="00C03235" w:rsidRDefault="142D0972" w:rsidP="00546199">
      <w:pPr>
        <w:spacing w:line="259" w:lineRule="auto"/>
        <w:jc w:val="both"/>
      </w:pPr>
      <w:r w:rsidRPr="00C03235">
        <w:t xml:space="preserve">En el ejercicio de análisis de la información aportada por el recurrente </w:t>
      </w:r>
      <w:r w:rsidR="008B7F88" w:rsidRPr="00C03235">
        <w:t>dentro de la actuación administrativa</w:t>
      </w:r>
      <w:r w:rsidR="11543E00" w:rsidRPr="00C03235">
        <w:t xml:space="preserve">, la Comisión </w:t>
      </w:r>
      <w:r w:rsidR="0A89F183" w:rsidRPr="00C03235">
        <w:t>efectuó</w:t>
      </w:r>
      <w:r w:rsidR="11543E00" w:rsidRPr="00C03235">
        <w:t xml:space="preserve"> un </w:t>
      </w:r>
      <w:r w:rsidR="5744C22F" w:rsidRPr="00C03235">
        <w:t xml:space="preserve">estudio </w:t>
      </w:r>
      <w:r w:rsidR="11543E00" w:rsidRPr="00C03235">
        <w:t xml:space="preserve">comparativo en el que se pudo observar que el </w:t>
      </w:r>
      <w:r w:rsidR="008B7F88" w:rsidRPr="00C03235">
        <w:t xml:space="preserve">valor del </w:t>
      </w:r>
      <w:r w:rsidR="11543E00" w:rsidRPr="00C03235">
        <w:t>cargo</w:t>
      </w:r>
      <w:r w:rsidR="008B7F88" w:rsidRPr="00C03235">
        <w:t xml:space="preserve"> calculado con base en la información </w:t>
      </w:r>
      <w:r w:rsidR="00AF7460" w:rsidRPr="00C03235">
        <w:t xml:space="preserve">aportada </w:t>
      </w:r>
      <w:r w:rsidR="008B7F88" w:rsidRPr="00C03235">
        <w:t>por</w:t>
      </w:r>
      <w:r w:rsidR="11543E00" w:rsidRPr="00C03235">
        <w:t xml:space="preserve"> HELIOS para el mercado de Nazareth y Puerto Estrella es </w:t>
      </w:r>
      <w:r w:rsidR="002B7535" w:rsidRPr="00C03235">
        <w:t>sig</w:t>
      </w:r>
      <w:r w:rsidR="00111156" w:rsidRPr="00C03235">
        <w:t>nificativamente distinto</w:t>
      </w:r>
      <w:r w:rsidR="00BC1A61" w:rsidRPr="00C03235">
        <w:t xml:space="preserve"> y superior </w:t>
      </w:r>
      <w:r w:rsidR="11543E00" w:rsidRPr="00C03235">
        <w:t xml:space="preserve">a </w:t>
      </w:r>
      <w:r w:rsidR="008B7F88" w:rsidRPr="00C03235">
        <w:t>l</w:t>
      </w:r>
      <w:r w:rsidR="10F35631" w:rsidRPr="00C03235">
        <w:t xml:space="preserve">os cargos de generación </w:t>
      </w:r>
      <w:r w:rsidR="6CD63A95" w:rsidRPr="00C03235">
        <w:t>de las</w:t>
      </w:r>
      <w:r w:rsidR="11543E00" w:rsidRPr="00C03235">
        <w:t xml:space="preserve"> actuaciones administrativas aprobadas por la </w:t>
      </w:r>
      <w:r w:rsidR="0A89F183" w:rsidRPr="00C03235">
        <w:t>C</w:t>
      </w:r>
      <w:r w:rsidR="11543E00" w:rsidRPr="00C03235">
        <w:t>omisión para</w:t>
      </w:r>
      <w:r w:rsidR="00BC1A61" w:rsidRPr="00C03235">
        <w:t xml:space="preserve"> otros mercados en</w:t>
      </w:r>
      <w:r w:rsidR="11543E00" w:rsidRPr="00C03235">
        <w:t xml:space="preserve"> </w:t>
      </w:r>
      <w:r w:rsidR="116114C7" w:rsidRPr="00C03235">
        <w:t>zonas no interconectadas</w:t>
      </w:r>
      <w:r w:rsidR="11543E00" w:rsidRPr="00C03235">
        <w:t xml:space="preserve"> desde el año 2019 (Ver </w:t>
      </w:r>
      <w:r w:rsidR="004F2D61" w:rsidRPr="00C03235">
        <w:t>Figura 5 y</w:t>
      </w:r>
      <w:r w:rsidR="11543E00" w:rsidRPr="00C03235">
        <w:t xml:space="preserve"> </w:t>
      </w:r>
      <w:r w:rsidR="004F2D61" w:rsidRPr="00C03235">
        <w:t>6</w:t>
      </w:r>
      <w:r w:rsidR="11543E00" w:rsidRPr="00C03235">
        <w:t>).</w:t>
      </w:r>
    </w:p>
    <w:p w14:paraId="7F466903" w14:textId="77777777" w:rsidR="00E5586E" w:rsidRPr="00C03235" w:rsidRDefault="00E5586E" w:rsidP="00546199">
      <w:pPr>
        <w:spacing w:line="259" w:lineRule="auto"/>
        <w:jc w:val="both"/>
      </w:pPr>
    </w:p>
    <w:p w14:paraId="7741CC96" w14:textId="602E56D6" w:rsidR="00527B4C" w:rsidRPr="00C03235" w:rsidRDefault="00D9136E" w:rsidP="00D9136E">
      <w:pPr>
        <w:jc w:val="center"/>
      </w:pPr>
      <w:r w:rsidRPr="00C03235">
        <w:rPr>
          <w:noProof/>
        </w:rPr>
        <w:lastRenderedPageBreak/>
        <w:drawing>
          <wp:inline distT="0" distB="0" distL="0" distR="0" wp14:anchorId="5DAF1929" wp14:editId="0D075ED5">
            <wp:extent cx="3856382" cy="2709985"/>
            <wp:effectExtent l="19050" t="19050" r="10795" b="14605"/>
            <wp:docPr id="588935644" name="Picture 58893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4022" cy="2715354"/>
                    </a:xfrm>
                    <a:prstGeom prst="rect">
                      <a:avLst/>
                    </a:prstGeom>
                    <a:noFill/>
                    <a:ln>
                      <a:solidFill>
                        <a:schemeClr val="tx1"/>
                      </a:solidFill>
                    </a:ln>
                  </pic:spPr>
                </pic:pic>
              </a:graphicData>
            </a:graphic>
          </wp:inline>
        </w:drawing>
      </w:r>
    </w:p>
    <w:p w14:paraId="1D61F4AE" w14:textId="3EC7352B" w:rsidR="00F50288" w:rsidRPr="00C03235" w:rsidRDefault="00F55579" w:rsidP="00F50288">
      <w:pPr>
        <w:pStyle w:val="Descripcin"/>
        <w:jc w:val="center"/>
        <w:rPr>
          <w:b/>
          <w:bCs/>
          <w:i w:val="0"/>
          <w:iCs w:val="0"/>
          <w:color w:val="auto"/>
          <w:sz w:val="22"/>
          <w:szCs w:val="22"/>
        </w:rPr>
      </w:pPr>
      <w:r w:rsidRPr="00C03235">
        <w:rPr>
          <w:b/>
          <w:bCs/>
          <w:i w:val="0"/>
          <w:iCs w:val="0"/>
          <w:color w:val="auto"/>
          <w:sz w:val="22"/>
          <w:szCs w:val="22"/>
        </w:rPr>
        <w:t xml:space="preserve">Figura </w:t>
      </w:r>
      <w:r w:rsidRPr="00C03235">
        <w:rPr>
          <w:b/>
          <w:bCs/>
          <w:i w:val="0"/>
          <w:iCs w:val="0"/>
          <w:color w:val="auto"/>
          <w:sz w:val="22"/>
          <w:szCs w:val="22"/>
        </w:rPr>
        <w:fldChar w:fldCharType="begin"/>
      </w:r>
      <w:r w:rsidRPr="00C03235">
        <w:rPr>
          <w:b/>
          <w:bCs/>
          <w:i w:val="0"/>
          <w:iCs w:val="0"/>
          <w:color w:val="auto"/>
          <w:sz w:val="22"/>
          <w:szCs w:val="22"/>
        </w:rPr>
        <w:instrText xml:space="preserve"> SEQ Figura \* ARABIC </w:instrText>
      </w:r>
      <w:r w:rsidRPr="00C03235">
        <w:rPr>
          <w:b/>
          <w:bCs/>
          <w:i w:val="0"/>
          <w:iCs w:val="0"/>
          <w:color w:val="auto"/>
          <w:sz w:val="22"/>
          <w:szCs w:val="22"/>
        </w:rPr>
        <w:fldChar w:fldCharType="separate"/>
      </w:r>
      <w:r w:rsidR="00AB0C09">
        <w:rPr>
          <w:b/>
          <w:bCs/>
          <w:i w:val="0"/>
          <w:iCs w:val="0"/>
          <w:noProof/>
          <w:color w:val="auto"/>
          <w:sz w:val="22"/>
          <w:szCs w:val="22"/>
        </w:rPr>
        <w:t>5</w:t>
      </w:r>
      <w:r w:rsidRPr="00C03235">
        <w:rPr>
          <w:b/>
          <w:bCs/>
          <w:i w:val="0"/>
          <w:iCs w:val="0"/>
          <w:color w:val="auto"/>
          <w:sz w:val="22"/>
          <w:szCs w:val="22"/>
        </w:rPr>
        <w:fldChar w:fldCharType="end"/>
      </w:r>
      <w:r w:rsidRPr="00C03235">
        <w:rPr>
          <w:b/>
          <w:bCs/>
          <w:i w:val="0"/>
          <w:iCs w:val="0"/>
          <w:color w:val="auto"/>
          <w:sz w:val="22"/>
          <w:szCs w:val="22"/>
        </w:rPr>
        <w:t>.</w:t>
      </w:r>
      <w:r w:rsidR="00F50288" w:rsidRPr="00C03235">
        <w:rPr>
          <w:b/>
          <w:sz w:val="22"/>
          <w:szCs w:val="22"/>
        </w:rPr>
        <w:t xml:space="preserve"> </w:t>
      </w:r>
      <w:r w:rsidR="00F50288" w:rsidRPr="00C03235">
        <w:rPr>
          <w:b/>
          <w:i w:val="0"/>
          <w:color w:val="auto"/>
          <w:sz w:val="22"/>
          <w:szCs w:val="22"/>
        </w:rPr>
        <w:t xml:space="preserve">Comparación del cargo de generación </w:t>
      </w:r>
      <w:r w:rsidR="00336B7D" w:rsidRPr="00C03235">
        <w:rPr>
          <w:b/>
          <w:i w:val="0"/>
          <w:color w:val="auto"/>
          <w:sz w:val="22"/>
          <w:szCs w:val="22"/>
        </w:rPr>
        <w:t xml:space="preserve">con tecnología SFV </w:t>
      </w:r>
      <w:r w:rsidR="00F50288" w:rsidRPr="00C03235">
        <w:rPr>
          <w:b/>
          <w:i w:val="0"/>
          <w:color w:val="auto"/>
          <w:sz w:val="22"/>
          <w:szCs w:val="22"/>
        </w:rPr>
        <w:t xml:space="preserve">calculado con base en la información de HELIOS para el mercado de Nazareth y Puerto Estrella con otros cargos de generación </w:t>
      </w:r>
      <w:r w:rsidR="00931A39" w:rsidRPr="00C03235">
        <w:rPr>
          <w:b/>
          <w:i w:val="0"/>
          <w:color w:val="auto"/>
          <w:sz w:val="22"/>
          <w:szCs w:val="22"/>
        </w:rPr>
        <w:t xml:space="preserve">con tecnología SFV </w:t>
      </w:r>
      <w:r w:rsidR="00F50288" w:rsidRPr="00C03235">
        <w:rPr>
          <w:b/>
          <w:i w:val="0"/>
          <w:color w:val="auto"/>
          <w:sz w:val="22"/>
          <w:szCs w:val="22"/>
        </w:rPr>
        <w:t>aprobados por la comisión para ZNI</w:t>
      </w:r>
    </w:p>
    <w:p w14:paraId="7482FFB9" w14:textId="0C047DC9" w:rsidR="00D9136E" w:rsidRPr="00C03235" w:rsidRDefault="00D9136E" w:rsidP="00D9136E">
      <w:pPr>
        <w:jc w:val="center"/>
      </w:pPr>
    </w:p>
    <w:p w14:paraId="7686795F" w14:textId="40C8B115" w:rsidR="00D9136E" w:rsidRPr="00C03235" w:rsidRDefault="00D9136E" w:rsidP="00D9136E">
      <w:pPr>
        <w:jc w:val="center"/>
      </w:pPr>
      <w:r w:rsidRPr="00C03235">
        <w:rPr>
          <w:noProof/>
        </w:rPr>
        <w:drawing>
          <wp:inline distT="0" distB="0" distL="0" distR="0" wp14:anchorId="1B60BC81" wp14:editId="65F475AE">
            <wp:extent cx="3856355" cy="2962248"/>
            <wp:effectExtent l="19050" t="19050" r="10795" b="10160"/>
            <wp:docPr id="458950699" name="Picture 45895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2711" cy="2982493"/>
                    </a:xfrm>
                    <a:prstGeom prst="rect">
                      <a:avLst/>
                    </a:prstGeom>
                    <a:noFill/>
                    <a:ln>
                      <a:solidFill>
                        <a:schemeClr val="tx1"/>
                      </a:solidFill>
                    </a:ln>
                  </pic:spPr>
                </pic:pic>
              </a:graphicData>
            </a:graphic>
          </wp:inline>
        </w:drawing>
      </w:r>
    </w:p>
    <w:p w14:paraId="464DD134" w14:textId="726EFE24" w:rsidR="00433D9D" w:rsidRPr="00C03235" w:rsidRDefault="00B7278C" w:rsidP="00B7278C">
      <w:pPr>
        <w:pStyle w:val="Descripcin"/>
        <w:jc w:val="center"/>
        <w:rPr>
          <w:b/>
          <w:bCs/>
          <w:i w:val="0"/>
          <w:iCs w:val="0"/>
          <w:color w:val="auto"/>
          <w:sz w:val="22"/>
          <w:szCs w:val="22"/>
        </w:rPr>
      </w:pPr>
      <w:bookmarkStart w:id="0" w:name="_Ref147008502"/>
      <w:r w:rsidRPr="00C03235">
        <w:rPr>
          <w:b/>
          <w:i w:val="0"/>
          <w:color w:val="auto"/>
          <w:sz w:val="22"/>
          <w:szCs w:val="22"/>
        </w:rPr>
        <w:t xml:space="preserve">Figura </w:t>
      </w:r>
      <w:r w:rsidRPr="00C03235">
        <w:rPr>
          <w:b/>
          <w:i w:val="0"/>
          <w:color w:val="auto"/>
          <w:sz w:val="22"/>
          <w:szCs w:val="22"/>
        </w:rPr>
        <w:fldChar w:fldCharType="begin"/>
      </w:r>
      <w:r w:rsidRPr="00C03235">
        <w:rPr>
          <w:b/>
          <w:i w:val="0"/>
          <w:color w:val="auto"/>
          <w:sz w:val="22"/>
          <w:szCs w:val="22"/>
        </w:rPr>
        <w:instrText xml:space="preserve"> SEQ Figura \* ARABIC </w:instrText>
      </w:r>
      <w:r w:rsidRPr="00C03235">
        <w:rPr>
          <w:b/>
          <w:i w:val="0"/>
          <w:color w:val="auto"/>
          <w:sz w:val="22"/>
          <w:szCs w:val="22"/>
        </w:rPr>
        <w:fldChar w:fldCharType="separate"/>
      </w:r>
      <w:r w:rsidR="00AB0C09">
        <w:rPr>
          <w:b/>
          <w:i w:val="0"/>
          <w:noProof/>
          <w:color w:val="auto"/>
          <w:sz w:val="22"/>
          <w:szCs w:val="22"/>
        </w:rPr>
        <w:t>6</w:t>
      </w:r>
      <w:r w:rsidRPr="00C03235">
        <w:rPr>
          <w:b/>
          <w:i w:val="0"/>
          <w:color w:val="auto"/>
          <w:sz w:val="22"/>
          <w:szCs w:val="22"/>
        </w:rPr>
        <w:fldChar w:fldCharType="end"/>
      </w:r>
      <w:bookmarkEnd w:id="0"/>
      <w:r w:rsidR="001E4FAB" w:rsidRPr="00C03235">
        <w:rPr>
          <w:b/>
          <w:bCs/>
          <w:i w:val="0"/>
          <w:iCs w:val="0"/>
          <w:color w:val="auto"/>
          <w:sz w:val="22"/>
          <w:szCs w:val="22"/>
        </w:rPr>
        <w:t>.</w:t>
      </w:r>
      <w:r w:rsidR="001E4FAB" w:rsidRPr="00C03235">
        <w:rPr>
          <w:b/>
          <w:sz w:val="22"/>
          <w:szCs w:val="22"/>
        </w:rPr>
        <w:t xml:space="preserve"> </w:t>
      </w:r>
      <w:r w:rsidRPr="00C03235">
        <w:rPr>
          <w:b/>
          <w:bCs/>
          <w:i w:val="0"/>
          <w:iCs w:val="0"/>
          <w:color w:val="auto"/>
          <w:sz w:val="22"/>
          <w:szCs w:val="22"/>
        </w:rPr>
        <w:t xml:space="preserve">Comparación del cargo </w:t>
      </w:r>
      <w:r w:rsidR="005D33A8" w:rsidRPr="00C03235">
        <w:rPr>
          <w:b/>
          <w:bCs/>
          <w:i w:val="0"/>
          <w:iCs w:val="0"/>
          <w:color w:val="auto"/>
          <w:sz w:val="22"/>
          <w:szCs w:val="22"/>
        </w:rPr>
        <w:t xml:space="preserve">de generación </w:t>
      </w:r>
      <w:r w:rsidR="00931A39" w:rsidRPr="00C03235">
        <w:rPr>
          <w:b/>
          <w:i w:val="0"/>
          <w:color w:val="auto"/>
          <w:sz w:val="22"/>
          <w:szCs w:val="22"/>
        </w:rPr>
        <w:t>con tecnología de almacenamiento</w:t>
      </w:r>
      <w:r w:rsidR="005D33A8" w:rsidRPr="00C03235">
        <w:rPr>
          <w:b/>
          <w:i w:val="0"/>
          <w:color w:val="auto"/>
          <w:sz w:val="22"/>
          <w:szCs w:val="22"/>
        </w:rPr>
        <w:t xml:space="preserve"> </w:t>
      </w:r>
      <w:r w:rsidR="005D33A8" w:rsidRPr="00C03235">
        <w:rPr>
          <w:b/>
          <w:bCs/>
          <w:i w:val="0"/>
          <w:iCs w:val="0"/>
          <w:color w:val="auto"/>
          <w:sz w:val="22"/>
          <w:szCs w:val="22"/>
        </w:rPr>
        <w:t xml:space="preserve">calculado con base en la información de </w:t>
      </w:r>
      <w:r w:rsidRPr="00C03235">
        <w:rPr>
          <w:b/>
          <w:bCs/>
          <w:i w:val="0"/>
          <w:iCs w:val="0"/>
          <w:color w:val="auto"/>
          <w:sz w:val="22"/>
          <w:szCs w:val="22"/>
        </w:rPr>
        <w:t>HELIOS</w:t>
      </w:r>
      <w:r w:rsidR="00503FB8" w:rsidRPr="00C03235">
        <w:rPr>
          <w:b/>
          <w:bCs/>
          <w:i w:val="0"/>
          <w:iCs w:val="0"/>
          <w:color w:val="auto"/>
          <w:sz w:val="22"/>
          <w:szCs w:val="22"/>
        </w:rPr>
        <w:t xml:space="preserve"> para el mercado de Nazareth y Puerto Estrella con otros</w:t>
      </w:r>
      <w:r w:rsidRPr="00C03235">
        <w:rPr>
          <w:b/>
          <w:bCs/>
          <w:i w:val="0"/>
          <w:iCs w:val="0"/>
          <w:color w:val="auto"/>
          <w:sz w:val="22"/>
          <w:szCs w:val="22"/>
        </w:rPr>
        <w:t xml:space="preserve"> cargos</w:t>
      </w:r>
      <w:r w:rsidR="005D33A8" w:rsidRPr="00C03235">
        <w:rPr>
          <w:b/>
          <w:bCs/>
          <w:i w:val="0"/>
          <w:iCs w:val="0"/>
          <w:color w:val="auto"/>
          <w:sz w:val="22"/>
          <w:szCs w:val="22"/>
        </w:rPr>
        <w:t xml:space="preserve"> de generación</w:t>
      </w:r>
      <w:r w:rsidRPr="00C03235">
        <w:rPr>
          <w:b/>
          <w:bCs/>
          <w:i w:val="0"/>
          <w:iCs w:val="0"/>
          <w:color w:val="auto"/>
          <w:sz w:val="22"/>
          <w:szCs w:val="22"/>
        </w:rPr>
        <w:t xml:space="preserve"> </w:t>
      </w:r>
      <w:r w:rsidR="00931A39" w:rsidRPr="00C03235">
        <w:rPr>
          <w:b/>
          <w:i w:val="0"/>
          <w:color w:val="auto"/>
          <w:sz w:val="22"/>
          <w:szCs w:val="22"/>
        </w:rPr>
        <w:t xml:space="preserve">con tecnología de almacenamiento </w:t>
      </w:r>
      <w:r w:rsidRPr="00C03235">
        <w:rPr>
          <w:b/>
          <w:bCs/>
          <w:i w:val="0"/>
          <w:iCs w:val="0"/>
          <w:color w:val="auto"/>
          <w:sz w:val="22"/>
          <w:szCs w:val="22"/>
        </w:rPr>
        <w:t>aprobados</w:t>
      </w:r>
      <w:r w:rsidR="005D33A8" w:rsidRPr="00C03235">
        <w:rPr>
          <w:b/>
          <w:bCs/>
          <w:i w:val="0"/>
          <w:iCs w:val="0"/>
          <w:color w:val="auto"/>
          <w:sz w:val="22"/>
          <w:szCs w:val="22"/>
        </w:rPr>
        <w:t xml:space="preserve"> por la comisión</w:t>
      </w:r>
      <w:r w:rsidRPr="00C03235">
        <w:rPr>
          <w:b/>
          <w:bCs/>
          <w:i w:val="0"/>
          <w:iCs w:val="0"/>
          <w:color w:val="auto"/>
          <w:sz w:val="22"/>
          <w:szCs w:val="22"/>
        </w:rPr>
        <w:t xml:space="preserve"> </w:t>
      </w:r>
      <w:r w:rsidR="008D3D6C" w:rsidRPr="00C03235">
        <w:rPr>
          <w:b/>
          <w:bCs/>
          <w:i w:val="0"/>
          <w:iCs w:val="0"/>
          <w:color w:val="auto"/>
          <w:sz w:val="22"/>
          <w:szCs w:val="22"/>
        </w:rPr>
        <w:t xml:space="preserve">para </w:t>
      </w:r>
      <w:r w:rsidRPr="00C03235">
        <w:rPr>
          <w:b/>
          <w:bCs/>
          <w:i w:val="0"/>
          <w:iCs w:val="0"/>
          <w:color w:val="auto"/>
          <w:sz w:val="22"/>
          <w:szCs w:val="22"/>
        </w:rPr>
        <w:t>ZNI</w:t>
      </w:r>
    </w:p>
    <w:p w14:paraId="6831F290" w14:textId="66AB363D" w:rsidR="003C7F78" w:rsidRPr="00C03235" w:rsidRDefault="1392129B" w:rsidP="79E27E0E">
      <w:pPr>
        <w:spacing w:line="259" w:lineRule="auto"/>
        <w:jc w:val="both"/>
      </w:pPr>
      <w:r w:rsidRPr="00C03235">
        <w:t xml:space="preserve">En vista de lo anterior, </w:t>
      </w:r>
      <w:r w:rsidR="00B14147" w:rsidRPr="00C03235">
        <w:t xml:space="preserve">se </w:t>
      </w:r>
      <w:r w:rsidRPr="00C03235">
        <w:t xml:space="preserve">procedió a </w:t>
      </w:r>
      <w:r w:rsidR="1240F8CE" w:rsidRPr="00C03235">
        <w:t xml:space="preserve">tomar </w:t>
      </w:r>
      <w:r w:rsidRPr="00C03235">
        <w:t xml:space="preserve">como referencia </w:t>
      </w:r>
      <w:r w:rsidR="6E3535E6" w:rsidRPr="00C03235">
        <w:t xml:space="preserve">el </w:t>
      </w:r>
      <w:r w:rsidR="3BB6F7AB" w:rsidRPr="00C03235">
        <w:t>cargo</w:t>
      </w:r>
      <w:r w:rsidR="0E3E32E9" w:rsidRPr="00C03235">
        <w:t xml:space="preserve"> de generación aprobado por la CREG para el</w:t>
      </w:r>
      <w:r w:rsidRPr="00C03235">
        <w:t xml:space="preserve"> mercado de Unguía y los corregimientos de Gilgal, Santa María y Tanela, </w:t>
      </w:r>
      <w:r w:rsidR="004D4A42" w:rsidRPr="00C03235">
        <w:t>el cual goza de legalidad y</w:t>
      </w:r>
      <w:r w:rsidR="00FC2CC1" w:rsidRPr="00C03235">
        <w:t xml:space="preserve">, en ese sentido, </w:t>
      </w:r>
      <w:r w:rsidR="00865420" w:rsidRPr="00C03235">
        <w:t>cumple</w:t>
      </w:r>
      <w:r w:rsidR="004D4A42" w:rsidRPr="00C03235">
        <w:t xml:space="preserve"> con los criterios para definir el régimen tarifario, entre otros, los de eficiencia economía y suficiencia financiera</w:t>
      </w:r>
      <w:r w:rsidR="00126026" w:rsidRPr="00C03235">
        <w:t>.</w:t>
      </w:r>
      <w:r w:rsidR="00F416AB" w:rsidRPr="00C03235">
        <w:t xml:space="preserve"> </w:t>
      </w:r>
      <w:r w:rsidR="00126026" w:rsidRPr="00C03235">
        <w:t xml:space="preserve">Este cargo </w:t>
      </w:r>
      <w:r w:rsidR="00CE7EC9" w:rsidRPr="00C03235">
        <w:t xml:space="preserve">fue </w:t>
      </w:r>
      <w:r w:rsidR="004D4A42" w:rsidRPr="00C03235">
        <w:t>aprobado por la Comisión</w:t>
      </w:r>
      <w:r w:rsidR="004C65EC" w:rsidRPr="00C03235">
        <w:t xml:space="preserve"> mediante </w:t>
      </w:r>
      <w:r w:rsidR="003D7B35">
        <w:t>R</w:t>
      </w:r>
      <w:r w:rsidR="004C65EC" w:rsidRPr="00C03235">
        <w:t xml:space="preserve">esolución CREG </w:t>
      </w:r>
      <w:r w:rsidR="00D55314" w:rsidRPr="00C03235">
        <w:t>136 del 2019</w:t>
      </w:r>
      <w:r w:rsidR="004D4A42" w:rsidRPr="00C03235">
        <w:t>.</w:t>
      </w:r>
    </w:p>
    <w:p w14:paraId="189904A5" w14:textId="77777777" w:rsidR="003C7F78" w:rsidRPr="00C03235" w:rsidRDefault="003C7F78" w:rsidP="79E27E0E">
      <w:pPr>
        <w:spacing w:line="259" w:lineRule="auto"/>
        <w:jc w:val="both"/>
      </w:pPr>
    </w:p>
    <w:p w14:paraId="455B0AC9" w14:textId="5CE4C9D2" w:rsidR="009878F6" w:rsidRPr="00C03235" w:rsidRDefault="00CE7EC9" w:rsidP="79E27E0E">
      <w:pPr>
        <w:spacing w:line="259" w:lineRule="auto"/>
        <w:jc w:val="both"/>
        <w:rPr>
          <w:rFonts w:eastAsia="Bookman Old Style" w:cs="Bookman Old Style"/>
          <w:strike/>
        </w:rPr>
      </w:pPr>
      <w:r w:rsidRPr="00C03235">
        <w:t xml:space="preserve">Teniendo en cuenta </w:t>
      </w:r>
      <w:r w:rsidR="005B1AAD" w:rsidRPr="00C03235">
        <w:t xml:space="preserve">el cargo de generación del mercado de Unguía y los demás corregimientos, se obtiene el </w:t>
      </w:r>
      <w:r w:rsidR="003A5C96" w:rsidRPr="00C03235">
        <w:t>costo de generación por unidad de energía</w:t>
      </w:r>
      <w:r w:rsidR="005B1AAD" w:rsidRPr="00C03235">
        <w:t xml:space="preserve"> en</w:t>
      </w:r>
      <w:r w:rsidRPr="00C03235">
        <w:t xml:space="preserve"> </w:t>
      </w:r>
      <w:r w:rsidR="003A5C96" w:rsidRPr="00C03235">
        <w:t xml:space="preserve">pesos </w:t>
      </w:r>
      <w:r w:rsidR="003A5C96" w:rsidRPr="00C03235">
        <w:lastRenderedPageBreak/>
        <w:t>por kilovatio</w:t>
      </w:r>
      <w:r w:rsidR="000026C7" w:rsidRPr="00C03235">
        <w:t>-hora</w:t>
      </w:r>
      <w:r w:rsidR="003A5C96" w:rsidRPr="00C03235">
        <w:t xml:space="preserve"> </w:t>
      </w:r>
      <w:r w:rsidR="00AF764F" w:rsidRPr="00C03235">
        <w:t>(</w:t>
      </w:r>
      <w:r w:rsidR="003A5C96" w:rsidRPr="00C03235">
        <w:t>$/kWh</w:t>
      </w:r>
      <w:r w:rsidR="00AF764F" w:rsidRPr="00C03235">
        <w:t>)</w:t>
      </w:r>
      <w:r w:rsidR="003C7F78" w:rsidRPr="00C03235">
        <w:t>. P</w:t>
      </w:r>
      <w:r w:rsidR="006962DD" w:rsidRPr="00C03235">
        <w:t>osteriormente</w:t>
      </w:r>
      <w:r w:rsidR="0079071C" w:rsidRPr="00C03235">
        <w:t>,</w:t>
      </w:r>
      <w:r w:rsidR="006962DD" w:rsidRPr="00C03235">
        <w:t xml:space="preserve"> </w:t>
      </w:r>
      <w:r w:rsidR="000026C7" w:rsidRPr="00C03235">
        <w:t xml:space="preserve">se </w:t>
      </w:r>
      <w:r w:rsidR="00877D2C" w:rsidRPr="00C03235">
        <w:t>toma este valor y con base en las características propias del mercado de Nazareth y Puerto Estrella</w:t>
      </w:r>
      <w:r w:rsidR="006231A8" w:rsidRPr="00C03235">
        <w:t xml:space="preserve">, como la radiación, el costo de transporte e instalación </w:t>
      </w:r>
      <w:r w:rsidR="00A73D68" w:rsidRPr="00C03235">
        <w:t xml:space="preserve">y la tasa de descuento, se calcula el cargo de generación para </w:t>
      </w:r>
      <w:r w:rsidR="00D11341" w:rsidRPr="00C03235">
        <w:t>atender este mercado</w:t>
      </w:r>
      <w:r w:rsidR="00A73D68" w:rsidRPr="00C03235">
        <w:t>.</w:t>
      </w:r>
    </w:p>
    <w:p w14:paraId="08B13ADB" w14:textId="005AF59B" w:rsidR="79E27E0E" w:rsidRPr="00C03235" w:rsidRDefault="79E27E0E" w:rsidP="79E27E0E">
      <w:pPr>
        <w:spacing w:line="259" w:lineRule="auto"/>
        <w:jc w:val="both"/>
      </w:pPr>
    </w:p>
    <w:p w14:paraId="769C31C9" w14:textId="695EDF2D" w:rsidR="713B816A" w:rsidRPr="00C03235" w:rsidRDefault="713B816A" w:rsidP="79E27E0E">
      <w:pPr>
        <w:spacing w:line="259" w:lineRule="auto"/>
        <w:jc w:val="both"/>
      </w:pPr>
      <w:r w:rsidRPr="00C03235">
        <w:t xml:space="preserve">De igual manera, tal y como se señaló en el documento D-501 002 de 2023, dentro del cálculo efectuado por la Comisión </w:t>
      </w:r>
      <w:r w:rsidRPr="00C03235">
        <w:rPr>
          <w:i/>
          <w:iCs/>
        </w:rPr>
        <w:t>“(...) se estiman los costos eficien</w:t>
      </w:r>
      <w:r w:rsidR="2D63803C" w:rsidRPr="00C03235">
        <w:rPr>
          <w:i/>
          <w:iCs/>
        </w:rPr>
        <w:t xml:space="preserve">tes de generación en sistemas solares fotovoltaicos y acumulación, considerando las condiciones particulares </w:t>
      </w:r>
      <w:r w:rsidR="1AC2BF8B" w:rsidRPr="00C03235">
        <w:rPr>
          <w:i/>
          <w:iCs/>
        </w:rPr>
        <w:t>de radiación, costo de transporte e instalaci</w:t>
      </w:r>
      <w:r w:rsidR="5403435F" w:rsidRPr="00C03235">
        <w:rPr>
          <w:i/>
          <w:iCs/>
        </w:rPr>
        <w:t>ó</w:t>
      </w:r>
      <w:r w:rsidR="1AC2BF8B" w:rsidRPr="00C03235">
        <w:rPr>
          <w:i/>
          <w:iCs/>
        </w:rPr>
        <w:t xml:space="preserve">n de equipos para el mercado de Unguía, ajustándolos a las condiciones de radicación y costos de transporte e instalación de equipos en el mercado relevante </w:t>
      </w:r>
      <w:r w:rsidR="1B74AD8A" w:rsidRPr="00C03235">
        <w:rPr>
          <w:i/>
          <w:iCs/>
        </w:rPr>
        <w:t>de Nazareth y Puerto Estrella”</w:t>
      </w:r>
      <w:r w:rsidR="1B74AD8A" w:rsidRPr="00C03235">
        <w:t>.</w:t>
      </w:r>
    </w:p>
    <w:p w14:paraId="29CDD76A" w14:textId="77777777" w:rsidR="00F82F2B" w:rsidRPr="00C03235" w:rsidRDefault="00F82F2B" w:rsidP="009D0209">
      <w:pPr>
        <w:pStyle w:val="Textodebloque"/>
        <w:spacing w:line="259" w:lineRule="auto"/>
        <w:ind w:right="6"/>
        <w:contextualSpacing/>
        <w:rPr>
          <w:rFonts w:ascii="Bookman Old Style" w:hAnsi="Bookman Old Style"/>
          <w:lang w:val="es-CO"/>
        </w:rPr>
      </w:pPr>
    </w:p>
    <w:p w14:paraId="78BF1AE3" w14:textId="02F9D1CA" w:rsidR="009878F6" w:rsidRPr="00C03235" w:rsidRDefault="5A04B297" w:rsidP="009D0209">
      <w:pPr>
        <w:pStyle w:val="Textodebloque"/>
        <w:spacing w:line="259" w:lineRule="auto"/>
        <w:ind w:right="6"/>
        <w:contextualSpacing/>
        <w:rPr>
          <w:rFonts w:ascii="Bookman Old Style" w:hAnsi="Bookman Old Style"/>
          <w:lang w:val="es-CO"/>
        </w:rPr>
      </w:pPr>
      <w:r w:rsidRPr="00C03235">
        <w:rPr>
          <w:rFonts w:ascii="Bookman Old Style" w:hAnsi="Bookman Old Style"/>
          <w:lang w:val="es-CO"/>
        </w:rPr>
        <w:t>Por lo expuesto</w:t>
      </w:r>
      <w:r w:rsidR="1392129B" w:rsidRPr="00C03235">
        <w:rPr>
          <w:rFonts w:ascii="Bookman Old Style" w:hAnsi="Bookman Old Style"/>
          <w:lang w:val="es-CO"/>
        </w:rPr>
        <w:t xml:space="preserve">, esta Comisión considera que no procede el argumento expuesto por </w:t>
      </w:r>
      <w:r w:rsidR="2BFE9978" w:rsidRPr="00C03235">
        <w:rPr>
          <w:rFonts w:ascii="Bookman Old Style" w:hAnsi="Bookman Old Style"/>
          <w:lang w:val="es-CO"/>
        </w:rPr>
        <w:t>HELIOS</w:t>
      </w:r>
      <w:r w:rsidR="356803CE" w:rsidRPr="00C03235">
        <w:rPr>
          <w:rFonts w:ascii="Bookman Old Style" w:hAnsi="Bookman Old Style"/>
          <w:lang w:val="es-CO"/>
        </w:rPr>
        <w:t xml:space="preserve"> toda vez que</w:t>
      </w:r>
      <w:r w:rsidR="00752C7B" w:rsidRPr="00C03235">
        <w:rPr>
          <w:rFonts w:ascii="Bookman Old Style" w:hAnsi="Bookman Old Style"/>
          <w:lang w:val="es-CO"/>
        </w:rPr>
        <w:t>, aunque se analiza</w:t>
      </w:r>
      <w:r w:rsidR="00D80523" w:rsidRPr="00C03235">
        <w:rPr>
          <w:rFonts w:ascii="Bookman Old Style" w:hAnsi="Bookman Old Style"/>
          <w:lang w:val="es-CO"/>
        </w:rPr>
        <w:t xml:space="preserve"> </w:t>
      </w:r>
      <w:r w:rsidR="007162EB" w:rsidRPr="00C03235">
        <w:rPr>
          <w:rFonts w:ascii="Bookman Old Style" w:hAnsi="Bookman Old Style"/>
          <w:lang w:val="es-CO"/>
        </w:rPr>
        <w:t>i</w:t>
      </w:r>
      <w:r w:rsidR="00D80523" w:rsidRPr="00C03235">
        <w:rPr>
          <w:rFonts w:ascii="Bookman Old Style" w:hAnsi="Bookman Old Style"/>
          <w:lang w:val="es-CO"/>
        </w:rPr>
        <w:t>ntegra</w:t>
      </w:r>
      <w:r w:rsidR="007162EB" w:rsidRPr="00C03235">
        <w:rPr>
          <w:rFonts w:ascii="Bookman Old Style" w:hAnsi="Bookman Old Style"/>
          <w:lang w:val="es-CO"/>
        </w:rPr>
        <w:t>l</w:t>
      </w:r>
      <w:r w:rsidR="00D80523" w:rsidRPr="00C03235">
        <w:rPr>
          <w:rFonts w:ascii="Bookman Old Style" w:hAnsi="Bookman Old Style"/>
          <w:lang w:val="es-CO"/>
        </w:rPr>
        <w:t>mente</w:t>
      </w:r>
      <w:r w:rsidR="4A25CE41" w:rsidRPr="00C03235">
        <w:rPr>
          <w:rFonts w:ascii="Bookman Old Style" w:hAnsi="Bookman Old Style"/>
          <w:lang w:val="es-CO"/>
        </w:rPr>
        <w:t xml:space="preserve"> </w:t>
      </w:r>
      <w:r w:rsidR="00CC410C" w:rsidRPr="00C03235">
        <w:rPr>
          <w:rFonts w:ascii="Bookman Old Style" w:hAnsi="Bookman Old Style"/>
          <w:lang w:val="es-CO"/>
        </w:rPr>
        <w:t>la información aportada por el peticionario</w:t>
      </w:r>
      <w:r w:rsidR="00D60975" w:rsidRPr="00C03235">
        <w:rPr>
          <w:rFonts w:ascii="Bookman Old Style" w:hAnsi="Bookman Old Style"/>
          <w:lang w:val="es-CO"/>
        </w:rPr>
        <w:t>, la misma</w:t>
      </w:r>
      <w:r w:rsidR="00CC410C" w:rsidRPr="00C03235">
        <w:rPr>
          <w:rFonts w:ascii="Bookman Old Style" w:hAnsi="Bookman Old Style"/>
          <w:lang w:val="es-CO"/>
        </w:rPr>
        <w:t xml:space="preserve"> no es la que se utiliza como base para resolver </w:t>
      </w:r>
      <w:r w:rsidR="4A25CE41" w:rsidRPr="00C03235">
        <w:rPr>
          <w:rFonts w:ascii="Bookman Old Style" w:hAnsi="Bookman Old Style"/>
          <w:lang w:val="es-CO"/>
        </w:rPr>
        <w:t>los costos presentados</w:t>
      </w:r>
      <w:r w:rsidR="00273468">
        <w:rPr>
          <w:rFonts w:ascii="Bookman Old Style" w:hAnsi="Bookman Old Style"/>
          <w:lang w:val="es-CO"/>
        </w:rPr>
        <w:t>,</w:t>
      </w:r>
      <w:r w:rsidR="4A25CE41" w:rsidRPr="00C03235">
        <w:rPr>
          <w:rFonts w:ascii="Bookman Old Style" w:hAnsi="Bookman Old Style"/>
          <w:lang w:val="es-CO"/>
        </w:rPr>
        <w:t xml:space="preserve"> </w:t>
      </w:r>
      <w:r w:rsidR="005E0A44" w:rsidRPr="00C03235">
        <w:rPr>
          <w:rFonts w:ascii="Bookman Old Style" w:hAnsi="Bookman Old Style"/>
          <w:lang w:val="es-CO"/>
        </w:rPr>
        <w:t xml:space="preserve">en la medida en </w:t>
      </w:r>
      <w:r w:rsidR="001E2809" w:rsidRPr="00C03235">
        <w:rPr>
          <w:rFonts w:ascii="Bookman Old Style" w:hAnsi="Bookman Old Style"/>
          <w:lang w:val="es-CO"/>
        </w:rPr>
        <w:t>que los</w:t>
      </w:r>
      <w:r w:rsidR="00273468">
        <w:rPr>
          <w:rFonts w:ascii="Bookman Old Style" w:hAnsi="Bookman Old Style"/>
          <w:lang w:val="es-CO"/>
        </w:rPr>
        <w:t xml:space="preserve"> mismos</w:t>
      </w:r>
      <w:r w:rsidR="006B2F38" w:rsidRPr="00C03235">
        <w:rPr>
          <w:rFonts w:ascii="Bookman Old Style" w:hAnsi="Bookman Old Style"/>
          <w:lang w:val="es-CO"/>
        </w:rPr>
        <w:t xml:space="preserve"> </w:t>
      </w:r>
      <w:r w:rsidR="14D89ADA" w:rsidRPr="00C03235">
        <w:rPr>
          <w:rFonts w:ascii="Bookman Old Style" w:hAnsi="Bookman Old Style"/>
          <w:lang w:val="es-CO"/>
        </w:rPr>
        <w:t xml:space="preserve">no se </w:t>
      </w:r>
      <w:r w:rsidR="00460A9A" w:rsidRPr="00C03235">
        <w:rPr>
          <w:rFonts w:ascii="Bookman Old Style" w:hAnsi="Bookman Old Style"/>
          <w:lang w:val="es-CO"/>
        </w:rPr>
        <w:t xml:space="preserve">encuentran </w:t>
      </w:r>
      <w:r w:rsidR="14D89ADA" w:rsidRPr="00C03235">
        <w:rPr>
          <w:rFonts w:ascii="Bookman Old Style" w:hAnsi="Bookman Old Style"/>
          <w:lang w:val="es-CO"/>
        </w:rPr>
        <w:t>eficientes</w:t>
      </w:r>
      <w:r w:rsidR="00614B79" w:rsidRPr="00C03235">
        <w:rPr>
          <w:rFonts w:ascii="Bookman Old Style" w:hAnsi="Bookman Old Style"/>
          <w:lang w:val="es-CO"/>
        </w:rPr>
        <w:t xml:space="preserve">. </w:t>
      </w:r>
      <w:r w:rsidR="001E7E4F" w:rsidRPr="00C03235">
        <w:rPr>
          <w:rFonts w:ascii="Bookman Old Style" w:hAnsi="Bookman Old Style"/>
          <w:lang w:val="es-CO"/>
        </w:rPr>
        <w:t xml:space="preserve">No obstante, se </w:t>
      </w:r>
      <w:r w:rsidR="5A0F52EC" w:rsidRPr="00C03235">
        <w:rPr>
          <w:rFonts w:ascii="Bookman Old Style" w:hAnsi="Bookman Old Style"/>
          <w:lang w:val="es-CO"/>
        </w:rPr>
        <w:t xml:space="preserve">resalta que se </w:t>
      </w:r>
      <w:r w:rsidR="001E7E4F" w:rsidRPr="00C03235">
        <w:rPr>
          <w:rFonts w:ascii="Bookman Old Style" w:hAnsi="Bookman Old Style"/>
          <w:lang w:val="es-CO"/>
        </w:rPr>
        <w:t xml:space="preserve">tuvieron </w:t>
      </w:r>
      <w:r w:rsidR="5A0F52EC" w:rsidRPr="00C03235">
        <w:rPr>
          <w:rFonts w:ascii="Bookman Old Style" w:hAnsi="Bookman Old Style"/>
          <w:lang w:val="es-CO"/>
        </w:rPr>
        <w:t xml:space="preserve">en cuenta las características propias del mercado relevante de </w:t>
      </w:r>
      <w:r w:rsidR="5A0F52EC" w:rsidRPr="00C03235">
        <w:rPr>
          <w:rFonts w:ascii="Bookman Old Style" w:eastAsia="Bookman Old Style" w:hAnsi="Bookman Old Style" w:cs="Bookman Old Style"/>
          <w:szCs w:val="24"/>
          <w:lang w:val="es-CO"/>
        </w:rPr>
        <w:t>Nazareth y Puerto Estrella</w:t>
      </w:r>
      <w:r w:rsidR="1392129B" w:rsidRPr="00C03235">
        <w:rPr>
          <w:rFonts w:ascii="Bookman Old Style" w:hAnsi="Bookman Old Style"/>
          <w:lang w:val="es-CO"/>
        </w:rPr>
        <w:t xml:space="preserve"> </w:t>
      </w:r>
      <w:r w:rsidR="00B707F5" w:rsidRPr="00C03235">
        <w:rPr>
          <w:rFonts w:ascii="Bookman Old Style" w:hAnsi="Bookman Old Style"/>
          <w:lang w:val="es-CO"/>
        </w:rPr>
        <w:t>en la decisión</w:t>
      </w:r>
      <w:r w:rsidR="006251CD" w:rsidRPr="00C03235">
        <w:rPr>
          <w:rFonts w:ascii="Bookman Old Style" w:hAnsi="Bookman Old Style"/>
          <w:lang w:val="es-CO"/>
        </w:rPr>
        <w:t>. P</w:t>
      </w:r>
      <w:r w:rsidR="1392129B" w:rsidRPr="00C03235">
        <w:rPr>
          <w:rFonts w:ascii="Bookman Old Style" w:hAnsi="Bookman Old Style"/>
          <w:lang w:val="es-CO"/>
        </w:rPr>
        <w:t>or ende, no hay lugar a realizar ajuste.</w:t>
      </w:r>
    </w:p>
    <w:p w14:paraId="05955825" w14:textId="7171524A" w:rsidR="000E43FA" w:rsidRPr="00C03235" w:rsidRDefault="000E43FA" w:rsidP="00C41465">
      <w:pPr>
        <w:pStyle w:val="Prrafodelista"/>
        <w:numPr>
          <w:ilvl w:val="1"/>
          <w:numId w:val="16"/>
        </w:numPr>
        <w:rPr>
          <w:bCs/>
          <w:iCs/>
        </w:rPr>
      </w:pPr>
      <w:r w:rsidRPr="00C03235">
        <w:rPr>
          <w:b/>
          <w:bCs/>
          <w:i/>
          <w:iCs/>
          <w:sz w:val="24"/>
          <w:szCs w:val="24"/>
        </w:rPr>
        <w:t>Crítica a la metodología seleccionada por la CREG para resolver la solicitud del cargo de generación.</w:t>
      </w:r>
    </w:p>
    <w:p w14:paraId="5BAC1B4D" w14:textId="77777777" w:rsidR="000E43FA" w:rsidRPr="00C03235" w:rsidRDefault="000E43FA" w:rsidP="006A52D7">
      <w:pPr>
        <w:jc w:val="both"/>
      </w:pPr>
    </w:p>
    <w:p w14:paraId="1CBEFB65" w14:textId="5F468A3B" w:rsidR="0075175E" w:rsidRPr="00C03235" w:rsidRDefault="00C06B50" w:rsidP="00C41465">
      <w:pPr>
        <w:pStyle w:val="Prrafodelista"/>
        <w:numPr>
          <w:ilvl w:val="2"/>
          <w:numId w:val="16"/>
        </w:numPr>
        <w:rPr>
          <w:b/>
          <w:bCs/>
          <w:iCs/>
          <w:szCs w:val="24"/>
        </w:rPr>
      </w:pPr>
      <w:r w:rsidRPr="00C03235">
        <w:rPr>
          <w:b/>
          <w:bCs/>
          <w:i/>
          <w:iCs/>
          <w:sz w:val="24"/>
          <w:szCs w:val="24"/>
        </w:rPr>
        <w:t>No se fundamentó el uso de la regla de 3.</w:t>
      </w:r>
    </w:p>
    <w:p w14:paraId="2B0E40A4" w14:textId="77777777" w:rsidR="00322D88" w:rsidRPr="00C03235" w:rsidRDefault="00322D88" w:rsidP="00322D88">
      <w:pPr>
        <w:jc w:val="both"/>
      </w:pPr>
    </w:p>
    <w:p w14:paraId="24038999" w14:textId="2C3C39C5" w:rsidR="00AD0913" w:rsidRPr="00C03235" w:rsidRDefault="288E64D7" w:rsidP="005C340C">
      <w:pPr>
        <w:spacing w:line="259" w:lineRule="auto"/>
        <w:jc w:val="both"/>
      </w:pPr>
      <w:r w:rsidRPr="00C03235">
        <w:t xml:space="preserve">Contrario a lo señalado por </w:t>
      </w:r>
      <w:r w:rsidR="23ADCD42" w:rsidRPr="00C03235">
        <w:t>HELIOS</w:t>
      </w:r>
      <w:r w:rsidRPr="00C03235">
        <w:t>, e</w:t>
      </w:r>
      <w:r w:rsidR="76226660" w:rsidRPr="00C03235">
        <w:t>n la elaboración</w:t>
      </w:r>
      <w:r w:rsidR="2B39A1E1" w:rsidRPr="00C03235">
        <w:t xml:space="preserve"> del</w:t>
      </w:r>
      <w:r w:rsidR="437D761C" w:rsidRPr="00C03235">
        <w:t xml:space="preserve"> cálculo del cargo</w:t>
      </w:r>
      <w:r w:rsidR="5270AD22" w:rsidRPr="00C03235">
        <w:t xml:space="preserve"> de generación</w:t>
      </w:r>
      <w:r w:rsidR="437D761C" w:rsidRPr="00C03235">
        <w:t xml:space="preserve"> </w:t>
      </w:r>
      <w:r w:rsidR="14959A61" w:rsidRPr="00C03235">
        <w:t>para el mercado de Nazareth y Puerto Estrella</w:t>
      </w:r>
      <w:r w:rsidR="1FB0F07F" w:rsidRPr="00C03235">
        <w:t>,</w:t>
      </w:r>
      <w:r w:rsidR="14959A61" w:rsidRPr="00C03235">
        <w:t xml:space="preserve"> </w:t>
      </w:r>
      <w:r w:rsidR="437D761C" w:rsidRPr="00C03235">
        <w:t>se utilizó</w:t>
      </w:r>
      <w:r w:rsidR="2370F49F" w:rsidRPr="00C03235">
        <w:t xml:space="preserve"> </w:t>
      </w:r>
      <w:r w:rsidR="002A37DC" w:rsidRPr="00C03235">
        <w:t xml:space="preserve">además de </w:t>
      </w:r>
      <w:r w:rsidR="437D761C" w:rsidRPr="00C03235">
        <w:t xml:space="preserve">un </w:t>
      </w:r>
      <w:r w:rsidR="0A6120B6" w:rsidRPr="00C03235">
        <w:t>método</w:t>
      </w:r>
      <w:r w:rsidR="1CE6B4E2" w:rsidRPr="00C03235">
        <w:t xml:space="preserve"> </w:t>
      </w:r>
      <w:r w:rsidR="0A36CD9A" w:rsidRPr="00C03235">
        <w:t>matemático</w:t>
      </w:r>
      <w:r w:rsidR="2370F49F" w:rsidRPr="00C03235">
        <w:t xml:space="preserve"> lineal de proporcionalidad</w:t>
      </w:r>
      <w:r w:rsidR="002A37DC" w:rsidRPr="00C03235">
        <w:t xml:space="preserve">, </w:t>
      </w:r>
      <w:r w:rsidR="5863A025" w:rsidRPr="00C03235">
        <w:t xml:space="preserve">funciones </w:t>
      </w:r>
      <w:r w:rsidR="488F6827" w:rsidRPr="00C03235">
        <w:t>financieras y</w:t>
      </w:r>
      <w:r w:rsidR="6B775EF4" w:rsidRPr="00C03235">
        <w:t xml:space="preserve"> </w:t>
      </w:r>
      <w:r w:rsidR="51BF8E66" w:rsidRPr="00C03235">
        <w:t xml:space="preserve">el </w:t>
      </w:r>
      <w:r w:rsidR="6B775EF4" w:rsidRPr="00C03235">
        <w:t>modelo de costos de transporte</w:t>
      </w:r>
      <w:r w:rsidR="51BF8E66" w:rsidRPr="00C03235">
        <w:t xml:space="preserve"> </w:t>
      </w:r>
      <w:r w:rsidR="00925C6A" w:rsidRPr="00C03235">
        <w:t>desarrollad</w:t>
      </w:r>
      <w:r w:rsidR="00D7314C" w:rsidRPr="00C03235">
        <w:t xml:space="preserve">o en el marco de la </w:t>
      </w:r>
      <w:r w:rsidR="00DB2249" w:rsidRPr="00C03235">
        <w:t>“</w:t>
      </w:r>
      <w:r w:rsidR="00DB2249" w:rsidRPr="00094A6F">
        <w:rPr>
          <w:i/>
          <w:iCs/>
        </w:rPr>
        <w:t>Consultoría para el desarrollo de un modelo de cálculo para la determinación del costo eficiente de la prestación del servicio de energía eléctrica a través de la atención a usuarios mediante soluciones aisladas centralizadas o individuales</w:t>
      </w:r>
      <w:r w:rsidR="000771FF" w:rsidRPr="00C03235">
        <w:t>”</w:t>
      </w:r>
      <w:r w:rsidR="000F1091" w:rsidRPr="00C03235">
        <w:rPr>
          <w:rStyle w:val="Refdenotaalpie"/>
        </w:rPr>
        <w:footnoteReference w:id="4"/>
      </w:r>
      <w:r w:rsidR="5EE76021" w:rsidRPr="00C03235">
        <w:t>.</w:t>
      </w:r>
    </w:p>
    <w:p w14:paraId="57E0EF31" w14:textId="5FF2A2FC" w:rsidR="00AD0913" w:rsidRPr="00C03235" w:rsidRDefault="00AD0913" w:rsidP="79E27E0E">
      <w:pPr>
        <w:spacing w:line="259" w:lineRule="auto"/>
        <w:jc w:val="both"/>
      </w:pPr>
    </w:p>
    <w:p w14:paraId="0C3829ED" w14:textId="2091850A" w:rsidR="00AD0913" w:rsidRPr="00C03235" w:rsidRDefault="63E6DDDA" w:rsidP="79E27E0E">
      <w:pPr>
        <w:spacing w:line="259" w:lineRule="auto"/>
        <w:jc w:val="both"/>
      </w:pPr>
      <w:r w:rsidRPr="00C03235">
        <w:t>E</w:t>
      </w:r>
      <w:r w:rsidR="57C562B4" w:rsidRPr="00C03235">
        <w:t xml:space="preserve">l </w:t>
      </w:r>
      <w:r w:rsidR="30B728EB" w:rsidRPr="00C03235">
        <w:t>método matemático utilizado</w:t>
      </w:r>
      <w:r w:rsidR="222C900B" w:rsidRPr="00C03235">
        <w:t>,</w:t>
      </w:r>
      <w:r w:rsidR="437D761C" w:rsidRPr="00C03235">
        <w:t xml:space="preserve"> parte de</w:t>
      </w:r>
      <w:r w:rsidR="64FA2DA3" w:rsidRPr="00C03235">
        <w:t xml:space="preserve"> tomar como referencia </w:t>
      </w:r>
      <w:r w:rsidR="00075484" w:rsidRPr="00C03235">
        <w:t xml:space="preserve">un </w:t>
      </w:r>
      <w:r w:rsidR="437D761C" w:rsidRPr="00C03235">
        <w:t>cargo</w:t>
      </w:r>
      <w:r w:rsidR="1712F1A1" w:rsidRPr="00C03235">
        <w:t xml:space="preserve"> aprobado por la Comisión en pesos por kilovatio-hora ($/kWh), que goza de legalidad y cumple con </w:t>
      </w:r>
      <w:r w:rsidR="00F51D89" w:rsidRPr="00C03235">
        <w:t xml:space="preserve">los </w:t>
      </w:r>
      <w:r w:rsidR="1712F1A1" w:rsidRPr="00C03235">
        <w:t>criterios para definir el régimen tarifario</w:t>
      </w:r>
      <w:r w:rsidR="006A0EAF" w:rsidRPr="00C03235">
        <w:t>, e</w:t>
      </w:r>
      <w:r w:rsidR="005F3D7D" w:rsidRPr="00C03235">
        <w:t>n est</w:t>
      </w:r>
      <w:r w:rsidR="006A0EAF" w:rsidRPr="00C03235">
        <w:t>e</w:t>
      </w:r>
      <w:r w:rsidR="005F3D7D" w:rsidRPr="00C03235">
        <w:t xml:space="preserve"> caso</w:t>
      </w:r>
      <w:r w:rsidR="0710B3B8" w:rsidRPr="00C03235">
        <w:t>,</w:t>
      </w:r>
      <w:r w:rsidR="00A46DDC" w:rsidRPr="00C03235">
        <w:t xml:space="preserve"> e</w:t>
      </w:r>
      <w:r w:rsidR="3AB60BED" w:rsidRPr="00C03235">
        <w:t>l</w:t>
      </w:r>
      <w:r w:rsidR="4D8E11C7" w:rsidRPr="00C03235">
        <w:t xml:space="preserve"> cargo de generación del </w:t>
      </w:r>
      <w:r w:rsidR="1712F1A1" w:rsidRPr="00C03235">
        <w:t>mercado de Unguía y los corregimientos del Gilgal, Santa María y Tanela</w:t>
      </w:r>
      <w:r w:rsidR="1EB1353B" w:rsidRPr="00C03235">
        <w:t>,</w:t>
      </w:r>
      <w:r w:rsidR="437D761C" w:rsidRPr="00C03235">
        <w:t xml:space="preserve"> </w:t>
      </w:r>
      <w:r w:rsidR="1D784BDE" w:rsidRPr="00C03235">
        <w:t xml:space="preserve">aprobado mediante la </w:t>
      </w:r>
      <w:r w:rsidR="077B0071" w:rsidRPr="00C03235">
        <w:t xml:space="preserve">Resolución </w:t>
      </w:r>
      <w:r w:rsidR="1D784BDE" w:rsidRPr="00C03235">
        <w:t>CREG 136 del 201</w:t>
      </w:r>
      <w:r w:rsidR="160B7393" w:rsidRPr="00C03235">
        <w:t>9.</w:t>
      </w:r>
    </w:p>
    <w:p w14:paraId="25521E66" w14:textId="77777777" w:rsidR="002F3F64" w:rsidRPr="00C03235" w:rsidRDefault="002F3F64" w:rsidP="001122A3">
      <w:pPr>
        <w:jc w:val="both"/>
      </w:pPr>
    </w:p>
    <w:p w14:paraId="76385392" w14:textId="118DF5CC" w:rsidR="001122A3" w:rsidRPr="00C03235" w:rsidRDefault="02DD4EC7" w:rsidP="00AA1407">
      <w:pPr>
        <w:jc w:val="both"/>
      </w:pPr>
      <w:r w:rsidRPr="00C03235">
        <w:t>Teniendo en cuenta el valor de referencia, se aplica el siguiente procedimiento:</w:t>
      </w:r>
    </w:p>
    <w:p w14:paraId="344F8992" w14:textId="77777777" w:rsidR="00A869FA" w:rsidRPr="00C03235" w:rsidRDefault="00A869FA" w:rsidP="00C43649">
      <w:pPr>
        <w:jc w:val="both"/>
      </w:pPr>
    </w:p>
    <w:p w14:paraId="33C21A61" w14:textId="0AD43393" w:rsidR="00A869FA" w:rsidRPr="00C03235" w:rsidRDefault="001277B6" w:rsidP="00416C4F">
      <w:pPr>
        <w:pStyle w:val="Prrafodelista"/>
        <w:numPr>
          <w:ilvl w:val="0"/>
          <w:numId w:val="19"/>
        </w:numPr>
        <w:jc w:val="both"/>
        <w:rPr>
          <w:u w:val="single"/>
        </w:rPr>
      </w:pPr>
      <w:r w:rsidRPr="00C03235">
        <w:rPr>
          <w:sz w:val="24"/>
          <w:szCs w:val="24"/>
          <w:u w:val="single"/>
        </w:rPr>
        <w:t>Cálculo</w:t>
      </w:r>
      <w:r w:rsidR="00A869FA" w:rsidRPr="00C03235">
        <w:rPr>
          <w:sz w:val="24"/>
          <w:szCs w:val="24"/>
          <w:u w:val="single"/>
        </w:rPr>
        <w:t xml:space="preserve"> de cargo de generación con tecnología solar fotovoltaica</w:t>
      </w:r>
    </w:p>
    <w:p w14:paraId="39827D52" w14:textId="6F0F0188" w:rsidR="00CC66BA" w:rsidRPr="00C03235" w:rsidRDefault="00CC66BA" w:rsidP="00EC279E">
      <w:pPr>
        <w:ind w:left="708"/>
        <w:jc w:val="both"/>
      </w:pPr>
    </w:p>
    <w:p w14:paraId="38DC2D52" w14:textId="7929E281" w:rsidR="00F44ED8" w:rsidRPr="00C03235" w:rsidRDefault="420E343F" w:rsidP="00A82F36">
      <w:pPr>
        <w:pStyle w:val="Prrafodelista"/>
        <w:numPr>
          <w:ilvl w:val="0"/>
          <w:numId w:val="3"/>
        </w:numPr>
        <w:jc w:val="both"/>
        <w:rPr>
          <w:sz w:val="24"/>
          <w:szCs w:val="24"/>
        </w:rPr>
      </w:pPr>
      <w:r w:rsidRPr="00C03235">
        <w:rPr>
          <w:sz w:val="24"/>
          <w:szCs w:val="24"/>
        </w:rPr>
        <w:t>Con base en el</w:t>
      </w:r>
      <w:r w:rsidR="44D18508" w:rsidRPr="00C03235">
        <w:rPr>
          <w:sz w:val="24"/>
          <w:szCs w:val="24"/>
        </w:rPr>
        <w:t xml:space="preserve"> cargo</w:t>
      </w:r>
      <w:r w:rsidR="00845C39" w:rsidRPr="00C03235">
        <w:rPr>
          <w:sz w:val="24"/>
          <w:szCs w:val="24"/>
        </w:rPr>
        <w:t xml:space="preserve"> del mercado de Unguía</w:t>
      </w:r>
      <w:r w:rsidR="009925B1" w:rsidRPr="00C03235">
        <w:rPr>
          <w:sz w:val="24"/>
          <w:szCs w:val="24"/>
        </w:rPr>
        <w:t>, se toma el componente de inversión</w:t>
      </w:r>
      <w:r w:rsidR="00821959" w:rsidRPr="00C03235">
        <w:rPr>
          <w:sz w:val="24"/>
          <w:szCs w:val="24"/>
        </w:rPr>
        <w:t xml:space="preserve">, que está expresado en </w:t>
      </w:r>
      <w:r w:rsidR="00383865" w:rsidRPr="00C03235">
        <w:rPr>
          <w:sz w:val="24"/>
          <w:szCs w:val="24"/>
        </w:rPr>
        <w:t>pesos por kilovatio hora</w:t>
      </w:r>
      <w:r w:rsidR="00821959" w:rsidRPr="00C03235">
        <w:rPr>
          <w:sz w:val="24"/>
          <w:szCs w:val="24"/>
        </w:rPr>
        <w:t xml:space="preserve"> ($/kWh)</w:t>
      </w:r>
      <w:r w:rsidR="00FD51AE" w:rsidRPr="00C03235">
        <w:rPr>
          <w:sz w:val="24"/>
          <w:szCs w:val="24"/>
        </w:rPr>
        <w:t xml:space="preserve">, </w:t>
      </w:r>
      <w:r w:rsidR="00F90D09" w:rsidRPr="00C03235">
        <w:rPr>
          <w:sz w:val="24"/>
          <w:szCs w:val="24"/>
        </w:rPr>
        <w:t>y</w:t>
      </w:r>
      <w:r w:rsidRPr="00C03235">
        <w:rPr>
          <w:sz w:val="24"/>
          <w:szCs w:val="24"/>
        </w:rPr>
        <w:t xml:space="preserve"> se </w:t>
      </w:r>
      <w:r w:rsidR="00FD51AE" w:rsidRPr="00C03235">
        <w:rPr>
          <w:sz w:val="24"/>
          <w:szCs w:val="24"/>
        </w:rPr>
        <w:t xml:space="preserve">hace el ejercicio inverso </w:t>
      </w:r>
      <w:r w:rsidR="00F90D09" w:rsidRPr="00C03235">
        <w:rPr>
          <w:sz w:val="24"/>
          <w:szCs w:val="24"/>
        </w:rPr>
        <w:t xml:space="preserve">para determinar </w:t>
      </w:r>
      <w:r w:rsidR="00FD51AE" w:rsidRPr="00C03235">
        <w:rPr>
          <w:sz w:val="24"/>
          <w:szCs w:val="24"/>
        </w:rPr>
        <w:t xml:space="preserve">el </w:t>
      </w:r>
      <w:r w:rsidRPr="00C03235">
        <w:rPr>
          <w:sz w:val="24"/>
          <w:szCs w:val="24"/>
        </w:rPr>
        <w:t>valor de l</w:t>
      </w:r>
      <w:r w:rsidR="00FD51AE" w:rsidRPr="00C03235">
        <w:rPr>
          <w:sz w:val="24"/>
          <w:szCs w:val="24"/>
        </w:rPr>
        <w:t>a</w:t>
      </w:r>
      <w:r w:rsidRPr="00C03235">
        <w:rPr>
          <w:sz w:val="24"/>
          <w:szCs w:val="24"/>
        </w:rPr>
        <w:t xml:space="preserve"> </w:t>
      </w:r>
      <w:r w:rsidR="00FD51AE" w:rsidRPr="00C03235">
        <w:rPr>
          <w:sz w:val="24"/>
          <w:szCs w:val="24"/>
        </w:rPr>
        <w:t>inversión, expresa</w:t>
      </w:r>
      <w:r w:rsidR="00470793" w:rsidRPr="00C03235">
        <w:rPr>
          <w:sz w:val="24"/>
          <w:szCs w:val="24"/>
        </w:rPr>
        <w:t>n</w:t>
      </w:r>
      <w:r w:rsidR="00FD51AE" w:rsidRPr="00C03235">
        <w:rPr>
          <w:sz w:val="24"/>
          <w:szCs w:val="24"/>
        </w:rPr>
        <w:t xml:space="preserve">do </w:t>
      </w:r>
      <w:r w:rsidR="00470793" w:rsidRPr="00C03235">
        <w:rPr>
          <w:sz w:val="24"/>
          <w:szCs w:val="24"/>
        </w:rPr>
        <w:t xml:space="preserve">este </w:t>
      </w:r>
      <w:r w:rsidR="00FD51AE" w:rsidRPr="00C03235">
        <w:rPr>
          <w:sz w:val="24"/>
          <w:szCs w:val="24"/>
        </w:rPr>
        <w:t>en pesos por kilovatio hora al año (</w:t>
      </w:r>
      <w:r w:rsidR="3BC57CA0" w:rsidRPr="00C03235">
        <w:rPr>
          <w:sz w:val="24"/>
          <w:szCs w:val="24"/>
        </w:rPr>
        <w:t>$/kWh</w:t>
      </w:r>
      <w:r w:rsidR="00FD51AE" w:rsidRPr="00C03235">
        <w:rPr>
          <w:sz w:val="24"/>
          <w:szCs w:val="24"/>
        </w:rPr>
        <w:t>/</w:t>
      </w:r>
      <w:r w:rsidR="006964B8" w:rsidRPr="00C03235">
        <w:rPr>
          <w:sz w:val="24"/>
          <w:szCs w:val="24"/>
        </w:rPr>
        <w:t>año)</w:t>
      </w:r>
      <w:r w:rsidR="1B22529E" w:rsidRPr="00C03235">
        <w:rPr>
          <w:sz w:val="24"/>
          <w:szCs w:val="24"/>
        </w:rPr>
        <w:t xml:space="preserve">, </w:t>
      </w:r>
      <w:r w:rsidR="7A1AC30B" w:rsidRPr="00C03235">
        <w:rPr>
          <w:sz w:val="24"/>
          <w:szCs w:val="24"/>
        </w:rPr>
        <w:t xml:space="preserve">usando </w:t>
      </w:r>
      <w:r w:rsidR="00B77655" w:rsidRPr="00C03235">
        <w:rPr>
          <w:sz w:val="24"/>
          <w:szCs w:val="24"/>
        </w:rPr>
        <w:t xml:space="preserve">la </w:t>
      </w:r>
      <w:r w:rsidR="7A1AC30B" w:rsidRPr="00C03235">
        <w:rPr>
          <w:sz w:val="24"/>
          <w:szCs w:val="24"/>
        </w:rPr>
        <w:t>función financiera</w:t>
      </w:r>
      <w:r w:rsidR="00B77655" w:rsidRPr="00C03235">
        <w:rPr>
          <w:sz w:val="24"/>
          <w:szCs w:val="24"/>
        </w:rPr>
        <w:t xml:space="preserve"> que permite el cálculo de pago de </w:t>
      </w:r>
      <w:r w:rsidR="00B77655" w:rsidRPr="00C03235">
        <w:rPr>
          <w:i/>
          <w:iCs/>
          <w:sz w:val="24"/>
          <w:szCs w:val="24"/>
        </w:rPr>
        <w:t>annuit</w:t>
      </w:r>
      <w:r w:rsidR="00A84868" w:rsidRPr="00C03235">
        <w:rPr>
          <w:i/>
          <w:iCs/>
          <w:sz w:val="24"/>
          <w:szCs w:val="24"/>
        </w:rPr>
        <w:t>ie</w:t>
      </w:r>
      <w:r w:rsidR="00B77655" w:rsidRPr="00C03235">
        <w:rPr>
          <w:i/>
          <w:iCs/>
          <w:sz w:val="24"/>
          <w:szCs w:val="24"/>
        </w:rPr>
        <w:t>s</w:t>
      </w:r>
      <w:r w:rsidR="5095B680" w:rsidRPr="00C03235">
        <w:rPr>
          <w:sz w:val="24"/>
          <w:szCs w:val="24"/>
        </w:rPr>
        <w:t xml:space="preserve">, </w:t>
      </w:r>
      <w:r w:rsidR="2D23726D" w:rsidRPr="00C03235">
        <w:rPr>
          <w:sz w:val="24"/>
          <w:szCs w:val="24"/>
        </w:rPr>
        <w:t>considerando</w:t>
      </w:r>
      <w:r w:rsidR="1B22529E" w:rsidRPr="00C03235">
        <w:rPr>
          <w:sz w:val="24"/>
          <w:szCs w:val="24"/>
        </w:rPr>
        <w:t xml:space="preserve"> la tasa de descuento</w:t>
      </w:r>
      <w:r w:rsidR="00AA5303" w:rsidRPr="00C03235">
        <w:rPr>
          <w:sz w:val="24"/>
          <w:szCs w:val="24"/>
        </w:rPr>
        <w:t xml:space="preserve"> aplicada en el momento de la aprobación del cargo de generación de Unguía</w:t>
      </w:r>
      <w:r w:rsidR="1B22529E" w:rsidRPr="00C03235">
        <w:rPr>
          <w:sz w:val="24"/>
          <w:szCs w:val="24"/>
        </w:rPr>
        <w:t xml:space="preserve"> y la vida útil</w:t>
      </w:r>
      <w:r w:rsidR="003F5A54" w:rsidRPr="00C03235">
        <w:rPr>
          <w:sz w:val="24"/>
          <w:szCs w:val="24"/>
        </w:rPr>
        <w:t>, respectivas</w:t>
      </w:r>
      <w:r w:rsidR="5066E2FF" w:rsidRPr="00C03235">
        <w:rPr>
          <w:sz w:val="24"/>
          <w:szCs w:val="24"/>
        </w:rPr>
        <w:t>.</w:t>
      </w:r>
    </w:p>
    <w:p w14:paraId="75291824" w14:textId="2751FDF8" w:rsidR="00750706" w:rsidRPr="00C03235" w:rsidRDefault="2DC26015" w:rsidP="0015415A">
      <w:pPr>
        <w:pStyle w:val="Prrafodelista"/>
        <w:numPr>
          <w:ilvl w:val="0"/>
          <w:numId w:val="3"/>
        </w:numPr>
        <w:jc w:val="both"/>
        <w:rPr>
          <w:sz w:val="24"/>
          <w:szCs w:val="24"/>
        </w:rPr>
      </w:pPr>
      <w:r w:rsidRPr="00C03235">
        <w:rPr>
          <w:sz w:val="24"/>
          <w:szCs w:val="24"/>
        </w:rPr>
        <w:t>P</w:t>
      </w:r>
      <w:r w:rsidR="5BBBBC6B" w:rsidRPr="00C03235">
        <w:rPr>
          <w:sz w:val="24"/>
          <w:szCs w:val="24"/>
        </w:rPr>
        <w:t>osteriormente</w:t>
      </w:r>
      <w:r w:rsidR="459AF40D" w:rsidRPr="00C03235">
        <w:rPr>
          <w:sz w:val="24"/>
          <w:szCs w:val="24"/>
        </w:rPr>
        <w:t>,</w:t>
      </w:r>
      <w:r w:rsidR="5BBBBC6B" w:rsidRPr="00C03235">
        <w:rPr>
          <w:sz w:val="24"/>
          <w:szCs w:val="24"/>
        </w:rPr>
        <w:t xml:space="preserve"> </w:t>
      </w:r>
      <w:r w:rsidR="3A7BD63F" w:rsidRPr="00C03235">
        <w:rPr>
          <w:sz w:val="24"/>
          <w:szCs w:val="24"/>
        </w:rPr>
        <w:t xml:space="preserve">teniendo en cuenta </w:t>
      </w:r>
      <w:r w:rsidR="19CDCC41" w:rsidRPr="00C03235">
        <w:rPr>
          <w:sz w:val="24"/>
          <w:szCs w:val="24"/>
        </w:rPr>
        <w:t>la</w:t>
      </w:r>
      <w:r w:rsidR="3F3DD934" w:rsidRPr="00C03235">
        <w:rPr>
          <w:sz w:val="24"/>
          <w:szCs w:val="24"/>
        </w:rPr>
        <w:t xml:space="preserve"> metodología</w:t>
      </w:r>
      <w:r w:rsidR="19CDCC41" w:rsidRPr="00C03235">
        <w:rPr>
          <w:sz w:val="24"/>
          <w:szCs w:val="24"/>
        </w:rPr>
        <w:t xml:space="preserve"> </w:t>
      </w:r>
      <w:r w:rsidR="5B03D4B6" w:rsidRPr="00C03235">
        <w:rPr>
          <w:sz w:val="24"/>
          <w:szCs w:val="24"/>
        </w:rPr>
        <w:t xml:space="preserve">de </w:t>
      </w:r>
      <w:r w:rsidR="31A82391" w:rsidRPr="00C03235">
        <w:rPr>
          <w:sz w:val="24"/>
          <w:szCs w:val="24"/>
        </w:rPr>
        <w:t>costo del transporte</w:t>
      </w:r>
      <w:r w:rsidR="007B4A93" w:rsidRPr="00C03235">
        <w:rPr>
          <w:rStyle w:val="Refdenotaalpie"/>
          <w:sz w:val="24"/>
          <w:szCs w:val="24"/>
        </w:rPr>
        <w:footnoteReference w:id="5"/>
      </w:r>
      <w:r w:rsidR="769C67C2" w:rsidRPr="00C03235">
        <w:rPr>
          <w:sz w:val="24"/>
          <w:szCs w:val="24"/>
        </w:rPr>
        <w:t xml:space="preserve">, </w:t>
      </w:r>
      <w:r w:rsidR="15454D83" w:rsidRPr="00C03235">
        <w:rPr>
          <w:sz w:val="24"/>
          <w:szCs w:val="24"/>
        </w:rPr>
        <w:t>se obtiene</w:t>
      </w:r>
      <w:r w:rsidR="004B58C5" w:rsidRPr="00C03235">
        <w:rPr>
          <w:sz w:val="24"/>
          <w:szCs w:val="24"/>
        </w:rPr>
        <w:t xml:space="preserve">n por separado </w:t>
      </w:r>
      <w:r w:rsidR="2EE5186F" w:rsidRPr="00C03235">
        <w:rPr>
          <w:sz w:val="24"/>
          <w:szCs w:val="24"/>
        </w:rPr>
        <w:t xml:space="preserve">el costo </w:t>
      </w:r>
      <w:r w:rsidR="0E13CACE" w:rsidRPr="00C03235">
        <w:rPr>
          <w:sz w:val="24"/>
          <w:szCs w:val="24"/>
        </w:rPr>
        <w:t xml:space="preserve">neto </w:t>
      </w:r>
      <w:r w:rsidR="2EE5186F" w:rsidRPr="00C03235">
        <w:rPr>
          <w:sz w:val="24"/>
          <w:szCs w:val="24"/>
        </w:rPr>
        <w:t xml:space="preserve">de los equipos y el </w:t>
      </w:r>
      <w:r w:rsidR="0E13CACE" w:rsidRPr="00C03235">
        <w:rPr>
          <w:sz w:val="24"/>
          <w:szCs w:val="24"/>
        </w:rPr>
        <w:t>costo del transporte e instalación.</w:t>
      </w:r>
    </w:p>
    <w:p w14:paraId="3F3362AB" w14:textId="20F51C7B" w:rsidR="00840614" w:rsidRPr="00C03235" w:rsidRDefault="003F3EC8" w:rsidP="004B58C5">
      <w:pPr>
        <w:pStyle w:val="Prrafodelista"/>
        <w:numPr>
          <w:ilvl w:val="0"/>
          <w:numId w:val="3"/>
        </w:numPr>
        <w:spacing w:line="259" w:lineRule="auto"/>
        <w:jc w:val="both"/>
        <w:rPr>
          <w:sz w:val="24"/>
          <w:szCs w:val="24"/>
        </w:rPr>
      </w:pPr>
      <w:r w:rsidRPr="00C03235">
        <w:rPr>
          <w:sz w:val="24"/>
          <w:szCs w:val="24"/>
        </w:rPr>
        <w:t xml:space="preserve">Con la radiación utilizada para determinar los cargos del mercado de Unguía y la </w:t>
      </w:r>
      <w:r w:rsidR="5FAA4512" w:rsidRPr="00C03235">
        <w:rPr>
          <w:sz w:val="24"/>
          <w:szCs w:val="24"/>
        </w:rPr>
        <w:t xml:space="preserve">eficiencia del sistema </w:t>
      </w:r>
      <w:r w:rsidRPr="00C03235">
        <w:rPr>
          <w:sz w:val="24"/>
          <w:szCs w:val="24"/>
        </w:rPr>
        <w:t xml:space="preserve">de generación, utilizada por esta Comisión en las aprobaciones de cargos para este tipo de tecnología, </w:t>
      </w:r>
      <w:r w:rsidR="008768EB" w:rsidRPr="00C03235">
        <w:rPr>
          <w:sz w:val="24"/>
          <w:szCs w:val="24"/>
        </w:rPr>
        <w:t>s</w:t>
      </w:r>
      <w:r w:rsidRPr="00C03235">
        <w:rPr>
          <w:sz w:val="24"/>
          <w:szCs w:val="24"/>
        </w:rPr>
        <w:t xml:space="preserve">e obtiene la potencia pico </w:t>
      </w:r>
      <w:r w:rsidR="008768EB" w:rsidRPr="00C03235">
        <w:rPr>
          <w:sz w:val="24"/>
          <w:szCs w:val="24"/>
        </w:rPr>
        <w:t>requerida para producir un kilovatio hora.</w:t>
      </w:r>
    </w:p>
    <w:p w14:paraId="2B7506A4" w14:textId="79874DFE" w:rsidR="005E04C2" w:rsidRPr="00C03235" w:rsidRDefault="005E04C2" w:rsidP="00A82F36">
      <w:pPr>
        <w:pStyle w:val="Prrafodelista"/>
        <w:numPr>
          <w:ilvl w:val="0"/>
          <w:numId w:val="3"/>
        </w:numPr>
        <w:jc w:val="both"/>
        <w:rPr>
          <w:sz w:val="24"/>
          <w:szCs w:val="24"/>
        </w:rPr>
      </w:pPr>
      <w:r w:rsidRPr="00C03235">
        <w:rPr>
          <w:sz w:val="24"/>
          <w:szCs w:val="24"/>
        </w:rPr>
        <w:t>Con base en lo anterior</w:t>
      </w:r>
      <w:r w:rsidR="0057708C" w:rsidRPr="00C03235">
        <w:rPr>
          <w:sz w:val="24"/>
          <w:szCs w:val="24"/>
        </w:rPr>
        <w:t xml:space="preserve"> y siguiendo el flujo de </w:t>
      </w:r>
      <w:r w:rsidR="001536BB" w:rsidRPr="00C03235">
        <w:rPr>
          <w:sz w:val="24"/>
          <w:szCs w:val="24"/>
        </w:rPr>
        <w:t>cálculo</w:t>
      </w:r>
      <w:r w:rsidR="0057708C" w:rsidRPr="00C03235">
        <w:rPr>
          <w:sz w:val="24"/>
          <w:szCs w:val="24"/>
        </w:rPr>
        <w:t xml:space="preserve"> de la Tabla 1, se </w:t>
      </w:r>
      <w:r w:rsidR="002F7AE5" w:rsidRPr="00C03235">
        <w:rPr>
          <w:sz w:val="24"/>
          <w:szCs w:val="24"/>
        </w:rPr>
        <w:t>determina</w:t>
      </w:r>
      <w:r w:rsidR="008E4336" w:rsidRPr="00C03235">
        <w:rPr>
          <w:sz w:val="24"/>
          <w:szCs w:val="24"/>
        </w:rPr>
        <w:t xml:space="preserve"> </w:t>
      </w:r>
      <w:r w:rsidR="002F7AE5" w:rsidRPr="00C03235">
        <w:rPr>
          <w:sz w:val="24"/>
          <w:szCs w:val="24"/>
        </w:rPr>
        <w:t>el valor del</w:t>
      </w:r>
      <w:r w:rsidR="008E4336" w:rsidRPr="00C03235">
        <w:rPr>
          <w:sz w:val="24"/>
          <w:szCs w:val="24"/>
        </w:rPr>
        <w:t xml:space="preserve"> cargo de Nazareth y Puerto </w:t>
      </w:r>
      <w:r w:rsidR="002F7AE5" w:rsidRPr="00C03235">
        <w:rPr>
          <w:sz w:val="24"/>
          <w:szCs w:val="24"/>
        </w:rPr>
        <w:t>Estrella</w:t>
      </w:r>
      <w:r w:rsidR="00E87F15" w:rsidRPr="00C03235">
        <w:rPr>
          <w:sz w:val="24"/>
          <w:szCs w:val="24"/>
        </w:rPr>
        <w:t xml:space="preserve"> teniendo como primer paso</w:t>
      </w:r>
      <w:r w:rsidR="0025621D" w:rsidRPr="00C03235">
        <w:rPr>
          <w:sz w:val="24"/>
          <w:szCs w:val="24"/>
        </w:rPr>
        <w:t>, a partir de la disponibilidad del recurso solar (radiación) propio del mercado de Nazar</w:t>
      </w:r>
      <w:r w:rsidR="00F77819" w:rsidRPr="00C03235">
        <w:rPr>
          <w:sz w:val="24"/>
          <w:szCs w:val="24"/>
        </w:rPr>
        <w:t>et</w:t>
      </w:r>
      <w:r w:rsidR="0025621D" w:rsidRPr="00C03235">
        <w:rPr>
          <w:sz w:val="24"/>
          <w:szCs w:val="24"/>
        </w:rPr>
        <w:t xml:space="preserve">h, </w:t>
      </w:r>
      <w:r w:rsidR="00A13B96" w:rsidRPr="00C03235">
        <w:rPr>
          <w:sz w:val="24"/>
          <w:szCs w:val="24"/>
        </w:rPr>
        <w:t xml:space="preserve">la </w:t>
      </w:r>
      <w:r w:rsidR="001452F6" w:rsidRPr="00C03235">
        <w:rPr>
          <w:sz w:val="24"/>
          <w:szCs w:val="24"/>
        </w:rPr>
        <w:t xml:space="preserve">potencia pico </w:t>
      </w:r>
      <w:r w:rsidR="00A13B96" w:rsidRPr="00C03235">
        <w:rPr>
          <w:sz w:val="24"/>
          <w:szCs w:val="24"/>
        </w:rPr>
        <w:t xml:space="preserve">necesaria </w:t>
      </w:r>
      <w:r w:rsidR="0025621D" w:rsidRPr="00C03235">
        <w:rPr>
          <w:sz w:val="24"/>
          <w:szCs w:val="24"/>
        </w:rPr>
        <w:t xml:space="preserve">para </w:t>
      </w:r>
      <w:r w:rsidR="00EC52BA" w:rsidRPr="00C03235">
        <w:rPr>
          <w:sz w:val="24"/>
          <w:szCs w:val="24"/>
        </w:rPr>
        <w:t>producir un kilovatio hora</w:t>
      </w:r>
      <w:r w:rsidR="00D62864" w:rsidRPr="00C03235">
        <w:rPr>
          <w:sz w:val="24"/>
          <w:szCs w:val="24"/>
        </w:rPr>
        <w:t>.</w:t>
      </w:r>
    </w:p>
    <w:p w14:paraId="11FE7ED6" w14:textId="4ED7A3A0" w:rsidR="00EE669E" w:rsidRPr="00C03235" w:rsidRDefault="00EC52BA" w:rsidP="00A82F36">
      <w:pPr>
        <w:pStyle w:val="Prrafodelista"/>
        <w:numPr>
          <w:ilvl w:val="0"/>
          <w:numId w:val="3"/>
        </w:numPr>
        <w:jc w:val="both"/>
        <w:rPr>
          <w:sz w:val="24"/>
          <w:szCs w:val="24"/>
        </w:rPr>
      </w:pPr>
      <w:r w:rsidRPr="00C03235">
        <w:rPr>
          <w:sz w:val="24"/>
          <w:szCs w:val="24"/>
        </w:rPr>
        <w:t xml:space="preserve">Con la potencia calculada, se puede determinar </w:t>
      </w:r>
      <w:r w:rsidR="00F54897" w:rsidRPr="00C03235">
        <w:rPr>
          <w:sz w:val="24"/>
          <w:szCs w:val="24"/>
        </w:rPr>
        <w:t xml:space="preserve">el valor de los equipos </w:t>
      </w:r>
      <w:r w:rsidR="00150A3A" w:rsidRPr="00C03235">
        <w:rPr>
          <w:sz w:val="24"/>
          <w:szCs w:val="24"/>
        </w:rPr>
        <w:t xml:space="preserve">para el mercado de Nazareth y Puerto Estrella </w:t>
      </w:r>
      <w:r w:rsidR="00A45089" w:rsidRPr="00C03235">
        <w:rPr>
          <w:sz w:val="24"/>
          <w:szCs w:val="24"/>
        </w:rPr>
        <w:t>teniendo en cuenta</w:t>
      </w:r>
      <w:r w:rsidR="000C5C6D" w:rsidRPr="00C03235">
        <w:rPr>
          <w:sz w:val="24"/>
          <w:szCs w:val="24"/>
        </w:rPr>
        <w:t xml:space="preserve"> el costo hallado </w:t>
      </w:r>
      <w:r w:rsidR="00A67DB6" w:rsidRPr="00C03235">
        <w:rPr>
          <w:sz w:val="24"/>
          <w:szCs w:val="24"/>
        </w:rPr>
        <w:t>en el caso de Unguía, sin considerar los costos de transporte e instalación de ese mercado</w:t>
      </w:r>
      <w:r w:rsidR="006F0F51" w:rsidRPr="00C03235">
        <w:rPr>
          <w:sz w:val="24"/>
          <w:szCs w:val="24"/>
        </w:rPr>
        <w:t>.</w:t>
      </w:r>
    </w:p>
    <w:p w14:paraId="1552A98B" w14:textId="12A0EB2C" w:rsidR="006F3803" w:rsidRPr="00C03235" w:rsidRDefault="770A667B" w:rsidP="00A67DB6">
      <w:pPr>
        <w:pStyle w:val="Prrafodelista"/>
        <w:numPr>
          <w:ilvl w:val="0"/>
          <w:numId w:val="3"/>
        </w:numPr>
        <w:spacing w:line="259" w:lineRule="auto"/>
        <w:jc w:val="both"/>
        <w:rPr>
          <w:sz w:val="24"/>
          <w:szCs w:val="24"/>
        </w:rPr>
      </w:pPr>
      <w:r w:rsidRPr="00C03235">
        <w:rPr>
          <w:sz w:val="24"/>
          <w:szCs w:val="24"/>
        </w:rPr>
        <w:t xml:space="preserve">Se </w:t>
      </w:r>
      <w:r w:rsidR="532678DF" w:rsidRPr="00C03235">
        <w:rPr>
          <w:sz w:val="24"/>
          <w:szCs w:val="24"/>
        </w:rPr>
        <w:t>considera</w:t>
      </w:r>
      <w:r w:rsidR="65F0DE74" w:rsidRPr="00C03235">
        <w:rPr>
          <w:sz w:val="24"/>
          <w:szCs w:val="24"/>
        </w:rPr>
        <w:t xml:space="preserve"> </w:t>
      </w:r>
      <w:r w:rsidR="00A67DB6" w:rsidRPr="00C03235">
        <w:rPr>
          <w:sz w:val="24"/>
          <w:szCs w:val="24"/>
        </w:rPr>
        <w:t xml:space="preserve">ahora </w:t>
      </w:r>
      <w:r w:rsidR="65F0DE74" w:rsidRPr="00C03235">
        <w:rPr>
          <w:sz w:val="24"/>
          <w:szCs w:val="24"/>
        </w:rPr>
        <w:t>el costo del transporte e instalación</w:t>
      </w:r>
      <w:r w:rsidR="00A67DB6" w:rsidRPr="00C03235">
        <w:rPr>
          <w:sz w:val="24"/>
          <w:szCs w:val="24"/>
        </w:rPr>
        <w:t xml:space="preserve"> del mercado de Nazareth y Puerto Estrella y s</w:t>
      </w:r>
      <w:r w:rsidR="00D81996" w:rsidRPr="00C03235">
        <w:rPr>
          <w:sz w:val="24"/>
          <w:szCs w:val="24"/>
        </w:rPr>
        <w:t>e</w:t>
      </w:r>
      <w:r w:rsidR="00A67DB6" w:rsidRPr="00C03235">
        <w:rPr>
          <w:sz w:val="24"/>
          <w:szCs w:val="24"/>
        </w:rPr>
        <w:t xml:space="preserve"> obtiene el valor total </w:t>
      </w:r>
      <w:r w:rsidRPr="00C03235">
        <w:rPr>
          <w:sz w:val="24"/>
          <w:szCs w:val="24"/>
        </w:rPr>
        <w:t>de los activos</w:t>
      </w:r>
      <w:r w:rsidR="00A67DB6" w:rsidRPr="00C03235">
        <w:rPr>
          <w:sz w:val="24"/>
          <w:szCs w:val="24"/>
        </w:rPr>
        <w:t xml:space="preserve"> instalados en dicho mercado</w:t>
      </w:r>
      <w:r w:rsidR="48BF2731" w:rsidRPr="00C03235">
        <w:rPr>
          <w:sz w:val="24"/>
          <w:szCs w:val="24"/>
        </w:rPr>
        <w:t xml:space="preserve">. </w:t>
      </w:r>
    </w:p>
    <w:p w14:paraId="43C308F0" w14:textId="293EF3B1" w:rsidR="00FB18F9" w:rsidRPr="00C03235" w:rsidRDefault="48BF2731" w:rsidP="00A82F36">
      <w:pPr>
        <w:pStyle w:val="Prrafodelista"/>
        <w:numPr>
          <w:ilvl w:val="0"/>
          <w:numId w:val="3"/>
        </w:numPr>
        <w:jc w:val="both"/>
        <w:rPr>
          <w:sz w:val="24"/>
          <w:szCs w:val="24"/>
        </w:rPr>
      </w:pPr>
      <w:r w:rsidRPr="00C03235">
        <w:rPr>
          <w:sz w:val="24"/>
          <w:szCs w:val="24"/>
        </w:rPr>
        <w:t>Nuevamente</w:t>
      </w:r>
      <w:r w:rsidR="00D81996" w:rsidRPr="00C03235">
        <w:rPr>
          <w:sz w:val="24"/>
          <w:szCs w:val="24"/>
        </w:rPr>
        <w:t>,</w:t>
      </w:r>
      <w:r w:rsidRPr="00C03235">
        <w:rPr>
          <w:sz w:val="24"/>
          <w:szCs w:val="24"/>
        </w:rPr>
        <w:t xml:space="preserve"> </w:t>
      </w:r>
      <w:r w:rsidR="4D15400B" w:rsidRPr="00C03235">
        <w:rPr>
          <w:sz w:val="24"/>
          <w:szCs w:val="24"/>
        </w:rPr>
        <w:t>con la ayuda de l</w:t>
      </w:r>
      <w:r w:rsidR="5DC856BA" w:rsidRPr="00C03235">
        <w:rPr>
          <w:sz w:val="24"/>
          <w:szCs w:val="24"/>
        </w:rPr>
        <w:t>a</w:t>
      </w:r>
      <w:r w:rsidR="4D15400B" w:rsidRPr="00C03235">
        <w:rPr>
          <w:sz w:val="24"/>
          <w:szCs w:val="24"/>
        </w:rPr>
        <w:t xml:space="preserve"> función financiera</w:t>
      </w:r>
      <w:r w:rsidR="00D81996" w:rsidRPr="00C03235">
        <w:rPr>
          <w:sz w:val="24"/>
          <w:szCs w:val="24"/>
        </w:rPr>
        <w:t xml:space="preserve"> para el cálculo de </w:t>
      </w:r>
      <w:r w:rsidR="00D81996" w:rsidRPr="00C03235">
        <w:rPr>
          <w:i/>
          <w:iCs/>
          <w:sz w:val="24"/>
          <w:szCs w:val="24"/>
        </w:rPr>
        <w:t>annu</w:t>
      </w:r>
      <w:r w:rsidR="00962FF1" w:rsidRPr="00C03235">
        <w:rPr>
          <w:i/>
          <w:iCs/>
          <w:sz w:val="24"/>
          <w:szCs w:val="24"/>
        </w:rPr>
        <w:t>ities</w:t>
      </w:r>
      <w:r w:rsidR="00344ACF" w:rsidRPr="00C03235">
        <w:rPr>
          <w:sz w:val="24"/>
          <w:szCs w:val="24"/>
        </w:rPr>
        <w:t xml:space="preserve"> y utilizando la tasa de descuento aplicable en este momento</w:t>
      </w:r>
      <w:r w:rsidR="00AD7A62" w:rsidRPr="00C03235">
        <w:rPr>
          <w:sz w:val="24"/>
          <w:szCs w:val="24"/>
        </w:rPr>
        <w:t>,</w:t>
      </w:r>
      <w:r w:rsidR="4D15400B" w:rsidRPr="00C03235">
        <w:rPr>
          <w:sz w:val="24"/>
          <w:szCs w:val="24"/>
        </w:rPr>
        <w:t xml:space="preserve"> se obtiene e</w:t>
      </w:r>
      <w:r w:rsidR="00503CD1" w:rsidRPr="00C03235">
        <w:rPr>
          <w:sz w:val="24"/>
          <w:szCs w:val="24"/>
        </w:rPr>
        <w:t>l</w:t>
      </w:r>
      <w:r w:rsidR="4D15400B" w:rsidRPr="00C03235">
        <w:rPr>
          <w:sz w:val="24"/>
          <w:szCs w:val="24"/>
        </w:rPr>
        <w:t xml:space="preserve"> valor del </w:t>
      </w:r>
      <w:r w:rsidR="00344ACF" w:rsidRPr="00C03235">
        <w:rPr>
          <w:sz w:val="24"/>
          <w:szCs w:val="24"/>
        </w:rPr>
        <w:t xml:space="preserve">componente de inversión </w:t>
      </w:r>
      <w:r w:rsidR="4D15400B" w:rsidRPr="00C03235">
        <w:rPr>
          <w:sz w:val="24"/>
          <w:szCs w:val="24"/>
        </w:rPr>
        <w:t>para Nazareth y Puerto Estrella.</w:t>
      </w:r>
    </w:p>
    <w:p w14:paraId="68C269A4" w14:textId="77777777" w:rsidR="007972AE" w:rsidRPr="00C03235" w:rsidRDefault="007972AE" w:rsidP="00EC279E">
      <w:pPr>
        <w:ind w:left="708"/>
        <w:jc w:val="both"/>
      </w:pPr>
    </w:p>
    <w:p w14:paraId="132614D3" w14:textId="509C4C94" w:rsidR="00AF38ED" w:rsidRPr="00C03235" w:rsidRDefault="00AF38ED" w:rsidP="008D599A">
      <w:pPr>
        <w:pStyle w:val="Descripcin"/>
        <w:jc w:val="center"/>
        <w:rPr>
          <w:b/>
          <w:bCs/>
          <w:i w:val="0"/>
          <w:iCs w:val="0"/>
          <w:color w:val="auto"/>
          <w:sz w:val="20"/>
          <w:szCs w:val="20"/>
        </w:rPr>
      </w:pPr>
      <w:bookmarkStart w:id="3" w:name="_Hlk165985405"/>
      <w:r w:rsidRPr="00C03235">
        <w:rPr>
          <w:b/>
          <w:bCs/>
          <w:i w:val="0"/>
          <w:iCs w:val="0"/>
          <w:color w:val="auto"/>
          <w:sz w:val="20"/>
          <w:szCs w:val="20"/>
        </w:rPr>
        <w:t xml:space="preserve">Tabla </w:t>
      </w:r>
      <w:r w:rsidRPr="00C03235">
        <w:rPr>
          <w:b/>
          <w:bCs/>
          <w:i w:val="0"/>
          <w:iCs w:val="0"/>
          <w:color w:val="auto"/>
          <w:sz w:val="20"/>
          <w:szCs w:val="20"/>
        </w:rPr>
        <w:fldChar w:fldCharType="begin"/>
      </w:r>
      <w:r w:rsidRPr="00C03235">
        <w:rPr>
          <w:b/>
          <w:bCs/>
          <w:i w:val="0"/>
          <w:iCs w:val="0"/>
          <w:color w:val="auto"/>
          <w:sz w:val="20"/>
          <w:szCs w:val="20"/>
        </w:rPr>
        <w:instrText xml:space="preserve"> SEQ Tabla \* ARABIC </w:instrText>
      </w:r>
      <w:r w:rsidRPr="00C03235">
        <w:rPr>
          <w:b/>
          <w:bCs/>
          <w:i w:val="0"/>
          <w:iCs w:val="0"/>
          <w:color w:val="auto"/>
          <w:sz w:val="20"/>
          <w:szCs w:val="20"/>
        </w:rPr>
        <w:fldChar w:fldCharType="separate"/>
      </w:r>
      <w:r w:rsidR="00AB0C09">
        <w:rPr>
          <w:b/>
          <w:bCs/>
          <w:i w:val="0"/>
          <w:iCs w:val="0"/>
          <w:noProof/>
          <w:color w:val="auto"/>
          <w:sz w:val="20"/>
          <w:szCs w:val="20"/>
        </w:rPr>
        <w:t>1</w:t>
      </w:r>
      <w:r w:rsidRPr="00C03235">
        <w:rPr>
          <w:b/>
          <w:bCs/>
          <w:i w:val="0"/>
          <w:iCs w:val="0"/>
          <w:color w:val="auto"/>
          <w:sz w:val="20"/>
          <w:szCs w:val="20"/>
        </w:rPr>
        <w:fldChar w:fldCharType="end"/>
      </w:r>
      <w:r w:rsidRPr="00C03235">
        <w:rPr>
          <w:b/>
          <w:bCs/>
          <w:i w:val="0"/>
          <w:iCs w:val="0"/>
          <w:color w:val="auto"/>
          <w:sz w:val="20"/>
          <w:szCs w:val="20"/>
        </w:rPr>
        <w:t xml:space="preserve">. Metodología de </w:t>
      </w:r>
      <w:r w:rsidR="00EE669E" w:rsidRPr="00C03235">
        <w:rPr>
          <w:b/>
          <w:bCs/>
          <w:i w:val="0"/>
          <w:iCs w:val="0"/>
          <w:color w:val="auto"/>
          <w:sz w:val="20"/>
          <w:szCs w:val="20"/>
        </w:rPr>
        <w:t>cálculo</w:t>
      </w:r>
      <w:r w:rsidRPr="00C03235">
        <w:rPr>
          <w:b/>
          <w:bCs/>
          <w:i w:val="0"/>
          <w:iCs w:val="0"/>
          <w:color w:val="auto"/>
          <w:sz w:val="20"/>
          <w:szCs w:val="20"/>
        </w:rPr>
        <w:t xml:space="preserve"> para cargo del sistema solar</w:t>
      </w:r>
    </w:p>
    <w:tbl>
      <w:tblPr>
        <w:tblW w:w="7078" w:type="dxa"/>
        <w:jc w:val="center"/>
        <w:tblCellMar>
          <w:left w:w="0" w:type="dxa"/>
          <w:right w:w="0" w:type="dxa"/>
        </w:tblCellMar>
        <w:tblLook w:val="0420" w:firstRow="1" w:lastRow="0" w:firstColumn="0" w:lastColumn="0" w:noHBand="0" w:noVBand="1"/>
      </w:tblPr>
      <w:tblGrid>
        <w:gridCol w:w="2967"/>
        <w:gridCol w:w="1985"/>
        <w:gridCol w:w="2126"/>
      </w:tblGrid>
      <w:tr w:rsidR="00EC3F89" w:rsidRPr="00C03235" w14:paraId="6C6B4B3D" w14:textId="77777777" w:rsidTr="00E2096D">
        <w:trPr>
          <w:trHeight w:val="396"/>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bookmarkEnd w:id="3"/>
          <w:p w14:paraId="34A83D21" w14:textId="77777777" w:rsidR="00EC3F89" w:rsidRPr="00C03235" w:rsidRDefault="00EC3F89" w:rsidP="006B3292">
            <w:pPr>
              <w:jc w:val="center"/>
              <w:rPr>
                <w:b/>
                <w:bCs/>
                <w:sz w:val="20"/>
                <w:szCs w:val="20"/>
              </w:rPr>
            </w:pPr>
            <w:r w:rsidRPr="00C03235">
              <w:rPr>
                <w:b/>
                <w:bCs/>
                <w:sz w:val="20"/>
                <w:szCs w:val="20"/>
              </w:rPr>
              <w:t>SFV</w:t>
            </w:r>
          </w:p>
        </w:tc>
        <w:tc>
          <w:tcPr>
            <w:tcW w:w="198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50BB0ADC" w14:textId="4309D79E" w:rsidR="004721AC" w:rsidRPr="00C03235" w:rsidRDefault="00EC3F89" w:rsidP="004721AC">
            <w:pPr>
              <w:jc w:val="center"/>
              <w:rPr>
                <w:b/>
                <w:bCs/>
                <w:sz w:val="20"/>
                <w:szCs w:val="20"/>
              </w:rPr>
            </w:pPr>
            <w:r w:rsidRPr="00C03235">
              <w:rPr>
                <w:b/>
                <w:bCs/>
                <w:sz w:val="20"/>
                <w:szCs w:val="20"/>
              </w:rPr>
              <w:t>Unguía</w:t>
            </w:r>
          </w:p>
          <w:p w14:paraId="255655A5" w14:textId="729B73EC" w:rsidR="00EC3F89" w:rsidRPr="00C03235" w:rsidRDefault="00EC3F89" w:rsidP="004721AC">
            <w:pPr>
              <w:jc w:val="center"/>
              <w:rPr>
                <w:sz w:val="20"/>
                <w:szCs w:val="20"/>
              </w:rPr>
            </w:pPr>
            <w:r w:rsidRPr="00C03235">
              <w:rPr>
                <w:b/>
                <w:bCs/>
                <w:sz w:val="20"/>
                <w:szCs w:val="20"/>
              </w:rPr>
              <w:t>Oct 2022</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5" w:type="dxa"/>
              <w:bottom w:w="0" w:type="dxa"/>
              <w:right w:w="15" w:type="dxa"/>
            </w:tcMar>
            <w:vAlign w:val="center"/>
            <w:hideMark/>
          </w:tcPr>
          <w:p w14:paraId="3A64AB3B" w14:textId="6BA1926D" w:rsidR="004721AC" w:rsidRPr="00C03235" w:rsidRDefault="00EC3F89" w:rsidP="004721AC">
            <w:pPr>
              <w:jc w:val="center"/>
              <w:rPr>
                <w:b/>
                <w:bCs/>
                <w:sz w:val="20"/>
                <w:szCs w:val="20"/>
              </w:rPr>
            </w:pPr>
            <w:r w:rsidRPr="00C03235">
              <w:rPr>
                <w:b/>
                <w:bCs/>
                <w:sz w:val="20"/>
                <w:szCs w:val="20"/>
              </w:rPr>
              <w:t>Nazareth</w:t>
            </w:r>
          </w:p>
          <w:p w14:paraId="0304DBA7" w14:textId="329C89F1" w:rsidR="00EC3F89" w:rsidRPr="00C03235" w:rsidRDefault="00EC3F89" w:rsidP="004721AC">
            <w:pPr>
              <w:jc w:val="center"/>
              <w:rPr>
                <w:sz w:val="20"/>
                <w:szCs w:val="20"/>
              </w:rPr>
            </w:pPr>
            <w:r w:rsidRPr="00C03235">
              <w:rPr>
                <w:b/>
                <w:bCs/>
                <w:sz w:val="20"/>
                <w:szCs w:val="20"/>
              </w:rPr>
              <w:t>Oct 2022</w:t>
            </w:r>
          </w:p>
        </w:tc>
      </w:tr>
      <w:tr w:rsidR="00EC3F89" w:rsidRPr="00C03235" w14:paraId="63CABD6E" w14:textId="77777777" w:rsidTr="00EC3F89">
        <w:trPr>
          <w:trHeight w:val="261"/>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6B325E7E" w14:textId="77777777" w:rsidR="00EC3F89" w:rsidRPr="00C03235" w:rsidRDefault="00EC3F89" w:rsidP="00EC3F89">
            <w:pPr>
              <w:jc w:val="both"/>
              <w:rPr>
                <w:b/>
                <w:bCs/>
                <w:sz w:val="20"/>
                <w:szCs w:val="20"/>
              </w:rPr>
            </w:pPr>
            <w:r w:rsidRPr="00C03235">
              <w:rPr>
                <w:b/>
                <w:bCs/>
                <w:sz w:val="20"/>
                <w:szCs w:val="20"/>
              </w:rPr>
              <w:t>Inv ($/kWh)</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065FF7F2" w14:textId="77777777" w:rsidR="00EC3F89" w:rsidRPr="00C03235" w:rsidRDefault="00EC3F89" w:rsidP="006B3292">
            <w:pPr>
              <w:jc w:val="center"/>
              <w:rPr>
                <w:sz w:val="20"/>
                <w:szCs w:val="20"/>
              </w:rPr>
            </w:pPr>
            <w:r w:rsidRPr="00C03235">
              <w:rPr>
                <w:b/>
                <w:bCs/>
                <w:sz w:val="20"/>
                <w:szCs w:val="20"/>
              </w:rPr>
              <w:t>678.50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2AB7AF3F" w14:textId="215022AF" w:rsidR="00EC3F89" w:rsidRPr="00C03235" w:rsidRDefault="00EC3F89" w:rsidP="006B3292">
            <w:pPr>
              <w:jc w:val="center"/>
              <w:rPr>
                <w:sz w:val="20"/>
                <w:szCs w:val="20"/>
              </w:rPr>
            </w:pPr>
            <w:r w:rsidRPr="00C03235">
              <w:rPr>
                <w:b/>
                <w:bCs/>
                <w:sz w:val="20"/>
                <w:szCs w:val="20"/>
              </w:rPr>
              <w:t>599.25</w:t>
            </w:r>
          </w:p>
        </w:tc>
      </w:tr>
      <w:tr w:rsidR="00EC3F89" w:rsidRPr="00C03235" w14:paraId="13A45142" w14:textId="77777777" w:rsidTr="00EC3F89">
        <w:trPr>
          <w:trHeight w:val="236"/>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73D211FB" w14:textId="20BD2EDC" w:rsidR="00EC3F89" w:rsidRPr="00C03235" w:rsidRDefault="00EC3F89" w:rsidP="00EC3F89">
            <w:pPr>
              <w:jc w:val="both"/>
              <w:rPr>
                <w:b/>
                <w:bCs/>
                <w:sz w:val="20"/>
                <w:szCs w:val="20"/>
              </w:rPr>
            </w:pPr>
            <w:r w:rsidRPr="00C03235">
              <w:rPr>
                <w:b/>
                <w:bCs/>
                <w:sz w:val="20"/>
                <w:szCs w:val="20"/>
              </w:rPr>
              <w:t>AOM ($/kWh)</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5D08AF09" w14:textId="32C9931E" w:rsidR="00EC3F89" w:rsidRPr="00C03235" w:rsidRDefault="00EC3F89" w:rsidP="006B3292">
            <w:pPr>
              <w:jc w:val="center"/>
              <w:rPr>
                <w:sz w:val="20"/>
                <w:szCs w:val="20"/>
              </w:rPr>
            </w:pPr>
            <w:r w:rsidRPr="00C03235">
              <w:rPr>
                <w:b/>
                <w:bCs/>
                <w:sz w:val="20"/>
                <w:szCs w:val="20"/>
              </w:rPr>
              <w:t>80.89</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312FD8FE" w14:textId="00A6B143" w:rsidR="00EC3F89" w:rsidRPr="00C03235" w:rsidRDefault="00EC3F89" w:rsidP="006B3292">
            <w:pPr>
              <w:jc w:val="center"/>
              <w:rPr>
                <w:sz w:val="20"/>
                <w:szCs w:val="20"/>
              </w:rPr>
            </w:pPr>
            <w:r w:rsidRPr="00C03235">
              <w:rPr>
                <w:b/>
                <w:bCs/>
                <w:sz w:val="20"/>
                <w:szCs w:val="20"/>
              </w:rPr>
              <w:t>70.62</w:t>
            </w:r>
          </w:p>
        </w:tc>
      </w:tr>
      <w:tr w:rsidR="00EC3F89" w:rsidRPr="00C03235" w14:paraId="03C4C96E" w14:textId="77777777" w:rsidTr="00EC3F89">
        <w:trPr>
          <w:trHeight w:val="255"/>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21CE014F" w14:textId="3F02C29D" w:rsidR="00EC3F89" w:rsidRPr="00C03235" w:rsidRDefault="00EC3F89" w:rsidP="00EC3F89">
            <w:pPr>
              <w:jc w:val="both"/>
              <w:rPr>
                <w:b/>
                <w:bCs/>
                <w:sz w:val="20"/>
                <w:szCs w:val="20"/>
              </w:rPr>
            </w:pPr>
            <w:r w:rsidRPr="00C03235">
              <w:rPr>
                <w:b/>
                <w:bCs/>
                <w:sz w:val="20"/>
                <w:szCs w:val="20"/>
              </w:rPr>
              <w:t>G ($/kWh)</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7714ED3E" w14:textId="23D10E9A" w:rsidR="00EC3F89" w:rsidRPr="00C03235" w:rsidRDefault="002814AD" w:rsidP="006B3292">
            <w:pPr>
              <w:jc w:val="center"/>
              <w:rPr>
                <w:sz w:val="20"/>
                <w:szCs w:val="20"/>
              </w:rPr>
            </w:pPr>
            <w:r w:rsidRPr="00C03235">
              <w:rPr>
                <w:noProof/>
                <w:sz w:val="20"/>
                <w:szCs w:val="20"/>
              </w:rPr>
              <mc:AlternateContent>
                <mc:Choice Requires="wps">
                  <w:drawing>
                    <wp:anchor distT="0" distB="0" distL="114300" distR="114300" simplePos="0" relativeHeight="251658241" behindDoc="0" locked="0" layoutInCell="1" allowOverlap="1" wp14:anchorId="35CE6CC3" wp14:editId="728DC2BA">
                      <wp:simplePos x="0" y="0"/>
                      <wp:positionH relativeFrom="column">
                        <wp:posOffset>126365</wp:posOffset>
                      </wp:positionH>
                      <wp:positionV relativeFrom="paragraph">
                        <wp:posOffset>-67310</wp:posOffset>
                      </wp:positionV>
                      <wp:extent cx="174625" cy="723900"/>
                      <wp:effectExtent l="19050" t="0" r="15875" b="38100"/>
                      <wp:wrapNone/>
                      <wp:docPr id="8" name="Arrow: Down 8">
                        <a:extLst xmlns:a="http://schemas.openxmlformats.org/drawingml/2006/main">
                          <a:ext uri="{FF2B5EF4-FFF2-40B4-BE49-F238E27FC236}">
                            <a16:creationId xmlns:a16="http://schemas.microsoft.com/office/drawing/2014/main" id="{1AE9EA13-EE8F-CAE9-1500-9A1ED655587A}"/>
                          </a:ext>
                        </a:extLst>
                      </wp:docPr>
                      <wp:cNvGraphicFramePr/>
                      <a:graphic xmlns:a="http://schemas.openxmlformats.org/drawingml/2006/main">
                        <a:graphicData uri="http://schemas.microsoft.com/office/word/2010/wordprocessingShape">
                          <wps:wsp>
                            <wps:cNvSpPr/>
                            <wps:spPr>
                              <a:xfrm>
                                <a:off x="0" y="0"/>
                                <a:ext cx="174625" cy="723900"/>
                              </a:xfrm>
                              <a:prstGeom prst="downArrow">
                                <a:avLst/>
                              </a:prstGeom>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B21AB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9.95pt;margin-top:-5.3pt;width:13.75pt;height: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" adj="18995" fillcolor="white [3201]" strokecolor="black [3200]" strokeweight="1pt"/>
                  </w:pict>
                </mc:Fallback>
              </mc:AlternateContent>
            </w:r>
            <w:r w:rsidR="00EC3F89" w:rsidRPr="00C03235">
              <w:rPr>
                <w:b/>
                <w:bCs/>
                <w:sz w:val="20"/>
                <w:szCs w:val="20"/>
              </w:rPr>
              <w:t>759.39</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78DE508A" w14:textId="33CD56E5" w:rsidR="00EC3F89" w:rsidRPr="00C03235" w:rsidRDefault="00EC3F89" w:rsidP="006B3292">
            <w:pPr>
              <w:jc w:val="center"/>
              <w:rPr>
                <w:sz w:val="20"/>
                <w:szCs w:val="20"/>
              </w:rPr>
            </w:pPr>
            <w:r w:rsidRPr="00C03235">
              <w:rPr>
                <w:b/>
                <w:bCs/>
                <w:sz w:val="20"/>
                <w:szCs w:val="20"/>
              </w:rPr>
              <w:t>669.87</w:t>
            </w:r>
          </w:p>
        </w:tc>
      </w:tr>
      <w:tr w:rsidR="00EC3F89" w:rsidRPr="00C03235" w14:paraId="7CB59415" w14:textId="77777777" w:rsidTr="000826FD">
        <w:trPr>
          <w:trHeight w:val="35"/>
          <w:jc w:val="center"/>
        </w:trPr>
        <w:tc>
          <w:tcPr>
            <w:tcW w:w="707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2F7027DA" w14:textId="5E562E5B" w:rsidR="00EC3F89" w:rsidRPr="00C03235" w:rsidRDefault="002814AD" w:rsidP="006B3292">
            <w:pPr>
              <w:ind w:left="708"/>
              <w:jc w:val="center"/>
              <w:rPr>
                <w:sz w:val="20"/>
                <w:szCs w:val="20"/>
              </w:rPr>
            </w:pPr>
            <w:r w:rsidRPr="00C03235">
              <w:rPr>
                <w:noProof/>
                <w:sz w:val="20"/>
                <w:szCs w:val="20"/>
              </w:rPr>
              <mc:AlternateContent>
                <mc:Choice Requires="wps">
                  <w:drawing>
                    <wp:anchor distT="0" distB="0" distL="114300" distR="114300" simplePos="0" relativeHeight="251658242" behindDoc="0" locked="0" layoutInCell="1" allowOverlap="1" wp14:anchorId="3556D4F8" wp14:editId="784DDB6F">
                      <wp:simplePos x="0" y="0"/>
                      <wp:positionH relativeFrom="column">
                        <wp:posOffset>3198495</wp:posOffset>
                      </wp:positionH>
                      <wp:positionV relativeFrom="paragraph">
                        <wp:posOffset>-269240</wp:posOffset>
                      </wp:positionV>
                      <wp:extent cx="180975" cy="742950"/>
                      <wp:effectExtent l="19050" t="19050" r="47625" b="19050"/>
                      <wp:wrapNone/>
                      <wp:docPr id="746162369" name="Arrow: Down 746162369"/>
                      <wp:cNvGraphicFramePr/>
                      <a:graphic xmlns:a="http://schemas.openxmlformats.org/drawingml/2006/main">
                        <a:graphicData uri="http://schemas.microsoft.com/office/word/2010/wordprocessingShape">
                          <wps:wsp>
                            <wps:cNvSpPr/>
                            <wps:spPr>
                              <a:xfrm rot="10800000">
                                <a:off x="0" y="0"/>
                                <a:ext cx="180975" cy="742950"/>
                              </a:xfrm>
                              <a:prstGeom prst="downArrow">
                                <a:avLst/>
                              </a:prstGeom>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3D9A97F" id="Arrow: Down 746162369" o:spid="_x0000_s1026" type="#_x0000_t67" style="position:absolute;margin-left:251.85pt;margin-top:-21.2pt;width:14.25pt;height:58.5pt;rotation:18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" adj="18969" fillcolor="white [3201]" strokecolor="black [3200]" strokeweight="1pt"/>
                  </w:pict>
                </mc:Fallback>
              </mc:AlternateContent>
            </w:r>
          </w:p>
        </w:tc>
      </w:tr>
      <w:tr w:rsidR="00EC3F89" w:rsidRPr="00C03235" w14:paraId="2E09424D" w14:textId="77777777" w:rsidTr="00EC3F89">
        <w:trPr>
          <w:trHeight w:val="248"/>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5CFEEB2E" w14:textId="2F3ADB2D" w:rsidR="00EC3F89" w:rsidRPr="00C03235" w:rsidRDefault="00EC3F89" w:rsidP="00EC3F89">
            <w:pPr>
              <w:jc w:val="both"/>
              <w:rPr>
                <w:sz w:val="20"/>
                <w:szCs w:val="20"/>
              </w:rPr>
            </w:pPr>
            <w:r w:rsidRPr="00C03235">
              <w:rPr>
                <w:sz w:val="20"/>
                <w:szCs w:val="20"/>
              </w:rPr>
              <w:t>TD</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3A911FCC" w14:textId="6E83EDF0" w:rsidR="00EC3F89" w:rsidRPr="00C03235" w:rsidRDefault="00EC3F89" w:rsidP="006B3292">
            <w:pPr>
              <w:jc w:val="center"/>
              <w:rPr>
                <w:sz w:val="20"/>
                <w:szCs w:val="20"/>
              </w:rPr>
            </w:pPr>
            <w:r w:rsidRPr="00C03235">
              <w:rPr>
                <w:sz w:val="20"/>
                <w:szCs w:val="20"/>
              </w:rPr>
              <w:t>14.83%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6C7DB803" w14:textId="0531C82F" w:rsidR="00EC3F89" w:rsidRPr="00C03235" w:rsidRDefault="00EC3F89" w:rsidP="006B3292">
            <w:pPr>
              <w:jc w:val="center"/>
              <w:rPr>
                <w:sz w:val="20"/>
                <w:szCs w:val="20"/>
              </w:rPr>
            </w:pPr>
            <w:r w:rsidRPr="00C03235">
              <w:rPr>
                <w:sz w:val="20"/>
                <w:szCs w:val="20"/>
              </w:rPr>
              <w:t>15.22%</w:t>
            </w:r>
          </w:p>
        </w:tc>
      </w:tr>
      <w:tr w:rsidR="00EC3F89" w:rsidRPr="00C03235" w14:paraId="71FD4FD9" w14:textId="77777777" w:rsidTr="00EC3F89">
        <w:trPr>
          <w:trHeight w:val="251"/>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34415D83" w14:textId="43B6E7DB" w:rsidR="00EC3F89" w:rsidRPr="00C03235" w:rsidRDefault="00EC3F89" w:rsidP="00EC3F89">
            <w:pPr>
              <w:jc w:val="both"/>
              <w:rPr>
                <w:sz w:val="20"/>
                <w:szCs w:val="20"/>
              </w:rPr>
            </w:pPr>
            <w:r w:rsidRPr="00C03235">
              <w:rPr>
                <w:sz w:val="20"/>
                <w:szCs w:val="20"/>
              </w:rPr>
              <w:t>VU</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4AAD46C0" w14:textId="726124E9" w:rsidR="00EC3F89" w:rsidRPr="00C03235" w:rsidRDefault="00EC3F89" w:rsidP="006B3292">
            <w:pPr>
              <w:jc w:val="center"/>
              <w:rPr>
                <w:sz w:val="20"/>
                <w:szCs w:val="20"/>
              </w:rPr>
            </w:pPr>
            <w:r w:rsidRPr="00C03235">
              <w:rPr>
                <w:sz w:val="20"/>
                <w:szCs w:val="20"/>
              </w:rPr>
              <w:t>20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74801D9F" w14:textId="451062E3" w:rsidR="00EC3F89" w:rsidRPr="00C03235" w:rsidRDefault="00EC3F89" w:rsidP="006B3292">
            <w:pPr>
              <w:jc w:val="center"/>
              <w:rPr>
                <w:sz w:val="20"/>
                <w:szCs w:val="20"/>
              </w:rPr>
            </w:pPr>
            <w:r w:rsidRPr="00C03235">
              <w:rPr>
                <w:sz w:val="20"/>
                <w:szCs w:val="20"/>
              </w:rPr>
              <w:t>20</w:t>
            </w:r>
          </w:p>
        </w:tc>
      </w:tr>
      <w:tr w:rsidR="00EC3F89" w:rsidRPr="00C03235" w14:paraId="4947C5AB" w14:textId="77777777" w:rsidTr="00EC3F89">
        <w:trPr>
          <w:trHeight w:val="242"/>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1DED3809" w14:textId="675F3F64" w:rsidR="00EC3F89" w:rsidRPr="00C03235" w:rsidRDefault="00EC3F89" w:rsidP="00EC3F89">
            <w:pPr>
              <w:jc w:val="both"/>
              <w:rPr>
                <w:sz w:val="20"/>
                <w:szCs w:val="20"/>
              </w:rPr>
            </w:pPr>
            <w:r w:rsidRPr="00C03235">
              <w:rPr>
                <w:sz w:val="20"/>
                <w:szCs w:val="20"/>
              </w:rPr>
              <w:t>Valor Activo ($/kWh)</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308B8304" w14:textId="3D9A9F87" w:rsidR="00EC3F89" w:rsidRPr="00C03235" w:rsidRDefault="00EC3F89" w:rsidP="006B3292">
            <w:pPr>
              <w:jc w:val="center"/>
              <w:rPr>
                <w:sz w:val="20"/>
                <w:szCs w:val="20"/>
              </w:rPr>
            </w:pPr>
            <w:r w:rsidRPr="00C03235">
              <w:rPr>
                <w:sz w:val="20"/>
                <w:szCs w:val="20"/>
              </w:rPr>
              <w:t>4,288.07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732E10CF" w14:textId="5EB47035" w:rsidR="00EC3F89" w:rsidRPr="00C03235" w:rsidRDefault="00EC3F89" w:rsidP="006B3292">
            <w:pPr>
              <w:jc w:val="center"/>
              <w:rPr>
                <w:sz w:val="20"/>
                <w:szCs w:val="20"/>
              </w:rPr>
            </w:pPr>
            <w:r w:rsidRPr="00C03235">
              <w:rPr>
                <w:sz w:val="20"/>
                <w:szCs w:val="20"/>
              </w:rPr>
              <w:t>3,704.73</w:t>
            </w:r>
          </w:p>
        </w:tc>
      </w:tr>
      <w:tr w:rsidR="00D93634" w:rsidRPr="00C03235" w14:paraId="76919D80" w14:textId="77777777" w:rsidTr="000826FD">
        <w:trPr>
          <w:trHeight w:val="35"/>
          <w:jc w:val="center"/>
        </w:trPr>
        <w:tc>
          <w:tcPr>
            <w:tcW w:w="707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54DE7DEC" w14:textId="280F6811" w:rsidR="00D93634" w:rsidRPr="00C03235" w:rsidRDefault="00D93634" w:rsidP="006B3292">
            <w:pPr>
              <w:ind w:left="708"/>
              <w:jc w:val="center"/>
              <w:rPr>
                <w:sz w:val="20"/>
                <w:szCs w:val="20"/>
              </w:rPr>
            </w:pPr>
          </w:p>
        </w:tc>
      </w:tr>
      <w:tr w:rsidR="00EC3F89" w:rsidRPr="00C03235" w14:paraId="0737777A" w14:textId="77777777" w:rsidTr="00EC3F89">
        <w:trPr>
          <w:trHeight w:val="250"/>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4B541E60" w14:textId="77777777" w:rsidR="00EC3F89" w:rsidRPr="00C03235" w:rsidRDefault="00EC3F89" w:rsidP="00EC3F89">
            <w:pPr>
              <w:jc w:val="both"/>
              <w:rPr>
                <w:sz w:val="20"/>
                <w:szCs w:val="20"/>
              </w:rPr>
            </w:pPr>
            <w:r w:rsidRPr="00C03235">
              <w:rPr>
                <w:sz w:val="20"/>
                <w:szCs w:val="20"/>
              </w:rPr>
              <w:t>Trans+Instal / Costo Total</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751E31D9" w14:textId="1A944134" w:rsidR="00EC3F89" w:rsidRPr="00C03235" w:rsidRDefault="00EC3F89" w:rsidP="006B3292">
            <w:pPr>
              <w:jc w:val="center"/>
              <w:rPr>
                <w:sz w:val="20"/>
                <w:szCs w:val="20"/>
              </w:rPr>
            </w:pPr>
            <w:r w:rsidRPr="00C03235">
              <w:rPr>
                <w:sz w:val="20"/>
                <w:szCs w:val="20"/>
              </w:rPr>
              <w:t>10.51%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226B3E08" w14:textId="2EBE8738" w:rsidR="00EC3F89" w:rsidRPr="00C03235" w:rsidRDefault="00EC3F89" w:rsidP="006B3292">
            <w:pPr>
              <w:jc w:val="center"/>
              <w:rPr>
                <w:sz w:val="20"/>
                <w:szCs w:val="20"/>
              </w:rPr>
            </w:pPr>
            <w:r w:rsidRPr="00C03235">
              <w:rPr>
                <w:sz w:val="20"/>
                <w:szCs w:val="20"/>
              </w:rPr>
              <w:t>9.57%</w:t>
            </w:r>
          </w:p>
        </w:tc>
      </w:tr>
      <w:tr w:rsidR="00EC3F89" w:rsidRPr="00C03235" w14:paraId="136E9B44" w14:textId="77777777" w:rsidTr="00EC3F89">
        <w:trPr>
          <w:trHeight w:val="239"/>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75EF2A21" w14:textId="77777777" w:rsidR="00EC3F89" w:rsidRPr="00C03235" w:rsidRDefault="00EC3F89" w:rsidP="00EC3F89">
            <w:pPr>
              <w:jc w:val="both"/>
              <w:rPr>
                <w:sz w:val="20"/>
                <w:szCs w:val="20"/>
              </w:rPr>
            </w:pPr>
            <w:r w:rsidRPr="00C03235">
              <w:rPr>
                <w:sz w:val="20"/>
                <w:szCs w:val="20"/>
              </w:rPr>
              <w:t>Equipos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733037A2" w14:textId="5F6DE87E" w:rsidR="00EC3F89" w:rsidRPr="00C03235" w:rsidRDefault="00EC3F89" w:rsidP="006B3292">
            <w:pPr>
              <w:jc w:val="center"/>
              <w:rPr>
                <w:sz w:val="20"/>
                <w:szCs w:val="20"/>
              </w:rPr>
            </w:pPr>
            <w:r w:rsidRPr="00C03235">
              <w:rPr>
                <w:sz w:val="20"/>
                <w:szCs w:val="20"/>
              </w:rPr>
              <w:t>3,837.53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1BD3479A" w14:textId="67D26A82" w:rsidR="00EC3F89" w:rsidRPr="00C03235" w:rsidRDefault="00EC3F89" w:rsidP="006B3292">
            <w:pPr>
              <w:jc w:val="center"/>
              <w:rPr>
                <w:sz w:val="20"/>
                <w:szCs w:val="20"/>
              </w:rPr>
            </w:pPr>
            <w:r w:rsidRPr="00C03235">
              <w:rPr>
                <w:sz w:val="20"/>
                <w:szCs w:val="20"/>
              </w:rPr>
              <w:t>3,350.19</w:t>
            </w:r>
          </w:p>
        </w:tc>
      </w:tr>
      <w:tr w:rsidR="00EC3F89" w:rsidRPr="00C03235" w14:paraId="2C26926A" w14:textId="77777777" w:rsidTr="00EC3F89">
        <w:trPr>
          <w:trHeight w:val="258"/>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15473BA6" w14:textId="77777777" w:rsidR="00EC3F89" w:rsidRPr="00C03235" w:rsidRDefault="00EC3F89" w:rsidP="00EC3F89">
            <w:pPr>
              <w:jc w:val="both"/>
              <w:rPr>
                <w:sz w:val="20"/>
                <w:szCs w:val="20"/>
              </w:rPr>
            </w:pPr>
            <w:r w:rsidRPr="00C03235">
              <w:rPr>
                <w:sz w:val="20"/>
                <w:szCs w:val="20"/>
              </w:rPr>
              <w:t>Transporte + Instalación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68C80EC4" w14:textId="2638EC94" w:rsidR="00EC3F89" w:rsidRPr="00C03235" w:rsidRDefault="00EC3F89" w:rsidP="006B3292">
            <w:pPr>
              <w:jc w:val="center"/>
              <w:rPr>
                <w:sz w:val="20"/>
                <w:szCs w:val="20"/>
              </w:rPr>
            </w:pPr>
            <w:r w:rsidRPr="00C03235">
              <w:rPr>
                <w:sz w:val="20"/>
                <w:szCs w:val="20"/>
              </w:rPr>
              <w:t>450.54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5DEB6FA2" w14:textId="0EF48419" w:rsidR="00EC3F89" w:rsidRPr="00C03235" w:rsidRDefault="00EC3F89" w:rsidP="006B3292">
            <w:pPr>
              <w:jc w:val="center"/>
              <w:rPr>
                <w:sz w:val="20"/>
                <w:szCs w:val="20"/>
              </w:rPr>
            </w:pPr>
            <w:r w:rsidRPr="00C03235">
              <w:rPr>
                <w:sz w:val="20"/>
                <w:szCs w:val="20"/>
              </w:rPr>
              <w:t>354.54</w:t>
            </w:r>
          </w:p>
        </w:tc>
      </w:tr>
      <w:tr w:rsidR="00EC3F89" w:rsidRPr="00C03235" w14:paraId="4643A705" w14:textId="77777777" w:rsidTr="000826FD">
        <w:trPr>
          <w:trHeight w:val="35"/>
          <w:jc w:val="center"/>
        </w:trPr>
        <w:tc>
          <w:tcPr>
            <w:tcW w:w="707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5ECBA9F3" w14:textId="0F289B0E" w:rsidR="00EC3F89" w:rsidRPr="00C03235" w:rsidRDefault="00EC3F89" w:rsidP="006B3292">
            <w:pPr>
              <w:ind w:left="708"/>
              <w:jc w:val="center"/>
              <w:rPr>
                <w:sz w:val="20"/>
                <w:szCs w:val="20"/>
              </w:rPr>
            </w:pPr>
          </w:p>
        </w:tc>
      </w:tr>
      <w:tr w:rsidR="00EC3F89" w:rsidRPr="00C03235" w14:paraId="7FC4E3DB" w14:textId="77777777" w:rsidTr="00EC3F89">
        <w:trPr>
          <w:trHeight w:val="238"/>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2C6B3931" w14:textId="77777777" w:rsidR="00EC3F89" w:rsidRPr="00C03235" w:rsidRDefault="00EC3F89" w:rsidP="00EC3F89">
            <w:pPr>
              <w:jc w:val="both"/>
              <w:rPr>
                <w:sz w:val="20"/>
                <w:szCs w:val="20"/>
              </w:rPr>
            </w:pPr>
            <w:r w:rsidRPr="00C03235">
              <w:rPr>
                <w:sz w:val="20"/>
                <w:szCs w:val="20"/>
              </w:rPr>
              <w:t>Energía (kWh)</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287DE67E" w14:textId="162031AE" w:rsidR="00EC3F89" w:rsidRPr="00C03235" w:rsidRDefault="00EC3F89" w:rsidP="006B3292">
            <w:pPr>
              <w:jc w:val="center"/>
              <w:rPr>
                <w:sz w:val="20"/>
                <w:szCs w:val="20"/>
              </w:rPr>
            </w:pPr>
            <w:r w:rsidRPr="00C03235">
              <w:rPr>
                <w:sz w:val="20"/>
                <w:szCs w:val="20"/>
              </w:rPr>
              <w:t>1.00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01003383" w14:textId="05484230" w:rsidR="00EC3F89" w:rsidRPr="00C03235" w:rsidRDefault="00EC3F89" w:rsidP="006B3292">
            <w:pPr>
              <w:jc w:val="center"/>
              <w:rPr>
                <w:sz w:val="20"/>
                <w:szCs w:val="20"/>
              </w:rPr>
            </w:pPr>
            <w:r w:rsidRPr="00C03235">
              <w:rPr>
                <w:sz w:val="20"/>
                <w:szCs w:val="20"/>
              </w:rPr>
              <w:t>1.00</w:t>
            </w:r>
          </w:p>
        </w:tc>
      </w:tr>
      <w:tr w:rsidR="00EC3F89" w:rsidRPr="00C03235" w14:paraId="4EEA011D" w14:textId="77777777" w:rsidTr="00EC3F89">
        <w:trPr>
          <w:trHeight w:val="255"/>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3F663C66" w14:textId="77777777" w:rsidR="00EC3F89" w:rsidRPr="00C03235" w:rsidRDefault="00EC3F89" w:rsidP="00EC3F89">
            <w:pPr>
              <w:jc w:val="both"/>
              <w:rPr>
                <w:sz w:val="20"/>
                <w:szCs w:val="20"/>
              </w:rPr>
            </w:pPr>
            <w:r w:rsidRPr="00C03235">
              <w:rPr>
                <w:sz w:val="20"/>
                <w:szCs w:val="20"/>
              </w:rPr>
              <w:lastRenderedPageBreak/>
              <w:t>Eficiencia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5027F364" w14:textId="16700150" w:rsidR="00EC3F89" w:rsidRPr="00C03235" w:rsidRDefault="00EC3F89" w:rsidP="006B3292">
            <w:pPr>
              <w:jc w:val="center"/>
              <w:rPr>
                <w:sz w:val="20"/>
                <w:szCs w:val="20"/>
              </w:rPr>
            </w:pPr>
            <w:r w:rsidRPr="00C03235">
              <w:rPr>
                <w:sz w:val="20"/>
                <w:szCs w:val="20"/>
              </w:rPr>
              <w:t>82.13%</w:t>
            </w:r>
            <w:r w:rsidR="00662677" w:rsidRPr="00C03235">
              <w:rPr>
                <w:sz w:val="20"/>
                <w:szCs w:val="20"/>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27B1111B" w14:textId="52CB1241" w:rsidR="00EC3F89" w:rsidRPr="00C03235" w:rsidRDefault="00EC3F89" w:rsidP="006B3292">
            <w:pPr>
              <w:jc w:val="center"/>
              <w:rPr>
                <w:sz w:val="20"/>
                <w:szCs w:val="20"/>
              </w:rPr>
            </w:pPr>
            <w:r w:rsidRPr="00C03235">
              <w:rPr>
                <w:sz w:val="20"/>
                <w:szCs w:val="20"/>
              </w:rPr>
              <w:t>82.13%</w:t>
            </w:r>
          </w:p>
        </w:tc>
      </w:tr>
      <w:tr w:rsidR="00EC3F89" w:rsidRPr="00C03235" w14:paraId="63A98CF4" w14:textId="77777777" w:rsidTr="00EC3F89">
        <w:trPr>
          <w:trHeight w:val="246"/>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02399A3E" w14:textId="77777777" w:rsidR="00EC3F89" w:rsidRPr="00C03235" w:rsidRDefault="00EC3F89" w:rsidP="00EC3F89">
            <w:pPr>
              <w:jc w:val="both"/>
              <w:rPr>
                <w:sz w:val="20"/>
                <w:szCs w:val="20"/>
              </w:rPr>
            </w:pPr>
            <w:r w:rsidRPr="00C03235">
              <w:rPr>
                <w:sz w:val="20"/>
                <w:szCs w:val="20"/>
              </w:rPr>
              <w:t>Radiación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76DEF4CB" w14:textId="681AC6F1" w:rsidR="00EC3F89" w:rsidRPr="00C03235" w:rsidRDefault="00EC3F89" w:rsidP="006B3292">
            <w:pPr>
              <w:jc w:val="center"/>
              <w:rPr>
                <w:sz w:val="20"/>
                <w:szCs w:val="20"/>
              </w:rPr>
            </w:pPr>
            <w:r w:rsidRPr="00C03235">
              <w:rPr>
                <w:sz w:val="20"/>
                <w:szCs w:val="20"/>
              </w:rPr>
              <w:t>4.39</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6261F965" w14:textId="6D321A32" w:rsidR="00EC3F89" w:rsidRPr="00C03235" w:rsidRDefault="00EC3F89" w:rsidP="006B3292">
            <w:pPr>
              <w:jc w:val="center"/>
              <w:rPr>
                <w:sz w:val="20"/>
                <w:szCs w:val="20"/>
              </w:rPr>
            </w:pPr>
            <w:r w:rsidRPr="00C03235">
              <w:rPr>
                <w:sz w:val="20"/>
                <w:szCs w:val="20"/>
              </w:rPr>
              <w:t>5.03</w:t>
            </w:r>
          </w:p>
        </w:tc>
      </w:tr>
      <w:tr w:rsidR="00EC3F89" w:rsidRPr="00C03235" w14:paraId="594E7FA7" w14:textId="77777777" w:rsidTr="00EC3F89">
        <w:trPr>
          <w:trHeight w:val="249"/>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5" w:type="dxa"/>
            </w:tcMar>
            <w:vAlign w:val="center"/>
            <w:hideMark/>
          </w:tcPr>
          <w:p w14:paraId="7A9150BE" w14:textId="77777777" w:rsidR="00EC3F89" w:rsidRPr="00C03235" w:rsidRDefault="00EC3F89" w:rsidP="00EC3F89">
            <w:pPr>
              <w:jc w:val="both"/>
              <w:rPr>
                <w:sz w:val="20"/>
                <w:szCs w:val="20"/>
              </w:rPr>
            </w:pPr>
            <w:r w:rsidRPr="00C03235">
              <w:rPr>
                <w:sz w:val="20"/>
                <w:szCs w:val="20"/>
              </w:rPr>
              <w:t>Potencia kWp / kWh</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33D37CA4" w14:textId="281459A6" w:rsidR="00EC3F89" w:rsidRPr="00C03235" w:rsidRDefault="00EC3F89" w:rsidP="006B3292">
            <w:pPr>
              <w:jc w:val="center"/>
              <w:rPr>
                <w:sz w:val="20"/>
                <w:szCs w:val="20"/>
              </w:rPr>
            </w:pPr>
            <w:r w:rsidRPr="00C03235">
              <w:rPr>
                <w:sz w:val="20"/>
                <w:szCs w:val="20"/>
              </w:rPr>
              <w:t>0.277</w:t>
            </w:r>
            <w:r w:rsidR="00A07CA7" w:rsidRPr="00C03235">
              <w:rPr>
                <w:sz w:val="20"/>
                <w:szCs w:val="20"/>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57" w:type="dxa"/>
            </w:tcMar>
            <w:vAlign w:val="center"/>
            <w:hideMark/>
          </w:tcPr>
          <w:p w14:paraId="53615D8B" w14:textId="77777777" w:rsidR="00EC3F89" w:rsidRPr="00C03235" w:rsidRDefault="00EC3F89" w:rsidP="006B3292">
            <w:pPr>
              <w:jc w:val="center"/>
              <w:rPr>
                <w:sz w:val="20"/>
                <w:szCs w:val="20"/>
              </w:rPr>
            </w:pPr>
            <w:r w:rsidRPr="00C03235">
              <w:rPr>
                <w:sz w:val="20"/>
                <w:szCs w:val="20"/>
              </w:rPr>
              <w:t>0.242</w:t>
            </w:r>
          </w:p>
        </w:tc>
      </w:tr>
    </w:tbl>
    <w:p w14:paraId="0B18EA54" w14:textId="20992D2B" w:rsidR="005E7A5D" w:rsidRPr="00C03235" w:rsidRDefault="005E7A5D" w:rsidP="005E7A5D">
      <w:pPr>
        <w:ind w:left="708"/>
        <w:jc w:val="center"/>
        <w:rPr>
          <w:sz w:val="18"/>
          <w:szCs w:val="18"/>
        </w:rPr>
      </w:pPr>
      <w:r w:rsidRPr="00C03235">
        <w:rPr>
          <w:sz w:val="18"/>
          <w:szCs w:val="18"/>
        </w:rPr>
        <w:t>Fuente: Elaboración propia</w:t>
      </w:r>
    </w:p>
    <w:p w14:paraId="4773E9F8" w14:textId="77777777" w:rsidR="005E7A5D" w:rsidRPr="00C03235" w:rsidRDefault="005E7A5D" w:rsidP="006116A7">
      <w:pPr>
        <w:ind w:left="708"/>
        <w:jc w:val="center"/>
        <w:rPr>
          <w:sz w:val="18"/>
          <w:szCs w:val="18"/>
        </w:rPr>
      </w:pPr>
    </w:p>
    <w:p w14:paraId="282FF013" w14:textId="5B745333" w:rsidR="004610FD" w:rsidRPr="00C03235" w:rsidRDefault="001277B6" w:rsidP="00C94E2F">
      <w:pPr>
        <w:pStyle w:val="Prrafodelista"/>
        <w:numPr>
          <w:ilvl w:val="0"/>
          <w:numId w:val="19"/>
        </w:numPr>
        <w:rPr>
          <w:sz w:val="24"/>
          <w:szCs w:val="24"/>
          <w:u w:val="single"/>
        </w:rPr>
      </w:pPr>
      <w:r w:rsidRPr="00C03235">
        <w:rPr>
          <w:sz w:val="24"/>
          <w:szCs w:val="24"/>
          <w:u w:val="single"/>
        </w:rPr>
        <w:t>Cálculo</w:t>
      </w:r>
      <w:r w:rsidR="004610FD" w:rsidRPr="00C03235">
        <w:rPr>
          <w:sz w:val="24"/>
          <w:szCs w:val="24"/>
          <w:u w:val="single"/>
        </w:rPr>
        <w:t xml:space="preserve"> de cargo de generación con tecnología de almacenamiento:</w:t>
      </w:r>
    </w:p>
    <w:p w14:paraId="03D271DF" w14:textId="77777777" w:rsidR="004610FD" w:rsidRPr="00C03235" w:rsidRDefault="004610FD" w:rsidP="00C94E2F">
      <w:pPr>
        <w:ind w:left="708"/>
      </w:pPr>
    </w:p>
    <w:p w14:paraId="1F14EEEB" w14:textId="0B2E6C5A" w:rsidR="000C6E61" w:rsidRPr="00C03235" w:rsidRDefault="7BE25E10" w:rsidP="00A82F36">
      <w:pPr>
        <w:pStyle w:val="Prrafodelista"/>
        <w:numPr>
          <w:ilvl w:val="0"/>
          <w:numId w:val="3"/>
        </w:numPr>
        <w:jc w:val="both"/>
        <w:rPr>
          <w:sz w:val="24"/>
          <w:szCs w:val="24"/>
        </w:rPr>
      </w:pPr>
      <w:r w:rsidRPr="00C03235">
        <w:rPr>
          <w:sz w:val="24"/>
          <w:szCs w:val="24"/>
        </w:rPr>
        <w:t>A</w:t>
      </w:r>
      <w:r w:rsidR="3A7F5568" w:rsidRPr="00C03235">
        <w:rPr>
          <w:sz w:val="24"/>
          <w:szCs w:val="24"/>
        </w:rPr>
        <w:t xml:space="preserve">sí como en el caso anterior, </w:t>
      </w:r>
      <w:r w:rsidR="00273DBE" w:rsidRPr="00C03235">
        <w:rPr>
          <w:sz w:val="24"/>
          <w:szCs w:val="24"/>
        </w:rPr>
        <w:t xml:space="preserve">con base en el cargo </w:t>
      </w:r>
      <w:r w:rsidR="008C2066" w:rsidRPr="00C03235">
        <w:rPr>
          <w:sz w:val="24"/>
          <w:szCs w:val="24"/>
        </w:rPr>
        <w:t>de generación del mercado de Unguía</w:t>
      </w:r>
      <w:r w:rsidR="008F24AD" w:rsidRPr="00C03235">
        <w:rPr>
          <w:sz w:val="24"/>
          <w:szCs w:val="24"/>
        </w:rPr>
        <w:t xml:space="preserve">, se toma la componente de </w:t>
      </w:r>
      <w:r w:rsidR="00747C23" w:rsidRPr="00C03235">
        <w:rPr>
          <w:sz w:val="24"/>
          <w:szCs w:val="24"/>
        </w:rPr>
        <w:t xml:space="preserve">inversión, expresada en pesos por </w:t>
      </w:r>
      <w:r w:rsidR="00225478" w:rsidRPr="00C03235">
        <w:rPr>
          <w:sz w:val="24"/>
          <w:szCs w:val="24"/>
        </w:rPr>
        <w:t xml:space="preserve">kilovatio hora ($/kWh), y se </w:t>
      </w:r>
      <w:r w:rsidR="00A1039F" w:rsidRPr="00C03235">
        <w:rPr>
          <w:sz w:val="24"/>
          <w:szCs w:val="24"/>
        </w:rPr>
        <w:t xml:space="preserve">hace el ejercicio inverso </w:t>
      </w:r>
      <w:r w:rsidR="00BE43F1" w:rsidRPr="00C03235">
        <w:rPr>
          <w:sz w:val="24"/>
          <w:szCs w:val="24"/>
        </w:rPr>
        <w:t>para determinar el valor de la inversión</w:t>
      </w:r>
      <w:r w:rsidR="00276F59" w:rsidRPr="00C03235">
        <w:rPr>
          <w:sz w:val="24"/>
          <w:szCs w:val="24"/>
        </w:rPr>
        <w:t>, expresando este en pe</w:t>
      </w:r>
      <w:r w:rsidR="002E2451" w:rsidRPr="00C03235">
        <w:rPr>
          <w:sz w:val="24"/>
          <w:szCs w:val="24"/>
        </w:rPr>
        <w:t>s</w:t>
      </w:r>
      <w:r w:rsidR="00276F59" w:rsidRPr="00C03235">
        <w:rPr>
          <w:sz w:val="24"/>
          <w:szCs w:val="24"/>
        </w:rPr>
        <w:t>os por kilovatio hora al año ($/kWh)</w:t>
      </w:r>
      <w:r w:rsidR="00C04B8B" w:rsidRPr="00C03235">
        <w:rPr>
          <w:sz w:val="24"/>
          <w:szCs w:val="24"/>
        </w:rPr>
        <w:t xml:space="preserve">, usando la función financiera que permite el </w:t>
      </w:r>
      <w:r w:rsidR="00E47701" w:rsidRPr="00C03235">
        <w:rPr>
          <w:sz w:val="24"/>
          <w:szCs w:val="24"/>
        </w:rPr>
        <w:t>cálculo</w:t>
      </w:r>
      <w:r w:rsidR="00C04B8B" w:rsidRPr="00C03235">
        <w:rPr>
          <w:sz w:val="24"/>
          <w:szCs w:val="24"/>
        </w:rPr>
        <w:t xml:space="preserve"> de pago de </w:t>
      </w:r>
      <w:r w:rsidR="00C04B8B" w:rsidRPr="00C03235">
        <w:rPr>
          <w:i/>
          <w:iCs/>
          <w:sz w:val="24"/>
          <w:szCs w:val="24"/>
        </w:rPr>
        <w:t>annuities</w:t>
      </w:r>
      <w:r w:rsidR="00C04B8B" w:rsidRPr="00C03235">
        <w:rPr>
          <w:sz w:val="24"/>
          <w:szCs w:val="24"/>
        </w:rPr>
        <w:t xml:space="preserve">, </w:t>
      </w:r>
      <w:r w:rsidR="00E47701" w:rsidRPr="00C03235">
        <w:rPr>
          <w:sz w:val="24"/>
          <w:szCs w:val="24"/>
        </w:rPr>
        <w:t>considerando la tasa de descuento aplicada en el momento de la aprobación del cargo de generación de Unguía y la vida útil, respectivas.</w:t>
      </w:r>
    </w:p>
    <w:p w14:paraId="011E7BB6" w14:textId="502D6CC0" w:rsidR="000C6E61" w:rsidRPr="00C03235" w:rsidRDefault="3A7F5568" w:rsidP="00A82F36">
      <w:pPr>
        <w:pStyle w:val="Prrafodelista"/>
        <w:numPr>
          <w:ilvl w:val="0"/>
          <w:numId w:val="3"/>
        </w:numPr>
        <w:jc w:val="both"/>
        <w:rPr>
          <w:sz w:val="24"/>
          <w:szCs w:val="24"/>
        </w:rPr>
      </w:pPr>
      <w:r w:rsidRPr="00C03235">
        <w:rPr>
          <w:sz w:val="24"/>
          <w:szCs w:val="24"/>
        </w:rPr>
        <w:t>Posteriormente</w:t>
      </w:r>
      <w:r w:rsidR="5AB58515" w:rsidRPr="00C03235">
        <w:rPr>
          <w:sz w:val="24"/>
          <w:szCs w:val="24"/>
        </w:rPr>
        <w:t>,</w:t>
      </w:r>
      <w:r w:rsidRPr="00C03235">
        <w:rPr>
          <w:sz w:val="24"/>
          <w:szCs w:val="24"/>
        </w:rPr>
        <w:t xml:space="preserve"> </w:t>
      </w:r>
      <w:r w:rsidR="006F697C" w:rsidRPr="00C03235">
        <w:rPr>
          <w:sz w:val="24"/>
          <w:szCs w:val="24"/>
        </w:rPr>
        <w:t xml:space="preserve">teniendo en cuenta la metodología de </w:t>
      </w:r>
      <w:r w:rsidR="1A82AE03" w:rsidRPr="00C03235">
        <w:rPr>
          <w:sz w:val="24"/>
          <w:szCs w:val="24"/>
        </w:rPr>
        <w:t xml:space="preserve">costo </w:t>
      </w:r>
      <w:r w:rsidR="008A4460" w:rsidRPr="00C03235">
        <w:rPr>
          <w:sz w:val="24"/>
          <w:szCs w:val="24"/>
        </w:rPr>
        <w:t>del transporte</w:t>
      </w:r>
      <w:r w:rsidR="00AD3821" w:rsidRPr="00C03235">
        <w:rPr>
          <w:rStyle w:val="Refdenotaalpie"/>
          <w:sz w:val="24"/>
          <w:szCs w:val="24"/>
        </w:rPr>
        <w:footnoteReference w:id="6"/>
      </w:r>
      <w:r w:rsidR="008A4460" w:rsidRPr="00C03235">
        <w:rPr>
          <w:sz w:val="24"/>
          <w:szCs w:val="24"/>
        </w:rPr>
        <w:t xml:space="preserve"> </w:t>
      </w:r>
      <w:r w:rsidR="71022AF6" w:rsidRPr="00C03235">
        <w:rPr>
          <w:sz w:val="24"/>
          <w:szCs w:val="24"/>
        </w:rPr>
        <w:t>se</w:t>
      </w:r>
      <w:r w:rsidR="1A82AE03" w:rsidRPr="00C03235">
        <w:rPr>
          <w:sz w:val="24"/>
          <w:szCs w:val="24"/>
        </w:rPr>
        <w:t xml:space="preserve"> obtiene</w:t>
      </w:r>
      <w:r w:rsidR="003A2CFA" w:rsidRPr="00C03235">
        <w:rPr>
          <w:sz w:val="24"/>
          <w:szCs w:val="24"/>
        </w:rPr>
        <w:t>n</w:t>
      </w:r>
      <w:r w:rsidR="000C384C" w:rsidRPr="00C03235">
        <w:rPr>
          <w:sz w:val="24"/>
          <w:szCs w:val="24"/>
        </w:rPr>
        <w:t xml:space="preserve"> por separado el costo neto </w:t>
      </w:r>
      <w:r w:rsidR="1A82AE03" w:rsidRPr="00C03235">
        <w:rPr>
          <w:sz w:val="24"/>
          <w:szCs w:val="24"/>
        </w:rPr>
        <w:t>de los equipos</w:t>
      </w:r>
      <w:r w:rsidR="735F39DC" w:rsidRPr="00C03235">
        <w:rPr>
          <w:sz w:val="24"/>
          <w:szCs w:val="24"/>
        </w:rPr>
        <w:t xml:space="preserve"> </w:t>
      </w:r>
      <w:r w:rsidR="001C102D" w:rsidRPr="00C03235">
        <w:rPr>
          <w:sz w:val="24"/>
          <w:szCs w:val="24"/>
        </w:rPr>
        <w:t xml:space="preserve">tanto para el sistema solar </w:t>
      </w:r>
      <w:r w:rsidR="004B5456" w:rsidRPr="00C03235">
        <w:rPr>
          <w:sz w:val="24"/>
          <w:szCs w:val="24"/>
        </w:rPr>
        <w:t xml:space="preserve">encargado de cargar las baterías </w:t>
      </w:r>
      <w:r w:rsidR="001C102D" w:rsidRPr="00C03235">
        <w:rPr>
          <w:sz w:val="24"/>
          <w:szCs w:val="24"/>
        </w:rPr>
        <w:t xml:space="preserve">como para el sistema de almacenamiento </w:t>
      </w:r>
      <w:r w:rsidR="6DE4A86E" w:rsidRPr="00C03235">
        <w:rPr>
          <w:sz w:val="24"/>
          <w:szCs w:val="24"/>
        </w:rPr>
        <w:t>y el costo de transporte e instalación.</w:t>
      </w:r>
    </w:p>
    <w:p w14:paraId="7D6EFC2C" w14:textId="7E70041F" w:rsidR="00AF6C45" w:rsidRPr="00C03235" w:rsidRDefault="0089447A" w:rsidP="00A82F36">
      <w:pPr>
        <w:pStyle w:val="Prrafodelista"/>
        <w:numPr>
          <w:ilvl w:val="0"/>
          <w:numId w:val="3"/>
        </w:numPr>
        <w:jc w:val="both"/>
        <w:rPr>
          <w:sz w:val="24"/>
          <w:szCs w:val="24"/>
        </w:rPr>
      </w:pPr>
      <w:r w:rsidRPr="00C03235">
        <w:rPr>
          <w:sz w:val="24"/>
          <w:szCs w:val="24"/>
        </w:rPr>
        <w:t xml:space="preserve">Con la radiación utilizada para determinar los cargos de generación del mercado de </w:t>
      </w:r>
      <w:r w:rsidR="001A6F0F" w:rsidRPr="00C03235">
        <w:rPr>
          <w:sz w:val="24"/>
          <w:szCs w:val="24"/>
        </w:rPr>
        <w:t>Unguía</w:t>
      </w:r>
      <w:r w:rsidR="004B5456" w:rsidRPr="00C03235">
        <w:rPr>
          <w:sz w:val="24"/>
          <w:szCs w:val="24"/>
        </w:rPr>
        <w:t>,</w:t>
      </w:r>
      <w:r w:rsidRPr="00C03235">
        <w:rPr>
          <w:sz w:val="24"/>
          <w:szCs w:val="24"/>
        </w:rPr>
        <w:t xml:space="preserve"> la</w:t>
      </w:r>
      <w:r w:rsidR="00CC0B7F" w:rsidRPr="00C03235">
        <w:rPr>
          <w:sz w:val="24"/>
          <w:szCs w:val="24"/>
        </w:rPr>
        <w:t>s</w:t>
      </w:r>
      <w:r w:rsidRPr="00C03235">
        <w:rPr>
          <w:sz w:val="24"/>
          <w:szCs w:val="24"/>
        </w:rPr>
        <w:t xml:space="preserve"> eficiencia</w:t>
      </w:r>
      <w:r w:rsidR="00CC0B7F" w:rsidRPr="00C03235">
        <w:rPr>
          <w:sz w:val="24"/>
          <w:szCs w:val="24"/>
        </w:rPr>
        <w:t>s</w:t>
      </w:r>
      <w:r w:rsidRPr="00C03235">
        <w:rPr>
          <w:sz w:val="24"/>
          <w:szCs w:val="24"/>
        </w:rPr>
        <w:t xml:space="preserve"> del sistema de generación</w:t>
      </w:r>
      <w:r w:rsidR="00CC0B7F" w:rsidRPr="00C03235">
        <w:rPr>
          <w:sz w:val="24"/>
          <w:szCs w:val="24"/>
        </w:rPr>
        <w:t xml:space="preserve"> y de almacenamiento</w:t>
      </w:r>
      <w:r w:rsidRPr="00C03235">
        <w:rPr>
          <w:sz w:val="24"/>
          <w:szCs w:val="24"/>
        </w:rPr>
        <w:t xml:space="preserve"> utilizada</w:t>
      </w:r>
      <w:r w:rsidR="00CC0B7F" w:rsidRPr="00C03235">
        <w:rPr>
          <w:sz w:val="24"/>
          <w:szCs w:val="24"/>
        </w:rPr>
        <w:t>s</w:t>
      </w:r>
      <w:r w:rsidRPr="00C03235">
        <w:rPr>
          <w:sz w:val="24"/>
          <w:szCs w:val="24"/>
        </w:rPr>
        <w:t xml:space="preserve"> por esta Comisión </w:t>
      </w:r>
      <w:r w:rsidR="00C459AC" w:rsidRPr="00C03235">
        <w:rPr>
          <w:sz w:val="24"/>
          <w:szCs w:val="24"/>
        </w:rPr>
        <w:t xml:space="preserve">en las aprobaciones de cargos para este tipo de </w:t>
      </w:r>
      <w:r w:rsidR="00AF6C45" w:rsidRPr="00C03235">
        <w:rPr>
          <w:sz w:val="24"/>
          <w:szCs w:val="24"/>
        </w:rPr>
        <w:t>tecnología</w:t>
      </w:r>
      <w:r w:rsidR="00CC0B7F" w:rsidRPr="00C03235">
        <w:rPr>
          <w:sz w:val="24"/>
          <w:szCs w:val="24"/>
        </w:rPr>
        <w:t>s</w:t>
      </w:r>
      <w:r w:rsidR="00AF6C45" w:rsidRPr="00C03235">
        <w:rPr>
          <w:sz w:val="24"/>
          <w:szCs w:val="24"/>
        </w:rPr>
        <w:t>, se obtiene la potencia p</w:t>
      </w:r>
      <w:r w:rsidR="00EF6A79" w:rsidRPr="00C03235">
        <w:rPr>
          <w:sz w:val="24"/>
          <w:szCs w:val="24"/>
        </w:rPr>
        <w:t>i</w:t>
      </w:r>
      <w:r w:rsidR="00AF6C45" w:rsidRPr="00C03235">
        <w:rPr>
          <w:sz w:val="24"/>
          <w:szCs w:val="24"/>
        </w:rPr>
        <w:t>co requerida para producir un kilovatio hora</w:t>
      </w:r>
      <w:r w:rsidR="00460F6F" w:rsidRPr="00C03235">
        <w:rPr>
          <w:sz w:val="24"/>
          <w:szCs w:val="24"/>
        </w:rPr>
        <w:t xml:space="preserve"> y la energía de entrada del sistema de almacenamiento</w:t>
      </w:r>
      <w:r w:rsidR="00AF6C45" w:rsidRPr="00C03235">
        <w:rPr>
          <w:sz w:val="24"/>
          <w:szCs w:val="24"/>
        </w:rPr>
        <w:t xml:space="preserve">. </w:t>
      </w:r>
    </w:p>
    <w:p w14:paraId="4BB5A17F" w14:textId="484F8AFB" w:rsidR="00AA40B2" w:rsidRPr="00C03235" w:rsidRDefault="00AA40B2" w:rsidP="00A82F36">
      <w:pPr>
        <w:pStyle w:val="Prrafodelista"/>
        <w:numPr>
          <w:ilvl w:val="0"/>
          <w:numId w:val="3"/>
        </w:numPr>
        <w:jc w:val="both"/>
        <w:rPr>
          <w:sz w:val="24"/>
          <w:szCs w:val="24"/>
        </w:rPr>
      </w:pPr>
      <w:r w:rsidRPr="00C03235">
        <w:rPr>
          <w:sz w:val="24"/>
          <w:szCs w:val="24"/>
        </w:rPr>
        <w:t xml:space="preserve">Con base en lo anterior y siguiendo el flujo de cálculo de la Tabla 2, se determina el valor del cargo de Nazareth y Puerto Estrella, </w:t>
      </w:r>
      <w:r w:rsidR="009C3D7E" w:rsidRPr="00C03235">
        <w:rPr>
          <w:sz w:val="24"/>
          <w:szCs w:val="24"/>
        </w:rPr>
        <w:t>teniendo como primer paso</w:t>
      </w:r>
      <w:r w:rsidR="00900414" w:rsidRPr="00C03235">
        <w:rPr>
          <w:sz w:val="24"/>
          <w:szCs w:val="24"/>
        </w:rPr>
        <w:t>,</w:t>
      </w:r>
      <w:r w:rsidR="009C3D7E" w:rsidRPr="00C03235">
        <w:rPr>
          <w:sz w:val="24"/>
          <w:szCs w:val="24"/>
        </w:rPr>
        <w:t xml:space="preserve"> </w:t>
      </w:r>
      <w:r w:rsidR="00E476B8" w:rsidRPr="00C03235">
        <w:rPr>
          <w:sz w:val="24"/>
          <w:szCs w:val="24"/>
        </w:rPr>
        <w:t>a partir de la disponibilidad de</w:t>
      </w:r>
      <w:r w:rsidR="00EA00CF" w:rsidRPr="00C03235">
        <w:rPr>
          <w:sz w:val="24"/>
          <w:szCs w:val="24"/>
        </w:rPr>
        <w:t>l recurso solar (radiación) prop</w:t>
      </w:r>
      <w:r w:rsidR="00F77819" w:rsidRPr="00C03235">
        <w:rPr>
          <w:sz w:val="24"/>
          <w:szCs w:val="24"/>
        </w:rPr>
        <w:t xml:space="preserve">io del mercado de Nazareth, la potencia pico necesaria </w:t>
      </w:r>
      <w:r w:rsidR="005D55B7" w:rsidRPr="00C03235">
        <w:rPr>
          <w:sz w:val="24"/>
          <w:szCs w:val="24"/>
        </w:rPr>
        <w:t xml:space="preserve">para producir un kilovatio hora y la </w:t>
      </w:r>
      <w:r w:rsidR="008D3414" w:rsidRPr="00C03235">
        <w:rPr>
          <w:sz w:val="24"/>
          <w:szCs w:val="24"/>
        </w:rPr>
        <w:t>energía de entrada del sistema de almacenamiento.</w:t>
      </w:r>
      <w:r w:rsidR="00F77819" w:rsidRPr="00C03235">
        <w:rPr>
          <w:sz w:val="24"/>
          <w:szCs w:val="24"/>
        </w:rPr>
        <w:t xml:space="preserve"> </w:t>
      </w:r>
    </w:p>
    <w:p w14:paraId="005F46D3" w14:textId="074D048C" w:rsidR="000C73B9" w:rsidRPr="00C03235" w:rsidRDefault="00433085" w:rsidP="00A82F36">
      <w:pPr>
        <w:pStyle w:val="Prrafodelista"/>
        <w:numPr>
          <w:ilvl w:val="0"/>
          <w:numId w:val="3"/>
        </w:numPr>
        <w:jc w:val="both"/>
        <w:rPr>
          <w:sz w:val="24"/>
          <w:szCs w:val="24"/>
        </w:rPr>
      </w:pPr>
      <w:r w:rsidRPr="00C03235">
        <w:rPr>
          <w:sz w:val="24"/>
          <w:szCs w:val="24"/>
        </w:rPr>
        <w:t>Con la potencia calculada</w:t>
      </w:r>
      <w:r w:rsidR="00EC62BF" w:rsidRPr="00C03235">
        <w:rPr>
          <w:sz w:val="24"/>
          <w:szCs w:val="24"/>
        </w:rPr>
        <w:t xml:space="preserve"> y la energía de entrada del sistema de almacenamiento</w:t>
      </w:r>
      <w:r w:rsidR="00124E31" w:rsidRPr="00C03235">
        <w:rPr>
          <w:sz w:val="24"/>
          <w:szCs w:val="24"/>
        </w:rPr>
        <w:t xml:space="preserve">, se puede determinar el </w:t>
      </w:r>
      <w:r w:rsidR="00EC62BF" w:rsidRPr="00C03235">
        <w:rPr>
          <w:sz w:val="24"/>
          <w:szCs w:val="24"/>
        </w:rPr>
        <w:t>v</w:t>
      </w:r>
      <w:r w:rsidR="00124E31" w:rsidRPr="00C03235">
        <w:rPr>
          <w:sz w:val="24"/>
          <w:szCs w:val="24"/>
        </w:rPr>
        <w:t xml:space="preserve">alor de los equipos para el mercado de Nazareth y Puerto Estrella teniendo en cuenta el costo hallado en el caso de </w:t>
      </w:r>
      <w:r w:rsidR="00EB690E" w:rsidRPr="00C03235">
        <w:rPr>
          <w:sz w:val="24"/>
          <w:szCs w:val="24"/>
        </w:rPr>
        <w:t>Unguía</w:t>
      </w:r>
      <w:r w:rsidR="00124E31" w:rsidRPr="00C03235">
        <w:rPr>
          <w:sz w:val="24"/>
          <w:szCs w:val="24"/>
        </w:rPr>
        <w:t xml:space="preserve">, sin considerar </w:t>
      </w:r>
      <w:r w:rsidR="00EB690E" w:rsidRPr="00C03235">
        <w:rPr>
          <w:sz w:val="24"/>
          <w:szCs w:val="24"/>
        </w:rPr>
        <w:t>los costos de transporte e instalación de ese mercado.</w:t>
      </w:r>
    </w:p>
    <w:p w14:paraId="367146C2" w14:textId="13C08CC6" w:rsidR="0034311A" w:rsidRPr="00C03235" w:rsidRDefault="0034311A" w:rsidP="00A82F36">
      <w:pPr>
        <w:pStyle w:val="Prrafodelista"/>
        <w:numPr>
          <w:ilvl w:val="0"/>
          <w:numId w:val="3"/>
        </w:numPr>
        <w:jc w:val="both"/>
        <w:rPr>
          <w:sz w:val="24"/>
          <w:szCs w:val="24"/>
        </w:rPr>
      </w:pPr>
      <w:r w:rsidRPr="00C03235">
        <w:rPr>
          <w:sz w:val="24"/>
          <w:szCs w:val="24"/>
        </w:rPr>
        <w:t>Se considera ahora el costo de transporte e instalación del mer</w:t>
      </w:r>
      <w:r w:rsidR="0037671B" w:rsidRPr="00C03235">
        <w:rPr>
          <w:sz w:val="24"/>
          <w:szCs w:val="24"/>
        </w:rPr>
        <w:t xml:space="preserve">cado de Nazareth y Puerto </w:t>
      </w:r>
      <w:r w:rsidR="005A6BA4" w:rsidRPr="00C03235">
        <w:rPr>
          <w:sz w:val="24"/>
          <w:szCs w:val="24"/>
        </w:rPr>
        <w:t>Estrella y se obtiene el valor total de los activos insta</w:t>
      </w:r>
      <w:r w:rsidR="00465BC2" w:rsidRPr="00C03235">
        <w:rPr>
          <w:sz w:val="24"/>
          <w:szCs w:val="24"/>
        </w:rPr>
        <w:t>la</w:t>
      </w:r>
      <w:r w:rsidR="005A6BA4" w:rsidRPr="00C03235">
        <w:rPr>
          <w:sz w:val="24"/>
          <w:szCs w:val="24"/>
        </w:rPr>
        <w:t xml:space="preserve">dos </w:t>
      </w:r>
      <w:r w:rsidR="00DF1F66" w:rsidRPr="00C03235">
        <w:rPr>
          <w:sz w:val="24"/>
          <w:szCs w:val="24"/>
        </w:rPr>
        <w:t>tanto</w:t>
      </w:r>
      <w:r w:rsidR="00CB58CE" w:rsidRPr="00C03235">
        <w:rPr>
          <w:sz w:val="24"/>
          <w:szCs w:val="24"/>
        </w:rPr>
        <w:t xml:space="preserve"> del sistema solar fotovoltaico </w:t>
      </w:r>
      <w:r w:rsidR="00EC62BF" w:rsidRPr="00C03235">
        <w:rPr>
          <w:sz w:val="24"/>
          <w:szCs w:val="24"/>
        </w:rPr>
        <w:t>encargado de cargar las baterías</w:t>
      </w:r>
      <w:r w:rsidR="00CB58CE" w:rsidRPr="00C03235">
        <w:rPr>
          <w:sz w:val="24"/>
          <w:szCs w:val="24"/>
        </w:rPr>
        <w:t xml:space="preserve"> como de</w:t>
      </w:r>
      <w:r w:rsidR="00DF1F66" w:rsidRPr="00C03235">
        <w:rPr>
          <w:sz w:val="24"/>
          <w:szCs w:val="24"/>
        </w:rPr>
        <w:t>l sistema de almacenamiento de</w:t>
      </w:r>
      <w:r w:rsidR="005A6BA4" w:rsidRPr="00C03235">
        <w:rPr>
          <w:sz w:val="24"/>
          <w:szCs w:val="24"/>
        </w:rPr>
        <w:t xml:space="preserve"> dicho mercado.</w:t>
      </w:r>
    </w:p>
    <w:p w14:paraId="0A6B7A10" w14:textId="604F7177" w:rsidR="00DF1F66" w:rsidRPr="00C03235" w:rsidRDefault="00DF1F66" w:rsidP="00A82F36">
      <w:pPr>
        <w:pStyle w:val="Prrafodelista"/>
        <w:numPr>
          <w:ilvl w:val="0"/>
          <w:numId w:val="3"/>
        </w:numPr>
        <w:jc w:val="both"/>
        <w:rPr>
          <w:sz w:val="24"/>
          <w:szCs w:val="24"/>
        </w:rPr>
      </w:pPr>
      <w:r w:rsidRPr="00C03235">
        <w:rPr>
          <w:sz w:val="24"/>
          <w:szCs w:val="24"/>
        </w:rPr>
        <w:t>Nuevamente, con la ayuda de la función financiera para el c</w:t>
      </w:r>
      <w:r w:rsidR="00465BC2" w:rsidRPr="00C03235">
        <w:rPr>
          <w:sz w:val="24"/>
          <w:szCs w:val="24"/>
        </w:rPr>
        <w:t>á</w:t>
      </w:r>
      <w:r w:rsidRPr="00C03235">
        <w:rPr>
          <w:sz w:val="24"/>
          <w:szCs w:val="24"/>
        </w:rPr>
        <w:t xml:space="preserve">lculo de </w:t>
      </w:r>
      <w:r w:rsidRPr="00C03235">
        <w:rPr>
          <w:i/>
          <w:sz w:val="24"/>
          <w:szCs w:val="24"/>
        </w:rPr>
        <w:t>annuities</w:t>
      </w:r>
      <w:r w:rsidRPr="00C03235">
        <w:rPr>
          <w:sz w:val="24"/>
          <w:szCs w:val="24"/>
        </w:rPr>
        <w:t xml:space="preserve"> y utilizando la </w:t>
      </w:r>
      <w:r w:rsidR="00E17F7A" w:rsidRPr="00C03235">
        <w:rPr>
          <w:sz w:val="24"/>
          <w:szCs w:val="24"/>
        </w:rPr>
        <w:t xml:space="preserve">tasa de descuento aplicable en este momento, se obtiene el valor de la componente de </w:t>
      </w:r>
      <w:r w:rsidR="00341D7F" w:rsidRPr="00C03235">
        <w:rPr>
          <w:sz w:val="24"/>
          <w:szCs w:val="24"/>
        </w:rPr>
        <w:t>i</w:t>
      </w:r>
      <w:r w:rsidR="00810F4F" w:rsidRPr="00C03235">
        <w:rPr>
          <w:sz w:val="24"/>
          <w:szCs w:val="24"/>
        </w:rPr>
        <w:t>nversión para Nazareth y Puerto Estrella.</w:t>
      </w:r>
    </w:p>
    <w:p w14:paraId="3A12AC30" w14:textId="0E892999" w:rsidR="008F4B7E" w:rsidRPr="00C03235" w:rsidRDefault="008F4B7E" w:rsidP="00EC279E">
      <w:pPr>
        <w:ind w:left="708"/>
        <w:jc w:val="both"/>
      </w:pPr>
    </w:p>
    <w:p w14:paraId="19DF223B" w14:textId="6E0B2F36" w:rsidR="00E26E53" w:rsidRPr="00C03235" w:rsidRDefault="00E26E53" w:rsidP="00E26E53">
      <w:pPr>
        <w:pStyle w:val="Descripcin"/>
        <w:jc w:val="center"/>
        <w:rPr>
          <w:b/>
          <w:bCs/>
          <w:i w:val="0"/>
          <w:iCs w:val="0"/>
          <w:color w:val="auto"/>
          <w:sz w:val="20"/>
          <w:szCs w:val="20"/>
        </w:rPr>
      </w:pPr>
      <w:r w:rsidRPr="00C03235">
        <w:rPr>
          <w:b/>
          <w:bCs/>
          <w:i w:val="0"/>
          <w:iCs w:val="0"/>
          <w:color w:val="auto"/>
          <w:sz w:val="20"/>
          <w:szCs w:val="20"/>
        </w:rPr>
        <w:t xml:space="preserve">Tabla </w:t>
      </w:r>
      <w:r w:rsidR="006522D3" w:rsidRPr="00C03235">
        <w:rPr>
          <w:b/>
          <w:bCs/>
          <w:i w:val="0"/>
          <w:iCs w:val="0"/>
          <w:color w:val="auto"/>
          <w:sz w:val="20"/>
          <w:szCs w:val="20"/>
        </w:rPr>
        <w:fldChar w:fldCharType="begin"/>
      </w:r>
      <w:r w:rsidR="006522D3" w:rsidRPr="00C03235">
        <w:rPr>
          <w:b/>
          <w:bCs/>
          <w:i w:val="0"/>
          <w:iCs w:val="0"/>
          <w:color w:val="auto"/>
          <w:sz w:val="20"/>
          <w:szCs w:val="20"/>
        </w:rPr>
        <w:instrText xml:space="preserve"> SEQ Tabla \* ARABIC </w:instrText>
      </w:r>
      <w:r w:rsidR="006522D3" w:rsidRPr="00C03235">
        <w:rPr>
          <w:b/>
          <w:bCs/>
          <w:i w:val="0"/>
          <w:iCs w:val="0"/>
          <w:color w:val="auto"/>
          <w:sz w:val="20"/>
          <w:szCs w:val="20"/>
        </w:rPr>
        <w:fldChar w:fldCharType="separate"/>
      </w:r>
      <w:r w:rsidR="00AB0C09">
        <w:rPr>
          <w:b/>
          <w:bCs/>
          <w:i w:val="0"/>
          <w:iCs w:val="0"/>
          <w:noProof/>
          <w:color w:val="auto"/>
          <w:sz w:val="20"/>
          <w:szCs w:val="20"/>
        </w:rPr>
        <w:t>2</w:t>
      </w:r>
      <w:r w:rsidR="006522D3" w:rsidRPr="00C03235">
        <w:rPr>
          <w:b/>
          <w:bCs/>
          <w:i w:val="0"/>
          <w:iCs w:val="0"/>
          <w:color w:val="auto"/>
          <w:sz w:val="20"/>
          <w:szCs w:val="20"/>
        </w:rPr>
        <w:fldChar w:fldCharType="end"/>
      </w:r>
      <w:r w:rsidR="006522D3" w:rsidRPr="00C03235">
        <w:rPr>
          <w:b/>
          <w:bCs/>
          <w:i w:val="0"/>
          <w:iCs w:val="0"/>
          <w:color w:val="auto"/>
          <w:sz w:val="20"/>
          <w:szCs w:val="20"/>
        </w:rPr>
        <w:t>.</w:t>
      </w:r>
      <w:r w:rsidRPr="00C03235">
        <w:rPr>
          <w:b/>
          <w:bCs/>
          <w:i w:val="0"/>
          <w:iCs w:val="0"/>
          <w:color w:val="auto"/>
          <w:sz w:val="20"/>
          <w:szCs w:val="20"/>
        </w:rPr>
        <w:t xml:space="preserve"> Metodología de cálculo para cargo de acumulación</w:t>
      </w:r>
    </w:p>
    <w:tbl>
      <w:tblPr>
        <w:tblStyle w:val="Tablaconcuadrcula"/>
        <w:tblW w:w="7092" w:type="dxa"/>
        <w:jc w:val="center"/>
        <w:tblLook w:val="0420" w:firstRow="1" w:lastRow="0" w:firstColumn="0" w:lastColumn="0" w:noHBand="0" w:noVBand="1"/>
      </w:tblPr>
      <w:tblGrid>
        <w:gridCol w:w="2972"/>
        <w:gridCol w:w="1985"/>
        <w:gridCol w:w="2135"/>
      </w:tblGrid>
      <w:tr w:rsidR="00B75C78" w:rsidRPr="00C03235" w14:paraId="2EADDF24" w14:textId="77777777" w:rsidTr="00E2096D">
        <w:trPr>
          <w:trHeight w:val="468"/>
          <w:jc w:val="center"/>
        </w:trPr>
        <w:tc>
          <w:tcPr>
            <w:tcW w:w="2972" w:type="dxa"/>
            <w:shd w:val="clear" w:color="auto" w:fill="D9D9D9" w:themeFill="background1" w:themeFillShade="D9"/>
            <w:vAlign w:val="center"/>
            <w:hideMark/>
          </w:tcPr>
          <w:p w14:paraId="22F68F0B" w14:textId="77777777" w:rsidR="00B75C78" w:rsidRPr="00C03235" w:rsidRDefault="00B75C78" w:rsidP="00686D93">
            <w:pPr>
              <w:jc w:val="center"/>
              <w:rPr>
                <w:sz w:val="20"/>
                <w:szCs w:val="20"/>
              </w:rPr>
            </w:pPr>
            <w:r w:rsidRPr="00C03235">
              <w:rPr>
                <w:b/>
                <w:bCs/>
                <w:sz w:val="20"/>
                <w:szCs w:val="20"/>
              </w:rPr>
              <w:t>ACUMULACIÓN</w:t>
            </w:r>
          </w:p>
        </w:tc>
        <w:tc>
          <w:tcPr>
            <w:tcW w:w="1985" w:type="dxa"/>
            <w:shd w:val="clear" w:color="auto" w:fill="D9D9D9" w:themeFill="background1" w:themeFillShade="D9"/>
            <w:vAlign w:val="center"/>
            <w:hideMark/>
          </w:tcPr>
          <w:p w14:paraId="67DA5D41" w14:textId="77777777" w:rsidR="00B75C78" w:rsidRPr="00C03235" w:rsidRDefault="00B75C78" w:rsidP="00686D93">
            <w:pPr>
              <w:jc w:val="center"/>
              <w:rPr>
                <w:sz w:val="20"/>
                <w:szCs w:val="20"/>
              </w:rPr>
            </w:pPr>
            <w:r w:rsidRPr="00C03235">
              <w:rPr>
                <w:b/>
                <w:bCs/>
                <w:sz w:val="20"/>
                <w:szCs w:val="20"/>
              </w:rPr>
              <w:t>Unguía</w:t>
            </w:r>
          </w:p>
          <w:p w14:paraId="3F3872A9" w14:textId="77777777" w:rsidR="00B75C78" w:rsidRPr="00C03235" w:rsidRDefault="00B75C78" w:rsidP="00686D93">
            <w:pPr>
              <w:jc w:val="center"/>
              <w:rPr>
                <w:sz w:val="20"/>
                <w:szCs w:val="20"/>
              </w:rPr>
            </w:pPr>
            <w:r w:rsidRPr="00C03235">
              <w:rPr>
                <w:b/>
                <w:bCs/>
                <w:sz w:val="20"/>
                <w:szCs w:val="20"/>
              </w:rPr>
              <w:t>Oct 2022</w:t>
            </w:r>
          </w:p>
        </w:tc>
        <w:tc>
          <w:tcPr>
            <w:tcW w:w="2135" w:type="dxa"/>
            <w:shd w:val="clear" w:color="auto" w:fill="D9D9D9" w:themeFill="background1" w:themeFillShade="D9"/>
            <w:vAlign w:val="center"/>
            <w:hideMark/>
          </w:tcPr>
          <w:p w14:paraId="73939462" w14:textId="77777777" w:rsidR="00B75C78" w:rsidRPr="00C03235" w:rsidRDefault="00B75C78" w:rsidP="00686D93">
            <w:pPr>
              <w:jc w:val="center"/>
              <w:rPr>
                <w:sz w:val="20"/>
                <w:szCs w:val="20"/>
              </w:rPr>
            </w:pPr>
            <w:r w:rsidRPr="00C03235">
              <w:rPr>
                <w:b/>
                <w:bCs/>
                <w:sz w:val="20"/>
                <w:szCs w:val="20"/>
              </w:rPr>
              <w:t>Nazareth</w:t>
            </w:r>
          </w:p>
          <w:p w14:paraId="7FB06F61" w14:textId="77777777" w:rsidR="00B75C78" w:rsidRPr="00C03235" w:rsidRDefault="00B75C78" w:rsidP="00686D93">
            <w:pPr>
              <w:jc w:val="center"/>
              <w:rPr>
                <w:sz w:val="20"/>
                <w:szCs w:val="20"/>
              </w:rPr>
            </w:pPr>
            <w:r w:rsidRPr="00C03235">
              <w:rPr>
                <w:b/>
                <w:bCs/>
                <w:sz w:val="20"/>
                <w:szCs w:val="20"/>
              </w:rPr>
              <w:t>Oct 2022</w:t>
            </w:r>
          </w:p>
        </w:tc>
      </w:tr>
      <w:tr w:rsidR="00B75C78" w:rsidRPr="00C03235" w14:paraId="00815771" w14:textId="77777777" w:rsidTr="00686D93">
        <w:trPr>
          <w:trHeight w:val="276"/>
          <w:jc w:val="center"/>
        </w:trPr>
        <w:tc>
          <w:tcPr>
            <w:tcW w:w="2972" w:type="dxa"/>
            <w:vAlign w:val="center"/>
            <w:hideMark/>
          </w:tcPr>
          <w:p w14:paraId="5F562824" w14:textId="77777777" w:rsidR="00B75C78" w:rsidRPr="00C03235" w:rsidRDefault="00B75C78" w:rsidP="00686D93">
            <w:pPr>
              <w:jc w:val="both"/>
              <w:rPr>
                <w:b/>
                <w:bCs/>
                <w:sz w:val="20"/>
                <w:szCs w:val="20"/>
              </w:rPr>
            </w:pPr>
            <w:r w:rsidRPr="00C03235">
              <w:rPr>
                <w:b/>
                <w:bCs/>
                <w:sz w:val="20"/>
                <w:szCs w:val="20"/>
              </w:rPr>
              <w:lastRenderedPageBreak/>
              <w:t>Inv ($/kWh)</w:t>
            </w:r>
          </w:p>
        </w:tc>
        <w:tc>
          <w:tcPr>
            <w:tcW w:w="1985" w:type="dxa"/>
            <w:vAlign w:val="center"/>
            <w:hideMark/>
          </w:tcPr>
          <w:p w14:paraId="074ED289" w14:textId="77777777" w:rsidR="00B75C78" w:rsidRPr="00C03235" w:rsidRDefault="00B75C78" w:rsidP="00686D93">
            <w:pPr>
              <w:jc w:val="center"/>
              <w:rPr>
                <w:sz w:val="20"/>
                <w:szCs w:val="20"/>
              </w:rPr>
            </w:pPr>
            <w:r w:rsidRPr="00C03235">
              <w:rPr>
                <w:b/>
                <w:bCs/>
                <w:sz w:val="20"/>
                <w:szCs w:val="20"/>
              </w:rPr>
              <w:t>4,015.81</w:t>
            </w:r>
          </w:p>
        </w:tc>
        <w:tc>
          <w:tcPr>
            <w:tcW w:w="2135" w:type="dxa"/>
            <w:vAlign w:val="center"/>
            <w:hideMark/>
          </w:tcPr>
          <w:p w14:paraId="75EF82FF" w14:textId="77777777" w:rsidR="00B75C78" w:rsidRPr="00C03235" w:rsidRDefault="00B75C78" w:rsidP="00686D93">
            <w:pPr>
              <w:jc w:val="center"/>
              <w:rPr>
                <w:sz w:val="20"/>
                <w:szCs w:val="20"/>
              </w:rPr>
            </w:pPr>
            <w:r w:rsidRPr="00C03235">
              <w:rPr>
                <w:b/>
                <w:bCs/>
                <w:sz w:val="20"/>
                <w:szCs w:val="20"/>
              </w:rPr>
              <w:t>3,971.30</w:t>
            </w:r>
          </w:p>
        </w:tc>
      </w:tr>
      <w:tr w:rsidR="00B75C78" w:rsidRPr="00C03235" w14:paraId="07856939" w14:textId="77777777" w:rsidTr="00686D93">
        <w:trPr>
          <w:trHeight w:val="267"/>
          <w:jc w:val="center"/>
        </w:trPr>
        <w:tc>
          <w:tcPr>
            <w:tcW w:w="2972" w:type="dxa"/>
            <w:vAlign w:val="center"/>
            <w:hideMark/>
          </w:tcPr>
          <w:p w14:paraId="7D04459E" w14:textId="77777777" w:rsidR="00B75C78" w:rsidRPr="00C03235" w:rsidRDefault="00B75C78" w:rsidP="00686D93">
            <w:pPr>
              <w:jc w:val="both"/>
              <w:rPr>
                <w:b/>
                <w:bCs/>
                <w:sz w:val="20"/>
                <w:szCs w:val="20"/>
              </w:rPr>
            </w:pPr>
            <w:r w:rsidRPr="00C03235">
              <w:rPr>
                <w:b/>
                <w:bCs/>
                <w:sz w:val="20"/>
                <w:szCs w:val="20"/>
              </w:rPr>
              <w:t>AOM ($/kWh)</w:t>
            </w:r>
          </w:p>
        </w:tc>
        <w:tc>
          <w:tcPr>
            <w:tcW w:w="1985" w:type="dxa"/>
            <w:vAlign w:val="center"/>
            <w:hideMark/>
          </w:tcPr>
          <w:p w14:paraId="27EFA7C0" w14:textId="77777777" w:rsidR="00B75C78" w:rsidRPr="00C03235" w:rsidRDefault="00B75C78" w:rsidP="00686D93">
            <w:pPr>
              <w:jc w:val="center"/>
              <w:rPr>
                <w:sz w:val="20"/>
                <w:szCs w:val="20"/>
              </w:rPr>
            </w:pPr>
            <w:r w:rsidRPr="00C03235">
              <w:rPr>
                <w:b/>
                <w:bCs/>
                <w:sz w:val="20"/>
                <w:szCs w:val="20"/>
              </w:rPr>
              <w:t>444.20</w:t>
            </w:r>
          </w:p>
        </w:tc>
        <w:tc>
          <w:tcPr>
            <w:tcW w:w="2135" w:type="dxa"/>
            <w:vAlign w:val="center"/>
            <w:hideMark/>
          </w:tcPr>
          <w:p w14:paraId="30033E9A" w14:textId="38FB370F" w:rsidR="00B75C78" w:rsidRPr="00C03235" w:rsidRDefault="00B75C78" w:rsidP="00686D93">
            <w:pPr>
              <w:jc w:val="center"/>
              <w:rPr>
                <w:sz w:val="20"/>
                <w:szCs w:val="20"/>
              </w:rPr>
            </w:pPr>
            <w:r w:rsidRPr="00C03235">
              <w:rPr>
                <w:b/>
                <w:bCs/>
                <w:sz w:val="20"/>
                <w:szCs w:val="20"/>
              </w:rPr>
              <w:t>434.</w:t>
            </w:r>
            <w:r w:rsidR="005E04C2" w:rsidRPr="00C03235">
              <w:rPr>
                <w:sz w:val="20"/>
                <w:szCs w:val="20"/>
              </w:rPr>
              <w:t xml:space="preserve"> </w:t>
            </w:r>
            <w:r w:rsidRPr="00C03235">
              <w:rPr>
                <w:b/>
                <w:bCs/>
                <w:sz w:val="20"/>
                <w:szCs w:val="20"/>
              </w:rPr>
              <w:t>20</w:t>
            </w:r>
          </w:p>
        </w:tc>
      </w:tr>
      <w:tr w:rsidR="00B75C78" w:rsidRPr="00C03235" w14:paraId="04E715C5" w14:textId="77777777" w:rsidTr="00686D93">
        <w:trPr>
          <w:trHeight w:val="270"/>
          <w:jc w:val="center"/>
        </w:trPr>
        <w:tc>
          <w:tcPr>
            <w:tcW w:w="2972" w:type="dxa"/>
            <w:vAlign w:val="center"/>
            <w:hideMark/>
          </w:tcPr>
          <w:p w14:paraId="242269EE" w14:textId="77777777" w:rsidR="00B75C78" w:rsidRPr="00C03235" w:rsidRDefault="00B75C78" w:rsidP="00686D93">
            <w:pPr>
              <w:jc w:val="both"/>
              <w:rPr>
                <w:b/>
                <w:bCs/>
                <w:sz w:val="20"/>
                <w:szCs w:val="20"/>
              </w:rPr>
            </w:pPr>
            <w:r w:rsidRPr="00C03235">
              <w:rPr>
                <w:b/>
                <w:bCs/>
                <w:sz w:val="20"/>
                <w:szCs w:val="20"/>
              </w:rPr>
              <w:t>G ($/kWh)</w:t>
            </w:r>
          </w:p>
        </w:tc>
        <w:tc>
          <w:tcPr>
            <w:tcW w:w="1985" w:type="dxa"/>
            <w:vAlign w:val="center"/>
            <w:hideMark/>
          </w:tcPr>
          <w:p w14:paraId="5746881B" w14:textId="2883A2C6" w:rsidR="00B75C78" w:rsidRPr="00C03235" w:rsidRDefault="00B75C78" w:rsidP="00686D93">
            <w:pPr>
              <w:jc w:val="center"/>
              <w:rPr>
                <w:sz w:val="20"/>
                <w:szCs w:val="20"/>
              </w:rPr>
            </w:pPr>
            <w:r w:rsidRPr="00C03235">
              <w:rPr>
                <w:b/>
                <w:bCs/>
                <w:sz w:val="20"/>
                <w:szCs w:val="20"/>
              </w:rPr>
              <w:t>4,460.01</w:t>
            </w:r>
          </w:p>
        </w:tc>
        <w:tc>
          <w:tcPr>
            <w:tcW w:w="2135" w:type="dxa"/>
            <w:vAlign w:val="center"/>
            <w:hideMark/>
          </w:tcPr>
          <w:p w14:paraId="47E059F0" w14:textId="6C98A153" w:rsidR="00B75C78" w:rsidRPr="00C03235" w:rsidRDefault="00B75C78" w:rsidP="00686D93">
            <w:pPr>
              <w:jc w:val="center"/>
              <w:rPr>
                <w:sz w:val="20"/>
                <w:szCs w:val="20"/>
              </w:rPr>
            </w:pPr>
            <w:r w:rsidRPr="00C03235">
              <w:rPr>
                <w:b/>
                <w:bCs/>
                <w:sz w:val="20"/>
                <w:szCs w:val="20"/>
              </w:rPr>
              <w:t>4,405.50</w:t>
            </w:r>
          </w:p>
        </w:tc>
      </w:tr>
      <w:tr w:rsidR="00B75C78" w:rsidRPr="00C03235" w14:paraId="6F609C57" w14:textId="77777777" w:rsidTr="00686D93">
        <w:trPr>
          <w:trHeight w:val="275"/>
          <w:jc w:val="center"/>
        </w:trPr>
        <w:tc>
          <w:tcPr>
            <w:tcW w:w="2972" w:type="dxa"/>
            <w:vAlign w:val="center"/>
            <w:hideMark/>
          </w:tcPr>
          <w:p w14:paraId="303AE848" w14:textId="77777777" w:rsidR="00B75C78" w:rsidRPr="00C03235" w:rsidRDefault="00B75C78" w:rsidP="00686D93">
            <w:pPr>
              <w:jc w:val="both"/>
              <w:rPr>
                <w:sz w:val="20"/>
                <w:szCs w:val="20"/>
              </w:rPr>
            </w:pPr>
            <w:r w:rsidRPr="00C03235">
              <w:rPr>
                <w:sz w:val="20"/>
                <w:szCs w:val="20"/>
              </w:rPr>
              <w:t>TD</w:t>
            </w:r>
          </w:p>
        </w:tc>
        <w:tc>
          <w:tcPr>
            <w:tcW w:w="1985" w:type="dxa"/>
            <w:vAlign w:val="center"/>
            <w:hideMark/>
          </w:tcPr>
          <w:p w14:paraId="5EEDD118" w14:textId="2FC00960" w:rsidR="00B75C78" w:rsidRPr="00C03235" w:rsidRDefault="00B75C78" w:rsidP="00686D93">
            <w:pPr>
              <w:jc w:val="center"/>
              <w:rPr>
                <w:sz w:val="20"/>
                <w:szCs w:val="20"/>
              </w:rPr>
            </w:pPr>
            <w:r w:rsidRPr="00C03235">
              <w:rPr>
                <w:sz w:val="20"/>
                <w:szCs w:val="20"/>
              </w:rPr>
              <w:t>14.83%</w:t>
            </w:r>
          </w:p>
        </w:tc>
        <w:tc>
          <w:tcPr>
            <w:tcW w:w="2135" w:type="dxa"/>
            <w:vAlign w:val="center"/>
            <w:hideMark/>
          </w:tcPr>
          <w:p w14:paraId="647B75BC" w14:textId="77777777" w:rsidR="00B75C78" w:rsidRPr="00C03235" w:rsidRDefault="00B75C78" w:rsidP="00686D93">
            <w:pPr>
              <w:jc w:val="center"/>
              <w:rPr>
                <w:sz w:val="20"/>
                <w:szCs w:val="20"/>
              </w:rPr>
            </w:pPr>
            <w:r w:rsidRPr="00C03235">
              <w:rPr>
                <w:sz w:val="20"/>
                <w:szCs w:val="20"/>
              </w:rPr>
              <w:t>15.22%</w:t>
            </w:r>
          </w:p>
        </w:tc>
      </w:tr>
      <w:tr w:rsidR="00B75C78" w:rsidRPr="00C03235" w14:paraId="64763696" w14:textId="77777777" w:rsidTr="00686D93">
        <w:trPr>
          <w:trHeight w:val="278"/>
          <w:jc w:val="center"/>
        </w:trPr>
        <w:tc>
          <w:tcPr>
            <w:tcW w:w="2972" w:type="dxa"/>
            <w:vAlign w:val="center"/>
            <w:hideMark/>
          </w:tcPr>
          <w:p w14:paraId="685A96C9" w14:textId="77777777" w:rsidR="00B75C78" w:rsidRPr="00C03235" w:rsidRDefault="00B75C78" w:rsidP="00686D93">
            <w:pPr>
              <w:jc w:val="both"/>
              <w:rPr>
                <w:sz w:val="20"/>
                <w:szCs w:val="20"/>
              </w:rPr>
            </w:pPr>
            <w:r w:rsidRPr="00C03235">
              <w:rPr>
                <w:sz w:val="20"/>
                <w:szCs w:val="20"/>
              </w:rPr>
              <w:t>VU</w:t>
            </w:r>
          </w:p>
        </w:tc>
        <w:tc>
          <w:tcPr>
            <w:tcW w:w="1985" w:type="dxa"/>
            <w:vAlign w:val="center"/>
            <w:hideMark/>
          </w:tcPr>
          <w:p w14:paraId="76578D7C" w14:textId="535CA345" w:rsidR="00B75C78" w:rsidRPr="00C03235" w:rsidRDefault="00B75C78" w:rsidP="00686D93">
            <w:pPr>
              <w:jc w:val="center"/>
              <w:rPr>
                <w:sz w:val="20"/>
                <w:szCs w:val="20"/>
              </w:rPr>
            </w:pPr>
            <w:r w:rsidRPr="00C03235">
              <w:rPr>
                <w:sz w:val="20"/>
                <w:szCs w:val="20"/>
              </w:rPr>
              <w:t>20</w:t>
            </w:r>
          </w:p>
        </w:tc>
        <w:tc>
          <w:tcPr>
            <w:tcW w:w="2135" w:type="dxa"/>
            <w:vAlign w:val="center"/>
            <w:hideMark/>
          </w:tcPr>
          <w:p w14:paraId="17DBC08A" w14:textId="426D8D56" w:rsidR="00B75C78" w:rsidRPr="00C03235" w:rsidRDefault="00B75C78" w:rsidP="00686D93">
            <w:pPr>
              <w:jc w:val="center"/>
              <w:rPr>
                <w:sz w:val="20"/>
                <w:szCs w:val="20"/>
              </w:rPr>
            </w:pPr>
            <w:r w:rsidRPr="00C03235">
              <w:rPr>
                <w:sz w:val="20"/>
                <w:szCs w:val="20"/>
              </w:rPr>
              <w:t>20</w:t>
            </w:r>
          </w:p>
        </w:tc>
      </w:tr>
      <w:tr w:rsidR="00B75C78" w:rsidRPr="00C03235" w14:paraId="0DB71261" w14:textId="77777777" w:rsidTr="00686D93">
        <w:trPr>
          <w:trHeight w:val="283"/>
          <w:jc w:val="center"/>
        </w:trPr>
        <w:tc>
          <w:tcPr>
            <w:tcW w:w="2972" w:type="dxa"/>
            <w:vAlign w:val="center"/>
            <w:hideMark/>
          </w:tcPr>
          <w:p w14:paraId="26190B22" w14:textId="77777777" w:rsidR="00B75C78" w:rsidRPr="00C03235" w:rsidRDefault="00B75C78" w:rsidP="00686D93">
            <w:pPr>
              <w:jc w:val="both"/>
              <w:rPr>
                <w:sz w:val="20"/>
                <w:szCs w:val="20"/>
              </w:rPr>
            </w:pPr>
            <w:r w:rsidRPr="00C03235">
              <w:rPr>
                <w:sz w:val="20"/>
                <w:szCs w:val="20"/>
              </w:rPr>
              <w:t>Valor Activo ($/kWh)</w:t>
            </w:r>
          </w:p>
        </w:tc>
        <w:tc>
          <w:tcPr>
            <w:tcW w:w="1985" w:type="dxa"/>
            <w:vAlign w:val="center"/>
            <w:hideMark/>
          </w:tcPr>
          <w:p w14:paraId="29CCEDBF" w14:textId="3B6E263F" w:rsidR="00B75C78" w:rsidRPr="00C03235" w:rsidRDefault="00B75C78" w:rsidP="00686D93">
            <w:pPr>
              <w:jc w:val="center"/>
              <w:rPr>
                <w:sz w:val="20"/>
                <w:szCs w:val="20"/>
              </w:rPr>
            </w:pPr>
            <w:r w:rsidRPr="00C03235">
              <w:rPr>
                <w:sz w:val="20"/>
                <w:szCs w:val="20"/>
              </w:rPr>
              <w:t>25,379.78</w:t>
            </w:r>
          </w:p>
        </w:tc>
        <w:tc>
          <w:tcPr>
            <w:tcW w:w="2135" w:type="dxa"/>
            <w:vAlign w:val="center"/>
            <w:hideMark/>
          </w:tcPr>
          <w:p w14:paraId="35C97C6C" w14:textId="0D1FA94D" w:rsidR="00B75C78" w:rsidRPr="00C03235" w:rsidRDefault="00B75C78" w:rsidP="00686D93">
            <w:pPr>
              <w:jc w:val="center"/>
              <w:rPr>
                <w:sz w:val="20"/>
                <w:szCs w:val="20"/>
              </w:rPr>
            </w:pPr>
            <w:r w:rsidRPr="00C03235">
              <w:rPr>
                <w:sz w:val="20"/>
                <w:szCs w:val="20"/>
              </w:rPr>
              <w:t>24,551.61</w:t>
            </w:r>
          </w:p>
        </w:tc>
      </w:tr>
      <w:tr w:rsidR="00B75C78" w:rsidRPr="00C03235" w14:paraId="0188DEEE" w14:textId="77777777" w:rsidTr="00686D93">
        <w:trPr>
          <w:trHeight w:val="258"/>
          <w:jc w:val="center"/>
        </w:trPr>
        <w:tc>
          <w:tcPr>
            <w:tcW w:w="2972" w:type="dxa"/>
            <w:vAlign w:val="center"/>
            <w:hideMark/>
          </w:tcPr>
          <w:p w14:paraId="4348D03B" w14:textId="77777777" w:rsidR="00B75C78" w:rsidRPr="00C03235" w:rsidRDefault="00B75C78" w:rsidP="00686D93">
            <w:pPr>
              <w:jc w:val="both"/>
              <w:rPr>
                <w:sz w:val="20"/>
                <w:szCs w:val="20"/>
              </w:rPr>
            </w:pPr>
            <w:r w:rsidRPr="00C03235">
              <w:rPr>
                <w:sz w:val="20"/>
                <w:szCs w:val="20"/>
              </w:rPr>
              <w:t>Trans+Instal / Costo Total</w:t>
            </w:r>
          </w:p>
        </w:tc>
        <w:tc>
          <w:tcPr>
            <w:tcW w:w="1985" w:type="dxa"/>
            <w:vAlign w:val="center"/>
            <w:hideMark/>
          </w:tcPr>
          <w:p w14:paraId="5B693BBA" w14:textId="31BE7E52" w:rsidR="00B75C78" w:rsidRPr="00C03235" w:rsidRDefault="00B75C78" w:rsidP="00686D93">
            <w:pPr>
              <w:jc w:val="center"/>
              <w:rPr>
                <w:sz w:val="20"/>
                <w:szCs w:val="20"/>
              </w:rPr>
            </w:pPr>
            <w:r w:rsidRPr="00C03235">
              <w:rPr>
                <w:sz w:val="20"/>
                <w:szCs w:val="20"/>
              </w:rPr>
              <w:t>10.51%</w:t>
            </w:r>
          </w:p>
        </w:tc>
        <w:tc>
          <w:tcPr>
            <w:tcW w:w="2135" w:type="dxa"/>
            <w:vAlign w:val="center"/>
            <w:hideMark/>
          </w:tcPr>
          <w:p w14:paraId="6F2535AB" w14:textId="1878EEDF" w:rsidR="00B75C78" w:rsidRPr="00C03235" w:rsidRDefault="00B75C78" w:rsidP="00686D93">
            <w:pPr>
              <w:jc w:val="center"/>
              <w:rPr>
                <w:sz w:val="20"/>
                <w:szCs w:val="20"/>
              </w:rPr>
            </w:pPr>
            <w:r w:rsidRPr="00C03235">
              <w:rPr>
                <w:sz w:val="20"/>
                <w:szCs w:val="20"/>
              </w:rPr>
              <w:t>9.57%</w:t>
            </w:r>
          </w:p>
        </w:tc>
      </w:tr>
      <w:tr w:rsidR="00B75C78" w:rsidRPr="00C03235" w14:paraId="4088B8F0" w14:textId="77777777" w:rsidTr="001B1C77">
        <w:trPr>
          <w:trHeight w:val="60"/>
          <w:jc w:val="center"/>
        </w:trPr>
        <w:tc>
          <w:tcPr>
            <w:tcW w:w="7092" w:type="dxa"/>
            <w:gridSpan w:val="3"/>
            <w:vAlign w:val="center"/>
            <w:hideMark/>
          </w:tcPr>
          <w:p w14:paraId="6E07E929" w14:textId="6BBC1ABB" w:rsidR="00B75C78" w:rsidRPr="00C03235" w:rsidRDefault="00B75C78" w:rsidP="00686D93">
            <w:pPr>
              <w:ind w:left="708"/>
              <w:jc w:val="center"/>
              <w:rPr>
                <w:sz w:val="20"/>
                <w:szCs w:val="20"/>
              </w:rPr>
            </w:pPr>
          </w:p>
        </w:tc>
      </w:tr>
      <w:tr w:rsidR="00B75C78" w:rsidRPr="00C03235" w14:paraId="19A95504" w14:textId="77777777" w:rsidTr="00686D93">
        <w:trPr>
          <w:trHeight w:val="280"/>
          <w:jc w:val="center"/>
        </w:trPr>
        <w:tc>
          <w:tcPr>
            <w:tcW w:w="2972" w:type="dxa"/>
            <w:vAlign w:val="center"/>
            <w:hideMark/>
          </w:tcPr>
          <w:p w14:paraId="582BB085" w14:textId="77777777" w:rsidR="00B75C78" w:rsidRPr="00C03235" w:rsidRDefault="00B75C78" w:rsidP="00686D93">
            <w:pPr>
              <w:jc w:val="both"/>
              <w:rPr>
                <w:sz w:val="20"/>
                <w:szCs w:val="20"/>
              </w:rPr>
            </w:pPr>
            <w:r w:rsidRPr="00C03235">
              <w:rPr>
                <w:sz w:val="20"/>
                <w:szCs w:val="20"/>
              </w:rPr>
              <w:t>Equipos</w:t>
            </w:r>
          </w:p>
        </w:tc>
        <w:tc>
          <w:tcPr>
            <w:tcW w:w="1985" w:type="dxa"/>
            <w:vAlign w:val="center"/>
            <w:hideMark/>
          </w:tcPr>
          <w:p w14:paraId="1F1FB649" w14:textId="78C21E2E" w:rsidR="00B75C78" w:rsidRPr="00C03235" w:rsidRDefault="00B75C78" w:rsidP="00686D93">
            <w:pPr>
              <w:jc w:val="center"/>
              <w:rPr>
                <w:sz w:val="20"/>
                <w:szCs w:val="20"/>
              </w:rPr>
            </w:pPr>
            <w:r w:rsidRPr="00C03235">
              <w:rPr>
                <w:sz w:val="20"/>
                <w:szCs w:val="20"/>
              </w:rPr>
              <w:t>22,713.16</w:t>
            </w:r>
          </w:p>
        </w:tc>
        <w:tc>
          <w:tcPr>
            <w:tcW w:w="2135" w:type="dxa"/>
            <w:vAlign w:val="center"/>
            <w:hideMark/>
          </w:tcPr>
          <w:p w14:paraId="1EA0CB70" w14:textId="52B1BBFF" w:rsidR="00B75C78" w:rsidRPr="00C03235" w:rsidRDefault="00B75C78" w:rsidP="00686D93">
            <w:pPr>
              <w:jc w:val="center"/>
              <w:rPr>
                <w:sz w:val="20"/>
                <w:szCs w:val="20"/>
              </w:rPr>
            </w:pPr>
            <w:r w:rsidRPr="00C03235">
              <w:rPr>
                <w:sz w:val="20"/>
                <w:szCs w:val="20"/>
              </w:rPr>
              <w:t>22,202.05</w:t>
            </w:r>
          </w:p>
        </w:tc>
      </w:tr>
      <w:tr w:rsidR="00B75C78" w:rsidRPr="00C03235" w14:paraId="034DC05F" w14:textId="77777777" w:rsidTr="00686D93">
        <w:trPr>
          <w:trHeight w:val="271"/>
          <w:jc w:val="center"/>
        </w:trPr>
        <w:tc>
          <w:tcPr>
            <w:tcW w:w="2972" w:type="dxa"/>
            <w:vAlign w:val="center"/>
            <w:hideMark/>
          </w:tcPr>
          <w:p w14:paraId="102F3F51" w14:textId="77777777" w:rsidR="00B75C78" w:rsidRPr="00C03235" w:rsidRDefault="00B75C78" w:rsidP="00686D93">
            <w:pPr>
              <w:jc w:val="both"/>
              <w:rPr>
                <w:sz w:val="20"/>
                <w:szCs w:val="20"/>
              </w:rPr>
            </w:pPr>
            <w:r w:rsidRPr="00C03235">
              <w:rPr>
                <w:sz w:val="20"/>
                <w:szCs w:val="20"/>
              </w:rPr>
              <w:t>SFV $</w:t>
            </w:r>
          </w:p>
        </w:tc>
        <w:tc>
          <w:tcPr>
            <w:tcW w:w="1985" w:type="dxa"/>
            <w:vAlign w:val="center"/>
            <w:hideMark/>
          </w:tcPr>
          <w:p w14:paraId="7F9CB720" w14:textId="7FB466D5" w:rsidR="00B75C78" w:rsidRPr="00C03235" w:rsidRDefault="00B75C78" w:rsidP="00686D93">
            <w:pPr>
              <w:jc w:val="center"/>
              <w:rPr>
                <w:sz w:val="20"/>
                <w:szCs w:val="20"/>
              </w:rPr>
            </w:pPr>
            <w:r w:rsidRPr="00C03235">
              <w:rPr>
                <w:sz w:val="20"/>
                <w:szCs w:val="20"/>
              </w:rPr>
              <w:t>4,024.71</w:t>
            </w:r>
          </w:p>
        </w:tc>
        <w:tc>
          <w:tcPr>
            <w:tcW w:w="2135" w:type="dxa"/>
            <w:vAlign w:val="center"/>
            <w:hideMark/>
          </w:tcPr>
          <w:p w14:paraId="3A2A4960" w14:textId="010F9755" w:rsidR="00B75C78" w:rsidRPr="00C03235" w:rsidRDefault="00B75C78" w:rsidP="00686D93">
            <w:pPr>
              <w:jc w:val="center"/>
              <w:rPr>
                <w:sz w:val="20"/>
                <w:szCs w:val="20"/>
              </w:rPr>
            </w:pPr>
            <w:r w:rsidRPr="00C03235">
              <w:rPr>
                <w:sz w:val="20"/>
                <w:szCs w:val="20"/>
              </w:rPr>
              <w:t>3,513.60</w:t>
            </w:r>
          </w:p>
        </w:tc>
      </w:tr>
      <w:tr w:rsidR="00B75C78" w:rsidRPr="00C03235" w14:paraId="624369C1" w14:textId="77777777" w:rsidTr="00686D93">
        <w:trPr>
          <w:trHeight w:val="260"/>
          <w:jc w:val="center"/>
        </w:trPr>
        <w:tc>
          <w:tcPr>
            <w:tcW w:w="2972" w:type="dxa"/>
            <w:vAlign w:val="center"/>
            <w:hideMark/>
          </w:tcPr>
          <w:p w14:paraId="58D99D7B" w14:textId="77777777" w:rsidR="00B75C78" w:rsidRPr="00C03235" w:rsidRDefault="00B75C78" w:rsidP="00686D93">
            <w:pPr>
              <w:jc w:val="both"/>
              <w:rPr>
                <w:sz w:val="20"/>
                <w:szCs w:val="20"/>
              </w:rPr>
            </w:pPr>
            <w:r w:rsidRPr="00C03235">
              <w:rPr>
                <w:sz w:val="20"/>
                <w:szCs w:val="20"/>
              </w:rPr>
              <w:t>ACUM $</w:t>
            </w:r>
          </w:p>
        </w:tc>
        <w:tc>
          <w:tcPr>
            <w:tcW w:w="1985" w:type="dxa"/>
            <w:vAlign w:val="center"/>
            <w:hideMark/>
          </w:tcPr>
          <w:p w14:paraId="2F7B4E87" w14:textId="7400DE89" w:rsidR="00B75C78" w:rsidRPr="00C03235" w:rsidRDefault="009139A6" w:rsidP="00686D93">
            <w:pPr>
              <w:jc w:val="center"/>
              <w:rPr>
                <w:sz w:val="20"/>
                <w:szCs w:val="20"/>
              </w:rPr>
            </w:pPr>
            <w:r w:rsidRPr="00C03235">
              <w:rPr>
                <w:noProof/>
                <w:sz w:val="20"/>
                <w:szCs w:val="20"/>
              </w:rPr>
              <mc:AlternateContent>
                <mc:Choice Requires="wps">
                  <w:drawing>
                    <wp:anchor distT="0" distB="0" distL="114300" distR="114300" simplePos="0" relativeHeight="251658243" behindDoc="0" locked="0" layoutInCell="1" allowOverlap="1" wp14:anchorId="4CE5069B" wp14:editId="6C017015">
                      <wp:simplePos x="0" y="0"/>
                      <wp:positionH relativeFrom="column">
                        <wp:posOffset>-3810</wp:posOffset>
                      </wp:positionH>
                      <wp:positionV relativeFrom="paragraph">
                        <wp:posOffset>-593090</wp:posOffset>
                      </wp:positionV>
                      <wp:extent cx="158115" cy="1064895"/>
                      <wp:effectExtent l="19050" t="0" r="13335" b="40005"/>
                      <wp:wrapNone/>
                      <wp:docPr id="424768464" name="Arrow: Down 424768464"/>
                      <wp:cNvGraphicFramePr/>
                      <a:graphic xmlns:a="http://schemas.openxmlformats.org/drawingml/2006/main">
                        <a:graphicData uri="http://schemas.microsoft.com/office/word/2010/wordprocessingShape">
                          <wps:wsp>
                            <wps:cNvSpPr/>
                            <wps:spPr>
                              <a:xfrm>
                                <a:off x="0" y="0"/>
                                <a:ext cx="158115" cy="1064895"/>
                              </a:xfrm>
                              <a:prstGeom prst="downArrow">
                                <a:avLst/>
                              </a:prstGeom>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9D39357" id="Arrow: Down 424768464" o:spid="_x0000_s1026" type="#_x0000_t67" style="position:absolute;margin-left:-.3pt;margin-top:-46.7pt;width:12.45pt;height:83.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" adj="19996" fillcolor="white [3201]" strokecolor="black [3200]" strokeweight="1pt"/>
                  </w:pict>
                </mc:Fallback>
              </mc:AlternateContent>
            </w:r>
            <w:r w:rsidR="00B75C78" w:rsidRPr="00C03235">
              <w:rPr>
                <w:sz w:val="20"/>
                <w:szCs w:val="20"/>
              </w:rPr>
              <w:t>18,688.45</w:t>
            </w:r>
          </w:p>
        </w:tc>
        <w:tc>
          <w:tcPr>
            <w:tcW w:w="2135" w:type="dxa"/>
            <w:vAlign w:val="center"/>
            <w:hideMark/>
          </w:tcPr>
          <w:p w14:paraId="28806F88" w14:textId="0FEB5ABD" w:rsidR="00B75C78" w:rsidRPr="00C03235" w:rsidRDefault="00B75C78" w:rsidP="00686D93">
            <w:pPr>
              <w:jc w:val="center"/>
              <w:rPr>
                <w:sz w:val="20"/>
                <w:szCs w:val="20"/>
              </w:rPr>
            </w:pPr>
            <w:r w:rsidRPr="00C03235">
              <w:rPr>
                <w:sz w:val="20"/>
                <w:szCs w:val="20"/>
              </w:rPr>
              <w:t>18,688.45</w:t>
            </w:r>
          </w:p>
        </w:tc>
      </w:tr>
      <w:tr w:rsidR="00B75C78" w:rsidRPr="00C03235" w14:paraId="3B1D1482" w14:textId="77777777" w:rsidTr="00686D93">
        <w:trPr>
          <w:trHeight w:val="293"/>
          <w:jc w:val="center"/>
        </w:trPr>
        <w:tc>
          <w:tcPr>
            <w:tcW w:w="2972" w:type="dxa"/>
            <w:vAlign w:val="center"/>
            <w:hideMark/>
          </w:tcPr>
          <w:p w14:paraId="4F3CF78A" w14:textId="77777777" w:rsidR="00B75C78" w:rsidRPr="00C03235" w:rsidRDefault="00B75C78" w:rsidP="00686D93">
            <w:pPr>
              <w:jc w:val="both"/>
              <w:rPr>
                <w:sz w:val="20"/>
                <w:szCs w:val="20"/>
              </w:rPr>
            </w:pPr>
            <w:r w:rsidRPr="00C03235">
              <w:rPr>
                <w:sz w:val="20"/>
                <w:szCs w:val="20"/>
              </w:rPr>
              <w:t>Trans + Instal</w:t>
            </w:r>
          </w:p>
        </w:tc>
        <w:tc>
          <w:tcPr>
            <w:tcW w:w="1985" w:type="dxa"/>
            <w:vAlign w:val="center"/>
            <w:hideMark/>
          </w:tcPr>
          <w:p w14:paraId="70F14E95" w14:textId="3641D2EE" w:rsidR="00B75C78" w:rsidRPr="00C03235" w:rsidRDefault="00B75C78" w:rsidP="00686D93">
            <w:pPr>
              <w:jc w:val="center"/>
              <w:rPr>
                <w:sz w:val="20"/>
                <w:szCs w:val="20"/>
              </w:rPr>
            </w:pPr>
            <w:r w:rsidRPr="00C03235">
              <w:rPr>
                <w:sz w:val="20"/>
                <w:szCs w:val="20"/>
              </w:rPr>
              <w:t>2,666.62</w:t>
            </w:r>
          </w:p>
        </w:tc>
        <w:tc>
          <w:tcPr>
            <w:tcW w:w="2135" w:type="dxa"/>
            <w:vAlign w:val="center"/>
            <w:hideMark/>
          </w:tcPr>
          <w:p w14:paraId="7460A815" w14:textId="12AEB76E" w:rsidR="00B75C78" w:rsidRPr="00C03235" w:rsidRDefault="009139A6" w:rsidP="00686D93">
            <w:pPr>
              <w:jc w:val="center"/>
              <w:rPr>
                <w:sz w:val="20"/>
                <w:szCs w:val="20"/>
              </w:rPr>
            </w:pPr>
            <w:r w:rsidRPr="00C03235">
              <w:rPr>
                <w:noProof/>
                <w:sz w:val="20"/>
                <w:szCs w:val="20"/>
              </w:rPr>
              <mc:AlternateContent>
                <mc:Choice Requires="wps">
                  <w:drawing>
                    <wp:anchor distT="0" distB="0" distL="114300" distR="114300" simplePos="0" relativeHeight="251658244" behindDoc="0" locked="0" layoutInCell="1" allowOverlap="1" wp14:anchorId="4203965D" wp14:editId="10115FBF">
                      <wp:simplePos x="0" y="0"/>
                      <wp:positionH relativeFrom="column">
                        <wp:posOffset>62230</wp:posOffset>
                      </wp:positionH>
                      <wp:positionV relativeFrom="paragraph">
                        <wp:posOffset>-777240</wp:posOffset>
                      </wp:positionV>
                      <wp:extent cx="146685" cy="1069340"/>
                      <wp:effectExtent l="19050" t="19050" r="24765" b="16510"/>
                      <wp:wrapNone/>
                      <wp:docPr id="320410537" name="Arrow: Down 320410537"/>
                      <wp:cNvGraphicFramePr/>
                      <a:graphic xmlns:a="http://schemas.openxmlformats.org/drawingml/2006/main">
                        <a:graphicData uri="http://schemas.microsoft.com/office/word/2010/wordprocessingShape">
                          <wps:wsp>
                            <wps:cNvSpPr/>
                            <wps:spPr>
                              <a:xfrm rot="10800000">
                                <a:off x="0" y="0"/>
                                <a:ext cx="146685" cy="1069340"/>
                              </a:xfrm>
                              <a:prstGeom prst="downArrow">
                                <a:avLst/>
                              </a:prstGeom>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692373C" id="Arrow: Down 320410537" o:spid="_x0000_s1026" type="#_x0000_t67" style="position:absolute;margin-left:4.9pt;margin-top:-61.2pt;width:11.55pt;height:84.2pt;rotation:18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" adj="20119" fillcolor="white [3201]" strokecolor="black [3200]" strokeweight="1pt"/>
                  </w:pict>
                </mc:Fallback>
              </mc:AlternateContent>
            </w:r>
            <w:r w:rsidR="00B75C78" w:rsidRPr="00C03235">
              <w:rPr>
                <w:sz w:val="20"/>
                <w:szCs w:val="20"/>
              </w:rPr>
              <w:t>2,349.55</w:t>
            </w:r>
          </w:p>
        </w:tc>
      </w:tr>
      <w:tr w:rsidR="00B75C78" w:rsidRPr="00C03235" w14:paraId="00A76214" w14:textId="77777777" w:rsidTr="000826FD">
        <w:trPr>
          <w:trHeight w:val="60"/>
          <w:jc w:val="center"/>
        </w:trPr>
        <w:tc>
          <w:tcPr>
            <w:tcW w:w="7092" w:type="dxa"/>
            <w:gridSpan w:val="3"/>
            <w:vAlign w:val="center"/>
            <w:hideMark/>
          </w:tcPr>
          <w:p w14:paraId="1FA10E1E" w14:textId="0BDDE2C8" w:rsidR="00B75C78" w:rsidRPr="00C03235" w:rsidRDefault="00B75C78" w:rsidP="00686D93">
            <w:pPr>
              <w:ind w:left="708"/>
              <w:jc w:val="center"/>
              <w:rPr>
                <w:sz w:val="20"/>
                <w:szCs w:val="20"/>
              </w:rPr>
            </w:pPr>
          </w:p>
        </w:tc>
      </w:tr>
      <w:tr w:rsidR="00B75C78" w:rsidRPr="00C03235" w14:paraId="163ED0E7" w14:textId="77777777" w:rsidTr="00686D93">
        <w:trPr>
          <w:trHeight w:val="274"/>
          <w:jc w:val="center"/>
        </w:trPr>
        <w:tc>
          <w:tcPr>
            <w:tcW w:w="2972" w:type="dxa"/>
            <w:vAlign w:val="center"/>
            <w:hideMark/>
          </w:tcPr>
          <w:p w14:paraId="306A5030" w14:textId="77777777" w:rsidR="00B75C78" w:rsidRPr="00C03235" w:rsidRDefault="00B75C78" w:rsidP="00686D93">
            <w:pPr>
              <w:jc w:val="both"/>
              <w:rPr>
                <w:sz w:val="20"/>
                <w:szCs w:val="20"/>
              </w:rPr>
            </w:pPr>
            <w:r w:rsidRPr="00C03235">
              <w:rPr>
                <w:sz w:val="20"/>
                <w:szCs w:val="20"/>
              </w:rPr>
              <w:t>Eficiencia SFV</w:t>
            </w:r>
          </w:p>
        </w:tc>
        <w:tc>
          <w:tcPr>
            <w:tcW w:w="1985" w:type="dxa"/>
            <w:vAlign w:val="center"/>
            <w:hideMark/>
          </w:tcPr>
          <w:p w14:paraId="799320BF" w14:textId="22A4A01F" w:rsidR="00B75C78" w:rsidRPr="00C03235" w:rsidRDefault="00B75C78" w:rsidP="00686D93">
            <w:pPr>
              <w:jc w:val="center"/>
              <w:rPr>
                <w:sz w:val="20"/>
                <w:szCs w:val="20"/>
              </w:rPr>
            </w:pPr>
            <w:r w:rsidRPr="00C03235">
              <w:rPr>
                <w:sz w:val="20"/>
                <w:szCs w:val="20"/>
              </w:rPr>
              <w:t>82.13%</w:t>
            </w:r>
          </w:p>
        </w:tc>
        <w:tc>
          <w:tcPr>
            <w:tcW w:w="2135" w:type="dxa"/>
            <w:vAlign w:val="center"/>
            <w:hideMark/>
          </w:tcPr>
          <w:p w14:paraId="1C5C2687" w14:textId="49999255" w:rsidR="00B75C78" w:rsidRPr="00C03235" w:rsidRDefault="00B75C78" w:rsidP="00686D93">
            <w:pPr>
              <w:jc w:val="center"/>
              <w:rPr>
                <w:sz w:val="20"/>
                <w:szCs w:val="20"/>
              </w:rPr>
            </w:pPr>
            <w:r w:rsidRPr="00C03235">
              <w:rPr>
                <w:sz w:val="20"/>
                <w:szCs w:val="20"/>
              </w:rPr>
              <w:t>82.13%</w:t>
            </w:r>
          </w:p>
        </w:tc>
      </w:tr>
      <w:tr w:rsidR="00B75C78" w:rsidRPr="00C03235" w14:paraId="5D6AA5A4" w14:textId="77777777" w:rsidTr="00686D93">
        <w:trPr>
          <w:trHeight w:val="264"/>
          <w:jc w:val="center"/>
        </w:trPr>
        <w:tc>
          <w:tcPr>
            <w:tcW w:w="2972" w:type="dxa"/>
            <w:vAlign w:val="center"/>
            <w:hideMark/>
          </w:tcPr>
          <w:p w14:paraId="02E0E8D1" w14:textId="77777777" w:rsidR="00B75C78" w:rsidRPr="00C03235" w:rsidRDefault="00B75C78" w:rsidP="00686D93">
            <w:pPr>
              <w:jc w:val="both"/>
              <w:rPr>
                <w:sz w:val="20"/>
                <w:szCs w:val="20"/>
              </w:rPr>
            </w:pPr>
            <w:r w:rsidRPr="00C03235">
              <w:rPr>
                <w:sz w:val="20"/>
                <w:szCs w:val="20"/>
              </w:rPr>
              <w:t>Radiación</w:t>
            </w:r>
          </w:p>
        </w:tc>
        <w:tc>
          <w:tcPr>
            <w:tcW w:w="1985" w:type="dxa"/>
            <w:vAlign w:val="center"/>
            <w:hideMark/>
          </w:tcPr>
          <w:p w14:paraId="09504490" w14:textId="6A554BE9" w:rsidR="00B75C78" w:rsidRPr="00C03235" w:rsidRDefault="00B75C78" w:rsidP="00686D93">
            <w:pPr>
              <w:jc w:val="center"/>
              <w:rPr>
                <w:sz w:val="20"/>
                <w:szCs w:val="20"/>
              </w:rPr>
            </w:pPr>
            <w:r w:rsidRPr="00C03235">
              <w:rPr>
                <w:sz w:val="20"/>
                <w:szCs w:val="20"/>
              </w:rPr>
              <w:t>4.39</w:t>
            </w:r>
          </w:p>
        </w:tc>
        <w:tc>
          <w:tcPr>
            <w:tcW w:w="2135" w:type="dxa"/>
            <w:vAlign w:val="center"/>
            <w:hideMark/>
          </w:tcPr>
          <w:p w14:paraId="6763095A" w14:textId="4E3EF45B" w:rsidR="00B75C78" w:rsidRPr="00C03235" w:rsidRDefault="00B75C78" w:rsidP="00686D93">
            <w:pPr>
              <w:jc w:val="center"/>
              <w:rPr>
                <w:sz w:val="20"/>
                <w:szCs w:val="20"/>
              </w:rPr>
            </w:pPr>
            <w:r w:rsidRPr="00C03235">
              <w:rPr>
                <w:sz w:val="20"/>
                <w:szCs w:val="20"/>
              </w:rPr>
              <w:t>5.03</w:t>
            </w:r>
          </w:p>
        </w:tc>
      </w:tr>
      <w:tr w:rsidR="00B75C78" w:rsidRPr="00C03235" w14:paraId="0352425E" w14:textId="77777777" w:rsidTr="00686D93">
        <w:trPr>
          <w:trHeight w:val="269"/>
          <w:jc w:val="center"/>
        </w:trPr>
        <w:tc>
          <w:tcPr>
            <w:tcW w:w="2972" w:type="dxa"/>
            <w:vAlign w:val="center"/>
            <w:hideMark/>
          </w:tcPr>
          <w:p w14:paraId="5F615AF8" w14:textId="77777777" w:rsidR="00B75C78" w:rsidRPr="00C03235" w:rsidRDefault="00B75C78" w:rsidP="00686D93">
            <w:pPr>
              <w:jc w:val="both"/>
              <w:rPr>
                <w:sz w:val="20"/>
                <w:szCs w:val="20"/>
              </w:rPr>
            </w:pPr>
            <w:r w:rsidRPr="00C03235">
              <w:rPr>
                <w:sz w:val="20"/>
                <w:szCs w:val="20"/>
              </w:rPr>
              <w:t>Potencia kWp / kWh</w:t>
            </w:r>
          </w:p>
        </w:tc>
        <w:tc>
          <w:tcPr>
            <w:tcW w:w="1985" w:type="dxa"/>
            <w:vAlign w:val="center"/>
            <w:hideMark/>
          </w:tcPr>
          <w:p w14:paraId="34EBC67E" w14:textId="693EA53A" w:rsidR="00B75C78" w:rsidRPr="00C03235" w:rsidRDefault="00B75C78" w:rsidP="00686D93">
            <w:pPr>
              <w:jc w:val="center"/>
              <w:rPr>
                <w:sz w:val="20"/>
                <w:szCs w:val="20"/>
              </w:rPr>
            </w:pPr>
            <w:r w:rsidRPr="00C03235">
              <w:rPr>
                <w:sz w:val="20"/>
                <w:szCs w:val="20"/>
              </w:rPr>
              <w:t>0.291</w:t>
            </w:r>
          </w:p>
        </w:tc>
        <w:tc>
          <w:tcPr>
            <w:tcW w:w="2135" w:type="dxa"/>
            <w:vAlign w:val="center"/>
            <w:hideMark/>
          </w:tcPr>
          <w:p w14:paraId="542AA6EA" w14:textId="3C2F5581" w:rsidR="00B75C78" w:rsidRPr="00C03235" w:rsidRDefault="00B75C78" w:rsidP="00686D93">
            <w:pPr>
              <w:jc w:val="center"/>
              <w:rPr>
                <w:sz w:val="20"/>
                <w:szCs w:val="20"/>
              </w:rPr>
            </w:pPr>
            <w:r w:rsidRPr="00C03235">
              <w:rPr>
                <w:sz w:val="20"/>
                <w:szCs w:val="20"/>
              </w:rPr>
              <w:t>0.254</w:t>
            </w:r>
          </w:p>
        </w:tc>
      </w:tr>
      <w:tr w:rsidR="00B75C78" w:rsidRPr="00C03235" w14:paraId="1830FB0A" w14:textId="77777777" w:rsidTr="00686D93">
        <w:trPr>
          <w:trHeight w:val="286"/>
          <w:jc w:val="center"/>
        </w:trPr>
        <w:tc>
          <w:tcPr>
            <w:tcW w:w="2972" w:type="dxa"/>
            <w:vAlign w:val="center"/>
            <w:hideMark/>
          </w:tcPr>
          <w:p w14:paraId="05C8BE15" w14:textId="77777777" w:rsidR="00B75C78" w:rsidRPr="00C03235" w:rsidRDefault="00B75C78" w:rsidP="00686D93">
            <w:pPr>
              <w:jc w:val="both"/>
              <w:rPr>
                <w:sz w:val="20"/>
                <w:szCs w:val="20"/>
              </w:rPr>
            </w:pPr>
            <w:r w:rsidRPr="00C03235">
              <w:rPr>
                <w:sz w:val="20"/>
                <w:szCs w:val="20"/>
              </w:rPr>
              <w:t>Energía entrada Acum</w:t>
            </w:r>
          </w:p>
        </w:tc>
        <w:tc>
          <w:tcPr>
            <w:tcW w:w="1985" w:type="dxa"/>
            <w:vAlign w:val="center"/>
            <w:hideMark/>
          </w:tcPr>
          <w:p w14:paraId="0130EC60" w14:textId="77777777" w:rsidR="00B75C78" w:rsidRPr="00C03235" w:rsidRDefault="00B75C78" w:rsidP="00686D93">
            <w:pPr>
              <w:jc w:val="center"/>
              <w:rPr>
                <w:sz w:val="20"/>
                <w:szCs w:val="20"/>
              </w:rPr>
            </w:pPr>
            <w:r w:rsidRPr="00C03235">
              <w:rPr>
                <w:sz w:val="20"/>
                <w:szCs w:val="20"/>
              </w:rPr>
              <w:t>1.05</w:t>
            </w:r>
          </w:p>
        </w:tc>
        <w:tc>
          <w:tcPr>
            <w:tcW w:w="2135" w:type="dxa"/>
            <w:vAlign w:val="center"/>
            <w:hideMark/>
          </w:tcPr>
          <w:p w14:paraId="4CE8C095" w14:textId="77777777" w:rsidR="00B75C78" w:rsidRPr="00C03235" w:rsidRDefault="00B75C78" w:rsidP="00686D93">
            <w:pPr>
              <w:jc w:val="center"/>
              <w:rPr>
                <w:sz w:val="20"/>
                <w:szCs w:val="20"/>
              </w:rPr>
            </w:pPr>
            <w:r w:rsidRPr="00C03235">
              <w:rPr>
                <w:sz w:val="20"/>
                <w:szCs w:val="20"/>
              </w:rPr>
              <w:t>1.05</w:t>
            </w:r>
          </w:p>
        </w:tc>
      </w:tr>
      <w:tr w:rsidR="00B75C78" w:rsidRPr="00C03235" w14:paraId="77D98A55" w14:textId="77777777" w:rsidTr="00686D93">
        <w:trPr>
          <w:trHeight w:val="263"/>
          <w:jc w:val="center"/>
        </w:trPr>
        <w:tc>
          <w:tcPr>
            <w:tcW w:w="2972" w:type="dxa"/>
            <w:vAlign w:val="center"/>
            <w:hideMark/>
          </w:tcPr>
          <w:p w14:paraId="2A1B5DB0" w14:textId="77777777" w:rsidR="00B75C78" w:rsidRPr="00C03235" w:rsidRDefault="00B75C78" w:rsidP="00686D93">
            <w:pPr>
              <w:jc w:val="both"/>
              <w:rPr>
                <w:sz w:val="20"/>
                <w:szCs w:val="20"/>
              </w:rPr>
            </w:pPr>
            <w:r w:rsidRPr="00C03235">
              <w:rPr>
                <w:sz w:val="20"/>
                <w:szCs w:val="20"/>
              </w:rPr>
              <w:t>Eficiencia Tot</w:t>
            </w:r>
          </w:p>
        </w:tc>
        <w:tc>
          <w:tcPr>
            <w:tcW w:w="1985" w:type="dxa"/>
            <w:vAlign w:val="center"/>
            <w:hideMark/>
          </w:tcPr>
          <w:p w14:paraId="76E60579" w14:textId="77777777" w:rsidR="00B75C78" w:rsidRPr="00C03235" w:rsidRDefault="00B75C78" w:rsidP="00686D93">
            <w:pPr>
              <w:jc w:val="center"/>
              <w:rPr>
                <w:sz w:val="20"/>
                <w:szCs w:val="20"/>
              </w:rPr>
            </w:pPr>
            <w:r w:rsidRPr="00C03235">
              <w:rPr>
                <w:sz w:val="20"/>
                <w:szCs w:val="20"/>
              </w:rPr>
              <w:t>78.31%</w:t>
            </w:r>
          </w:p>
        </w:tc>
        <w:tc>
          <w:tcPr>
            <w:tcW w:w="2135" w:type="dxa"/>
            <w:vAlign w:val="center"/>
            <w:hideMark/>
          </w:tcPr>
          <w:p w14:paraId="716CD94E" w14:textId="77777777" w:rsidR="00B75C78" w:rsidRPr="00C03235" w:rsidRDefault="00B75C78" w:rsidP="00686D93">
            <w:pPr>
              <w:jc w:val="center"/>
              <w:rPr>
                <w:sz w:val="20"/>
                <w:szCs w:val="20"/>
              </w:rPr>
            </w:pPr>
            <w:r w:rsidRPr="00C03235">
              <w:rPr>
                <w:sz w:val="20"/>
                <w:szCs w:val="20"/>
              </w:rPr>
              <w:t>78.31%</w:t>
            </w:r>
          </w:p>
        </w:tc>
      </w:tr>
      <w:tr w:rsidR="00B75C78" w:rsidRPr="00C03235" w14:paraId="7DB04C03" w14:textId="77777777" w:rsidTr="00686D93">
        <w:trPr>
          <w:trHeight w:val="266"/>
          <w:jc w:val="center"/>
        </w:trPr>
        <w:tc>
          <w:tcPr>
            <w:tcW w:w="2972" w:type="dxa"/>
            <w:vAlign w:val="center"/>
            <w:hideMark/>
          </w:tcPr>
          <w:p w14:paraId="6F9CC89A" w14:textId="77777777" w:rsidR="00B75C78" w:rsidRPr="00C03235" w:rsidRDefault="00B75C78" w:rsidP="00686D93">
            <w:pPr>
              <w:jc w:val="both"/>
              <w:rPr>
                <w:sz w:val="20"/>
                <w:szCs w:val="20"/>
              </w:rPr>
            </w:pPr>
            <w:r w:rsidRPr="00C03235">
              <w:rPr>
                <w:sz w:val="20"/>
                <w:szCs w:val="20"/>
              </w:rPr>
              <w:t>Eficiencia Acum</w:t>
            </w:r>
          </w:p>
        </w:tc>
        <w:tc>
          <w:tcPr>
            <w:tcW w:w="1985" w:type="dxa"/>
            <w:vAlign w:val="center"/>
            <w:hideMark/>
          </w:tcPr>
          <w:p w14:paraId="6CC8A12C" w14:textId="13813334" w:rsidR="00B75C78" w:rsidRPr="00C03235" w:rsidRDefault="00B75C78" w:rsidP="00686D93">
            <w:pPr>
              <w:jc w:val="center"/>
              <w:rPr>
                <w:sz w:val="20"/>
                <w:szCs w:val="20"/>
              </w:rPr>
            </w:pPr>
            <w:r w:rsidRPr="00C03235">
              <w:rPr>
                <w:sz w:val="20"/>
                <w:szCs w:val="20"/>
              </w:rPr>
              <w:t>95.35%</w:t>
            </w:r>
          </w:p>
        </w:tc>
        <w:tc>
          <w:tcPr>
            <w:tcW w:w="2135" w:type="dxa"/>
            <w:vAlign w:val="center"/>
            <w:hideMark/>
          </w:tcPr>
          <w:p w14:paraId="67DBFE1B" w14:textId="77777777" w:rsidR="00B75C78" w:rsidRPr="00C03235" w:rsidRDefault="00B75C78" w:rsidP="00686D93">
            <w:pPr>
              <w:jc w:val="center"/>
              <w:rPr>
                <w:sz w:val="20"/>
                <w:szCs w:val="20"/>
              </w:rPr>
            </w:pPr>
            <w:r w:rsidRPr="00C03235">
              <w:rPr>
                <w:sz w:val="20"/>
                <w:szCs w:val="20"/>
              </w:rPr>
              <w:t>95.35%</w:t>
            </w:r>
          </w:p>
        </w:tc>
      </w:tr>
      <w:tr w:rsidR="00B75C78" w:rsidRPr="00C03235" w14:paraId="0272DE5C" w14:textId="77777777" w:rsidTr="00686D93">
        <w:trPr>
          <w:trHeight w:val="285"/>
          <w:jc w:val="center"/>
        </w:trPr>
        <w:tc>
          <w:tcPr>
            <w:tcW w:w="2972" w:type="dxa"/>
            <w:vAlign w:val="center"/>
            <w:hideMark/>
          </w:tcPr>
          <w:p w14:paraId="6F61191B" w14:textId="77777777" w:rsidR="00B75C78" w:rsidRPr="00C03235" w:rsidRDefault="00B75C78" w:rsidP="00686D93">
            <w:pPr>
              <w:jc w:val="both"/>
              <w:rPr>
                <w:sz w:val="20"/>
                <w:szCs w:val="20"/>
              </w:rPr>
            </w:pPr>
            <w:r w:rsidRPr="00C03235">
              <w:rPr>
                <w:sz w:val="20"/>
                <w:szCs w:val="20"/>
              </w:rPr>
              <w:t>Energía (kWh)</w:t>
            </w:r>
          </w:p>
        </w:tc>
        <w:tc>
          <w:tcPr>
            <w:tcW w:w="1985" w:type="dxa"/>
            <w:vAlign w:val="center"/>
            <w:hideMark/>
          </w:tcPr>
          <w:p w14:paraId="7B0D111F" w14:textId="7423CAEF" w:rsidR="00B75C78" w:rsidRPr="00C03235" w:rsidRDefault="00B75C78" w:rsidP="00686D93">
            <w:pPr>
              <w:jc w:val="center"/>
              <w:rPr>
                <w:sz w:val="20"/>
                <w:szCs w:val="20"/>
              </w:rPr>
            </w:pPr>
            <w:r w:rsidRPr="00C03235">
              <w:rPr>
                <w:sz w:val="20"/>
                <w:szCs w:val="20"/>
              </w:rPr>
              <w:t>1.00</w:t>
            </w:r>
          </w:p>
        </w:tc>
        <w:tc>
          <w:tcPr>
            <w:tcW w:w="2135" w:type="dxa"/>
            <w:vAlign w:val="center"/>
            <w:hideMark/>
          </w:tcPr>
          <w:p w14:paraId="3F56DD41" w14:textId="11808E01" w:rsidR="00B75C78" w:rsidRPr="00C03235" w:rsidRDefault="00FB392A" w:rsidP="00FB392A">
            <w:pPr>
              <w:jc w:val="center"/>
              <w:rPr>
                <w:sz w:val="20"/>
                <w:szCs w:val="20"/>
              </w:rPr>
            </w:pPr>
            <w:r w:rsidRPr="00C03235">
              <w:rPr>
                <w:sz w:val="20"/>
                <w:szCs w:val="20"/>
              </w:rPr>
              <w:t>1.00</w:t>
            </w:r>
          </w:p>
        </w:tc>
      </w:tr>
    </w:tbl>
    <w:p w14:paraId="63DE7CD9" w14:textId="611CAFC2" w:rsidR="00EC279E" w:rsidRPr="00C03235" w:rsidRDefault="00A638FA" w:rsidP="00A638FA">
      <w:pPr>
        <w:ind w:left="708"/>
        <w:jc w:val="center"/>
        <w:rPr>
          <w:sz w:val="20"/>
          <w:szCs w:val="20"/>
        </w:rPr>
      </w:pPr>
      <w:r w:rsidRPr="00C03235">
        <w:rPr>
          <w:sz w:val="20"/>
          <w:szCs w:val="20"/>
        </w:rPr>
        <w:t>Fuente: Elaboración propia</w:t>
      </w:r>
    </w:p>
    <w:p w14:paraId="3AE2CF71" w14:textId="77777777" w:rsidR="00A638FA" w:rsidRPr="00C03235" w:rsidRDefault="00A638FA">
      <w:pPr>
        <w:ind w:left="708"/>
        <w:jc w:val="center"/>
        <w:rPr>
          <w:sz w:val="20"/>
          <w:szCs w:val="20"/>
        </w:rPr>
      </w:pPr>
    </w:p>
    <w:p w14:paraId="236F6DDB" w14:textId="1F49BFEC" w:rsidR="007862CE" w:rsidRPr="00C03235" w:rsidRDefault="522CE726" w:rsidP="00CB1271">
      <w:pPr>
        <w:jc w:val="both"/>
      </w:pPr>
      <w:r w:rsidRPr="00C03235">
        <w:t xml:space="preserve">Conforme lo anterior, se evidencia que en ningún momento la Comisión hizo uso de una </w:t>
      </w:r>
      <w:r w:rsidR="00CB1271" w:rsidRPr="00C03235">
        <w:t xml:space="preserve">simple </w:t>
      </w:r>
      <w:r w:rsidRPr="00C03235">
        <w:t>“regla de 3” para realizar el cálculo del cargo de generación para el mercado de Nazareth y Puerto Estrella</w:t>
      </w:r>
      <w:r w:rsidR="752446DE" w:rsidRPr="00C03235">
        <w:t xml:space="preserve"> y</w:t>
      </w:r>
      <w:r w:rsidR="0015415A" w:rsidRPr="00C03235">
        <w:t>,</w:t>
      </w:r>
      <w:r w:rsidR="752446DE" w:rsidRPr="00C03235">
        <w:t xml:space="preserve"> en ese sentido, el argumento presentado por el recurrente no resulta procedente.</w:t>
      </w:r>
    </w:p>
    <w:p w14:paraId="1CB5D90C" w14:textId="272903EF" w:rsidR="79E27E0E" w:rsidRPr="00C03235" w:rsidRDefault="79E27E0E" w:rsidP="79E27E0E"/>
    <w:p w14:paraId="01AD00E0" w14:textId="56905132" w:rsidR="00721E09" w:rsidRPr="00C03235" w:rsidRDefault="00D65FCB" w:rsidP="002C56DA">
      <w:pPr>
        <w:pStyle w:val="Prrafodelista"/>
        <w:numPr>
          <w:ilvl w:val="2"/>
          <w:numId w:val="16"/>
        </w:numPr>
        <w:tabs>
          <w:tab w:val="left" w:pos="1134"/>
        </w:tabs>
        <w:jc w:val="both"/>
        <w:rPr>
          <w:b/>
          <w:bCs/>
          <w:iCs/>
          <w:szCs w:val="24"/>
        </w:rPr>
      </w:pPr>
      <w:r w:rsidRPr="00C03235">
        <w:rPr>
          <w:b/>
          <w:bCs/>
          <w:i/>
          <w:iCs/>
          <w:sz w:val="24"/>
          <w:szCs w:val="24"/>
        </w:rPr>
        <w:t>De manera equívoca se extendieron los costos del mercado de Unguía al de Nazareth y Puerto Estrella, donde existen diferencias técnicas, operativas, comerciales y logísticas de invertir y operar este tipo de infraestructura.</w:t>
      </w:r>
    </w:p>
    <w:p w14:paraId="69F5CA6F" w14:textId="77777777" w:rsidR="00EC279E" w:rsidRPr="00C03235" w:rsidRDefault="00EC279E" w:rsidP="00EC279E">
      <w:pPr>
        <w:jc w:val="both"/>
      </w:pPr>
    </w:p>
    <w:p w14:paraId="4E61B258" w14:textId="2B199274" w:rsidR="459CC059" w:rsidRPr="00C03235" w:rsidRDefault="459CC059" w:rsidP="00141483">
      <w:pPr>
        <w:spacing w:line="259" w:lineRule="auto"/>
        <w:jc w:val="both"/>
      </w:pPr>
      <w:r w:rsidRPr="00C03235">
        <w:t xml:space="preserve">Sea lo primero recordar que, </w:t>
      </w:r>
      <w:r w:rsidR="50665BC4" w:rsidRPr="00C03235">
        <w:t xml:space="preserve">tal y </w:t>
      </w:r>
      <w:r w:rsidRPr="00C03235">
        <w:t>como</w:t>
      </w:r>
      <w:r w:rsidR="12609E48" w:rsidRPr="00C03235">
        <w:t xml:space="preserve"> se indicó </w:t>
      </w:r>
      <w:r w:rsidR="00A1206B" w:rsidRPr="00C03235">
        <w:t>anteriormente,</w:t>
      </w:r>
      <w:r w:rsidR="12609E48" w:rsidRPr="00C03235">
        <w:t xml:space="preserve"> la Comisión encontró que lo</w:t>
      </w:r>
      <w:r w:rsidR="30D100B0" w:rsidRPr="00C03235">
        <w:t xml:space="preserve">s </w:t>
      </w:r>
      <w:r w:rsidR="12609E48" w:rsidRPr="00C03235">
        <w:t>cost</w:t>
      </w:r>
      <w:r w:rsidR="4E7189EA" w:rsidRPr="00C03235">
        <w:t xml:space="preserve">os </w:t>
      </w:r>
      <w:r w:rsidR="3960793D" w:rsidRPr="00C03235">
        <w:t>presentados</w:t>
      </w:r>
      <w:r w:rsidR="152D6229" w:rsidRPr="00C03235">
        <w:t xml:space="preserve"> por HELIOS</w:t>
      </w:r>
      <w:r w:rsidR="3960793D" w:rsidRPr="00C03235">
        <w:t xml:space="preserve"> </w:t>
      </w:r>
      <w:r w:rsidR="00A7260F" w:rsidRPr="00C03235">
        <w:t>son significativamente diferentes del</w:t>
      </w:r>
      <w:r w:rsidR="00476188" w:rsidRPr="00C03235">
        <w:t xml:space="preserve"> </w:t>
      </w:r>
      <w:r w:rsidR="00A7260F" w:rsidRPr="00C03235">
        <w:t xml:space="preserve">rango de </w:t>
      </w:r>
      <w:r w:rsidR="000F2615" w:rsidRPr="00C03235">
        <w:t>costos</w:t>
      </w:r>
      <w:r w:rsidR="3960793D" w:rsidRPr="00C03235">
        <w:t xml:space="preserve"> eficientes </w:t>
      </w:r>
      <w:r w:rsidR="003F10C4" w:rsidRPr="00C03235">
        <w:t xml:space="preserve">que </w:t>
      </w:r>
      <w:r w:rsidR="001F52D8" w:rsidRPr="00C03235">
        <w:t xml:space="preserve">ya </w:t>
      </w:r>
      <w:r w:rsidR="008019B4" w:rsidRPr="00C03235">
        <w:t xml:space="preserve">se </w:t>
      </w:r>
      <w:r w:rsidR="001F52D8" w:rsidRPr="00C03235">
        <w:t>tiene sopor</w:t>
      </w:r>
      <w:r w:rsidR="006F745D" w:rsidRPr="00C03235">
        <w:t>tado</w:t>
      </w:r>
      <w:r w:rsidR="006E6621" w:rsidRPr="00C03235">
        <w:t xml:space="preserve"> y</w:t>
      </w:r>
      <w:r w:rsidR="097565D3" w:rsidRPr="00C03235">
        <w:t>,</w:t>
      </w:r>
      <w:r w:rsidR="3960793D" w:rsidRPr="00C03235">
        <w:t xml:space="preserve"> en consecuencia, los mismos no </w:t>
      </w:r>
      <w:r w:rsidR="0021602B" w:rsidRPr="00C03235">
        <w:t>fueron tomados como referencia</w:t>
      </w:r>
      <w:r w:rsidR="3960793D" w:rsidRPr="00C03235">
        <w:t xml:space="preserve"> para resolver la solicitud </w:t>
      </w:r>
      <w:r w:rsidR="55E63FCC" w:rsidRPr="00C03235">
        <w:t>objeto de la presente actuación administrativa</w:t>
      </w:r>
      <w:r w:rsidR="3960793D" w:rsidRPr="00C03235">
        <w:t>.</w:t>
      </w:r>
    </w:p>
    <w:p w14:paraId="152D0768" w14:textId="4ED9B176" w:rsidR="79E27E0E" w:rsidRPr="00C03235" w:rsidRDefault="79E27E0E" w:rsidP="79E27E0E">
      <w:pPr>
        <w:spacing w:line="259" w:lineRule="auto"/>
        <w:jc w:val="both"/>
      </w:pPr>
    </w:p>
    <w:p w14:paraId="4470B5CB" w14:textId="45CBC03C" w:rsidR="6C42B9E9" w:rsidRPr="00C03235" w:rsidRDefault="6C42B9E9" w:rsidP="79E27E0E">
      <w:pPr>
        <w:spacing w:line="259" w:lineRule="auto"/>
        <w:jc w:val="both"/>
      </w:pPr>
      <w:r w:rsidRPr="00C03235">
        <w:t xml:space="preserve">Si bien es cierto </w:t>
      </w:r>
      <w:r w:rsidR="00FE7539" w:rsidRPr="00C03235">
        <w:t xml:space="preserve">que </w:t>
      </w:r>
      <w:r w:rsidRPr="00C03235">
        <w:t xml:space="preserve">el cálculo realizado </w:t>
      </w:r>
      <w:r w:rsidR="493C39F9" w:rsidRPr="00C03235">
        <w:t xml:space="preserve">por </w:t>
      </w:r>
      <w:r w:rsidRPr="00C03235">
        <w:t xml:space="preserve">esta Comisión tuvo como referencia los costos eficientes del mercado de Unguía y los corregimientos de Gilgal, Santa Marta y Tanela, </w:t>
      </w:r>
      <w:r w:rsidR="174320FB" w:rsidRPr="00C03235">
        <w:t>también es cierto que se ajustaron las condiciones de radicación</w:t>
      </w:r>
      <w:r w:rsidR="53A3BEB7" w:rsidRPr="00C03235">
        <w:t>,</w:t>
      </w:r>
      <w:r w:rsidR="0517DF20" w:rsidRPr="00C03235">
        <w:t xml:space="preserve"> costos de tr</w:t>
      </w:r>
      <w:r w:rsidR="36F8A958" w:rsidRPr="00C03235">
        <w:t>a</w:t>
      </w:r>
      <w:r w:rsidR="0517DF20" w:rsidRPr="00C03235">
        <w:t>nsporte e instalac</w:t>
      </w:r>
      <w:r w:rsidR="73BB64F5" w:rsidRPr="00C03235">
        <w:t>ió</w:t>
      </w:r>
      <w:r w:rsidR="0517DF20" w:rsidRPr="00C03235">
        <w:t>n</w:t>
      </w:r>
      <w:r w:rsidR="174320FB" w:rsidRPr="00C03235">
        <w:t xml:space="preserve"> </w:t>
      </w:r>
      <w:r w:rsidR="0FB3890C" w:rsidRPr="00C03235">
        <w:t>de equipos</w:t>
      </w:r>
      <w:r w:rsidR="7B18D887" w:rsidRPr="00C03235">
        <w:t xml:space="preserve"> y la tasa de descuento</w:t>
      </w:r>
      <w:r w:rsidR="0FB3890C" w:rsidRPr="00C03235">
        <w:t xml:space="preserve"> en el mercado relevante de Nazareth y Puer</w:t>
      </w:r>
      <w:r w:rsidR="5DF63ED9" w:rsidRPr="00C03235">
        <w:t>t</w:t>
      </w:r>
      <w:r w:rsidR="0FB3890C" w:rsidRPr="00C03235">
        <w:t>o Estrella</w:t>
      </w:r>
      <w:r w:rsidR="005D17C4" w:rsidRPr="00C03235">
        <w:t xml:space="preserve"> para reflejar las condiciones del costo de generación en estos mercados</w:t>
      </w:r>
      <w:r w:rsidR="0FB3890C" w:rsidRPr="00C03235">
        <w:t xml:space="preserve">. </w:t>
      </w:r>
    </w:p>
    <w:p w14:paraId="4B664C2C" w14:textId="4A0F15C2" w:rsidR="79E27E0E" w:rsidRPr="00C03235" w:rsidRDefault="79E27E0E" w:rsidP="79E27E0E">
      <w:pPr>
        <w:spacing w:line="259" w:lineRule="auto"/>
        <w:jc w:val="both"/>
      </w:pPr>
    </w:p>
    <w:p w14:paraId="3AFCDD0D" w14:textId="0B2A618C" w:rsidR="6FA43630" w:rsidRPr="00C03235" w:rsidRDefault="6FA43630" w:rsidP="79E27E0E">
      <w:pPr>
        <w:spacing w:line="259" w:lineRule="auto"/>
        <w:jc w:val="both"/>
      </w:pPr>
      <w:r w:rsidRPr="00C03235">
        <w:t>En efecto, en el documento D-501 002 de 2023 la CREG señaló</w:t>
      </w:r>
      <w:r w:rsidR="78A2B3AE" w:rsidRPr="00C03235">
        <w:t>:</w:t>
      </w:r>
    </w:p>
    <w:p w14:paraId="60623BA7" w14:textId="759CAB8C" w:rsidR="79E27E0E" w:rsidRPr="00C03235" w:rsidRDefault="79E27E0E" w:rsidP="005D17C4">
      <w:pPr>
        <w:contextualSpacing/>
        <w:jc w:val="both"/>
      </w:pPr>
    </w:p>
    <w:p w14:paraId="6274BEE8" w14:textId="36CC8C31" w:rsidR="6D9BD044" w:rsidRPr="00C03235" w:rsidRDefault="6D9BD044" w:rsidP="005D17C4">
      <w:pPr>
        <w:ind w:left="284"/>
        <w:contextualSpacing/>
        <w:jc w:val="both"/>
        <w:rPr>
          <w:i/>
          <w:iCs/>
          <w:sz w:val="22"/>
          <w:szCs w:val="22"/>
        </w:rPr>
      </w:pPr>
      <w:r w:rsidRPr="00C03235">
        <w:rPr>
          <w:i/>
          <w:iCs/>
          <w:sz w:val="22"/>
          <w:szCs w:val="22"/>
        </w:rPr>
        <w:t xml:space="preserve">“En este sentido, a partir de lo aprobado en el marco de la Resolución 136 de 2019, </w:t>
      </w:r>
      <w:r w:rsidR="005D17C4" w:rsidRPr="00C03235">
        <w:rPr>
          <w:i/>
          <w:iCs/>
          <w:sz w:val="22"/>
          <w:szCs w:val="22"/>
        </w:rPr>
        <w:t>‘</w:t>
      </w:r>
      <w:r w:rsidRPr="00C03235">
        <w:rPr>
          <w:i/>
          <w:iCs/>
          <w:sz w:val="22"/>
          <w:szCs w:val="22"/>
        </w:rPr>
        <w:t>Por la cual se determina el cargo máximo de generación para sistemas híbridos diésel solar fotovoltaicos con acumulación en el mercado relevante de comercialización de la cabecera municipal del municipio de Unguía (Chocó)</w:t>
      </w:r>
      <w:r w:rsidR="005D17C4" w:rsidRPr="00C03235">
        <w:rPr>
          <w:i/>
          <w:iCs/>
          <w:sz w:val="22"/>
          <w:szCs w:val="22"/>
        </w:rPr>
        <w:t>’</w:t>
      </w:r>
      <w:r w:rsidRPr="00C03235">
        <w:rPr>
          <w:i/>
          <w:iCs/>
          <w:sz w:val="22"/>
          <w:szCs w:val="22"/>
        </w:rPr>
        <w:t xml:space="preserve">, se estiman los costos eficientes de generación en sistemas solares fotovoltaicos y acumulación, considerando las condiciones particulares de radiación, costo de transporte e instalación de equipos para </w:t>
      </w:r>
      <w:r w:rsidRPr="00C03235">
        <w:rPr>
          <w:i/>
          <w:iCs/>
          <w:sz w:val="22"/>
          <w:szCs w:val="22"/>
        </w:rPr>
        <w:lastRenderedPageBreak/>
        <w:t>el mercado de Unguía, ajustándolos a las condiciones de radiación y costos de transporte e instalación de equipos en el mercado relevante de Nazareth y Puerto Estrella.</w:t>
      </w:r>
    </w:p>
    <w:p w14:paraId="5D4A61B2" w14:textId="77777777" w:rsidR="005D17C4" w:rsidRPr="00C03235" w:rsidRDefault="005D17C4" w:rsidP="005D17C4">
      <w:pPr>
        <w:ind w:left="284"/>
        <w:contextualSpacing/>
        <w:jc w:val="both"/>
        <w:rPr>
          <w:i/>
          <w:iCs/>
          <w:sz w:val="22"/>
          <w:szCs w:val="22"/>
        </w:rPr>
      </w:pPr>
    </w:p>
    <w:p w14:paraId="62D8C5C6" w14:textId="5350356F" w:rsidR="6D9BD044" w:rsidRPr="00C03235" w:rsidRDefault="6D9BD044" w:rsidP="00BF60A7">
      <w:pPr>
        <w:ind w:left="284"/>
        <w:contextualSpacing/>
        <w:jc w:val="both"/>
        <w:rPr>
          <w:i/>
          <w:iCs/>
          <w:sz w:val="22"/>
          <w:szCs w:val="22"/>
        </w:rPr>
      </w:pPr>
      <w:r w:rsidRPr="00C03235">
        <w:rPr>
          <w:i/>
          <w:iCs/>
          <w:sz w:val="22"/>
          <w:szCs w:val="22"/>
        </w:rPr>
        <w:t>La primera variante frente a los cargos aprobados a través de la Resolución CREG 136 de 2019, se relaciona con el modelo de costos de transporte adoptado para soluciones fotovoltaicas individuales, que sigue un modelo de logística que incluye los costos de transporte de los equipos desde los puntos de mayoristas o de proveedores, modalidad de transporte y costos de instalación, para establecer qué porcentaje del costo total de la inversión de generación corresponde a transporte e instalación y cuál porcentaje al valor de los equipos.</w:t>
      </w:r>
    </w:p>
    <w:p w14:paraId="12682431" w14:textId="77777777" w:rsidR="00E70FC3" w:rsidRPr="00C03235" w:rsidRDefault="00E70FC3" w:rsidP="00E70FC3">
      <w:pPr>
        <w:ind w:left="284"/>
        <w:contextualSpacing/>
        <w:jc w:val="both"/>
        <w:rPr>
          <w:i/>
          <w:iCs/>
          <w:sz w:val="22"/>
          <w:szCs w:val="22"/>
        </w:rPr>
      </w:pPr>
    </w:p>
    <w:p w14:paraId="480C15DE" w14:textId="471ED2F8" w:rsidR="6D9BD044" w:rsidRPr="00C03235" w:rsidRDefault="6D9BD044" w:rsidP="005D17C4">
      <w:pPr>
        <w:ind w:left="284"/>
        <w:contextualSpacing/>
        <w:jc w:val="both"/>
        <w:rPr>
          <w:i/>
          <w:iCs/>
          <w:sz w:val="22"/>
          <w:szCs w:val="22"/>
        </w:rPr>
      </w:pPr>
      <w:r w:rsidRPr="00C03235">
        <w:rPr>
          <w:i/>
          <w:iCs/>
          <w:sz w:val="22"/>
          <w:szCs w:val="22"/>
        </w:rPr>
        <w:t xml:space="preserve">La segunda variante en la determinación del cargo máximo de generación para el mercado relevante que atiende los corregimientos de Nazareth y Puerto Estrella tiene que ver con la radiación solar que, en este caso, se determina en 5.03 de irradiancia horizontal (horas promedio / día), reportada por HELIOS, a través del radicado CREG E-2022-008662, archivo Excel </w:t>
      </w:r>
      <w:r w:rsidR="00E70FC3" w:rsidRPr="00C03235">
        <w:rPr>
          <w:i/>
          <w:iCs/>
          <w:sz w:val="22"/>
          <w:szCs w:val="22"/>
        </w:rPr>
        <w:t>‘</w:t>
      </w:r>
      <w:r w:rsidRPr="00C03235">
        <w:rPr>
          <w:i/>
          <w:iCs/>
          <w:sz w:val="22"/>
          <w:szCs w:val="22"/>
        </w:rPr>
        <w:t>Circular_079_2019_Datos_generales_Planta_generacion_hibrida_Nazareth_Puerto_Estrella</w:t>
      </w:r>
      <w:r w:rsidR="00F02DE1" w:rsidRPr="00C03235">
        <w:rPr>
          <w:i/>
          <w:iCs/>
          <w:sz w:val="22"/>
          <w:szCs w:val="22"/>
        </w:rPr>
        <w:t>’</w:t>
      </w:r>
      <w:r w:rsidRPr="00C03235">
        <w:rPr>
          <w:i/>
          <w:iCs/>
          <w:sz w:val="22"/>
          <w:szCs w:val="22"/>
        </w:rPr>
        <w:t>. En el caso del mercado de Unguía la radiación solar considerada fue de 4.39.</w:t>
      </w:r>
    </w:p>
    <w:p w14:paraId="2CFF7309" w14:textId="77777777" w:rsidR="00ED13CC" w:rsidRPr="00C03235" w:rsidRDefault="00ED13CC" w:rsidP="00ED13CC">
      <w:pPr>
        <w:ind w:left="284"/>
        <w:contextualSpacing/>
        <w:jc w:val="both"/>
        <w:rPr>
          <w:i/>
          <w:iCs/>
          <w:sz w:val="22"/>
          <w:szCs w:val="22"/>
        </w:rPr>
      </w:pPr>
    </w:p>
    <w:p w14:paraId="3B58E41A" w14:textId="0165B3A8" w:rsidR="6D9BD044" w:rsidRPr="00C03235" w:rsidRDefault="6D9BD044" w:rsidP="005D17C4">
      <w:pPr>
        <w:ind w:left="284"/>
        <w:contextualSpacing/>
        <w:jc w:val="both"/>
        <w:rPr>
          <w:i/>
          <w:iCs/>
          <w:sz w:val="22"/>
          <w:szCs w:val="22"/>
        </w:rPr>
      </w:pPr>
      <w:r w:rsidRPr="00C03235">
        <w:rPr>
          <w:i/>
          <w:iCs/>
          <w:sz w:val="22"/>
          <w:szCs w:val="22"/>
        </w:rPr>
        <w:t>La tercera variante frente lo aprobado en el marco de la Resolución CREG 136 de 2019, tiene que ver con la tasa de descuento. En su momento, la tasa de descuento vigente para la aprobación de los cargos del mercado de Unguía era de 14.83%, mientras que para este momento la tasa de descuento aplicable es de 15.22%. En el anexo de este documento se presenta el detalle de cálculo mediante el que se obtiene esta tasa.</w:t>
      </w:r>
      <w:r w:rsidR="117A771A" w:rsidRPr="00C03235">
        <w:rPr>
          <w:i/>
          <w:iCs/>
          <w:sz w:val="22"/>
          <w:szCs w:val="22"/>
        </w:rPr>
        <w:t>”</w:t>
      </w:r>
    </w:p>
    <w:p w14:paraId="4FA4D57B" w14:textId="77777777" w:rsidR="00BF60A7" w:rsidRPr="00C03235" w:rsidRDefault="00BF60A7" w:rsidP="00BF60A7">
      <w:pPr>
        <w:contextualSpacing/>
        <w:jc w:val="both"/>
      </w:pPr>
    </w:p>
    <w:p w14:paraId="5A6A35FE" w14:textId="4014FBEC" w:rsidR="00EC279E" w:rsidRPr="00C03235" w:rsidRDefault="117A771A" w:rsidP="0090001A">
      <w:pPr>
        <w:contextualSpacing/>
        <w:jc w:val="both"/>
      </w:pPr>
      <w:r w:rsidRPr="00C03235">
        <w:t xml:space="preserve">Conforme lo anterior, no le asiste la razón a HELIOS al señalar que la Comisión incurrió en un error al tomar como referencia </w:t>
      </w:r>
      <w:r w:rsidR="4C20084D" w:rsidRPr="00C03235">
        <w:t xml:space="preserve">el mercado </w:t>
      </w:r>
      <w:r w:rsidR="44DE3D00" w:rsidRPr="00C03235">
        <w:t xml:space="preserve">conformado por la cabecera municipal de </w:t>
      </w:r>
      <w:r w:rsidR="077B0071" w:rsidRPr="00C03235">
        <w:t>Unguía</w:t>
      </w:r>
      <w:r w:rsidR="44DE3D00" w:rsidRPr="00C03235">
        <w:t xml:space="preserve"> y los corregimientos del Gilgal, Santa María y Tanela, aprobado por la Comisión mediante la </w:t>
      </w:r>
      <w:r w:rsidR="077B0071" w:rsidRPr="00C03235">
        <w:t xml:space="preserve">Resolución </w:t>
      </w:r>
      <w:r w:rsidR="44DE3D00" w:rsidRPr="00C03235">
        <w:t>CREG 136 del 2019</w:t>
      </w:r>
      <w:r w:rsidR="3CE4253B" w:rsidRPr="00C03235">
        <w:t xml:space="preserve">, </w:t>
      </w:r>
      <w:r w:rsidR="2A549BEC" w:rsidRPr="00C03235">
        <w:t>toda vez que,</w:t>
      </w:r>
      <w:r w:rsidR="4C20084D" w:rsidRPr="00C03235">
        <w:t xml:space="preserve"> </w:t>
      </w:r>
      <w:r w:rsidR="06160FED" w:rsidRPr="00C03235">
        <w:t xml:space="preserve">como se </w:t>
      </w:r>
      <w:r w:rsidR="29CA4A11" w:rsidRPr="00C03235">
        <w:t>advirtió</w:t>
      </w:r>
      <w:r w:rsidR="06160FED" w:rsidRPr="00C03235">
        <w:t xml:space="preserve"> previamente</w:t>
      </w:r>
      <w:r w:rsidR="6C9A25DA" w:rsidRPr="00C03235">
        <w:t>,</w:t>
      </w:r>
      <w:r w:rsidR="06160FED" w:rsidRPr="00C03235">
        <w:t xml:space="preserve"> </w:t>
      </w:r>
      <w:r w:rsidR="4C20084D" w:rsidRPr="00C03235">
        <w:t>para el procedimiento se usa</w:t>
      </w:r>
      <w:r w:rsidR="7019422E" w:rsidRPr="00C03235">
        <w:t>n</w:t>
      </w:r>
      <w:r w:rsidR="4C20084D" w:rsidRPr="00C03235">
        <w:t xml:space="preserve"> </w:t>
      </w:r>
      <w:r w:rsidR="7019422E" w:rsidRPr="00C03235">
        <w:t xml:space="preserve">unos </w:t>
      </w:r>
      <w:r w:rsidR="4C20084D" w:rsidRPr="00C03235">
        <w:t>cargos de generación aprobados que gozan de legalidad y que se entiende</w:t>
      </w:r>
      <w:r w:rsidR="00114B59">
        <w:t>,</w:t>
      </w:r>
      <w:r w:rsidR="4C20084D" w:rsidRPr="00C03235">
        <w:t xml:space="preserve"> cumplen con criterios para definir el régimen tarifario, entre otros </w:t>
      </w:r>
      <w:r w:rsidR="005442A6" w:rsidRPr="00C03235">
        <w:t>los</w:t>
      </w:r>
      <w:r w:rsidR="4C20084D" w:rsidRPr="00C03235">
        <w:t xml:space="preserve"> de eficiencia economía y suficiencia financiera.</w:t>
      </w:r>
    </w:p>
    <w:p w14:paraId="10B8017D" w14:textId="37572A54" w:rsidR="79E27E0E" w:rsidRPr="00C03235" w:rsidRDefault="79E27E0E" w:rsidP="005D17C4">
      <w:pPr>
        <w:contextualSpacing/>
        <w:jc w:val="both"/>
      </w:pPr>
    </w:p>
    <w:p w14:paraId="627B1B1B" w14:textId="0D741FB4" w:rsidR="00612126" w:rsidRPr="00C03235" w:rsidRDefault="30B326EE" w:rsidP="00E04E94">
      <w:pPr>
        <w:spacing w:line="259" w:lineRule="auto"/>
        <w:jc w:val="both"/>
      </w:pPr>
      <w:r w:rsidRPr="00C03235">
        <w:t>Adicionalmente, en</w:t>
      </w:r>
      <w:r w:rsidR="755D4EA1" w:rsidRPr="00C03235">
        <w:t xml:space="preserve"> </w:t>
      </w:r>
      <w:r w:rsidR="0E127712" w:rsidRPr="00C03235">
        <w:t>el numeral 3.2</w:t>
      </w:r>
      <w:r w:rsidRPr="00C03235">
        <w:t>,</w:t>
      </w:r>
      <w:r w:rsidR="0E127712" w:rsidRPr="00C03235">
        <w:t xml:space="preserve"> </w:t>
      </w:r>
      <w:r w:rsidR="19329122" w:rsidRPr="00C03235">
        <w:t xml:space="preserve">inciso </w:t>
      </w:r>
      <w:r w:rsidR="0E127712" w:rsidRPr="00C03235">
        <w:t>a) de</w:t>
      </w:r>
      <w:r w:rsidR="18E559C6" w:rsidRPr="00C03235">
        <w:t xml:space="preserve"> </w:t>
      </w:r>
      <w:r w:rsidR="0E127712" w:rsidRPr="00C03235">
        <w:t>l</w:t>
      </w:r>
      <w:r w:rsidR="18E559C6" w:rsidRPr="00C03235">
        <w:t>a</w:t>
      </w:r>
      <w:r w:rsidR="0E127712" w:rsidRPr="00C03235">
        <w:t xml:space="preserve"> presente </w:t>
      </w:r>
      <w:r w:rsidR="18E559C6" w:rsidRPr="00C03235">
        <w:t>resolución</w:t>
      </w:r>
      <w:r w:rsidR="0E127712" w:rsidRPr="00C03235">
        <w:t>,</w:t>
      </w:r>
      <w:r w:rsidR="446AD2C9" w:rsidRPr="00C03235">
        <w:t xml:space="preserve"> </w:t>
      </w:r>
      <w:r w:rsidR="0E127712" w:rsidRPr="00C03235">
        <w:t xml:space="preserve">se realiza </w:t>
      </w:r>
      <w:r w:rsidR="762F121D" w:rsidRPr="00C03235">
        <w:t xml:space="preserve">la descripción de la metodología </w:t>
      </w:r>
      <w:r w:rsidR="59F78B35" w:rsidRPr="00C03235">
        <w:t>utilizada</w:t>
      </w:r>
      <w:r w:rsidR="762F121D" w:rsidRPr="00C03235">
        <w:t xml:space="preserve"> para </w:t>
      </w:r>
      <w:r w:rsidR="0E127712" w:rsidRPr="00C03235">
        <w:t xml:space="preserve">el </w:t>
      </w:r>
      <w:r w:rsidR="762F121D" w:rsidRPr="00C03235">
        <w:t>cálculo</w:t>
      </w:r>
      <w:r w:rsidR="0E127712" w:rsidRPr="00C03235">
        <w:t xml:space="preserve"> del cargo </w:t>
      </w:r>
      <w:r w:rsidR="762F121D" w:rsidRPr="00C03235">
        <w:t>d</w:t>
      </w:r>
      <w:r w:rsidR="0E127712" w:rsidRPr="00C03235">
        <w:t xml:space="preserve">el mercado de Nazareth y Puerto </w:t>
      </w:r>
      <w:r w:rsidR="4E009E0C" w:rsidRPr="00C03235">
        <w:t xml:space="preserve">Estrella </w:t>
      </w:r>
      <w:r w:rsidR="42A1E383" w:rsidRPr="00C03235">
        <w:t>aprobado en la Resolución CREG 501 004 de 2023</w:t>
      </w:r>
      <w:r w:rsidR="7232FFDF" w:rsidRPr="00C03235">
        <w:t>,</w:t>
      </w:r>
      <w:r w:rsidR="58FAF415" w:rsidRPr="00C03235">
        <w:t xml:space="preserve"> </w:t>
      </w:r>
      <w:r w:rsidRPr="00C03235">
        <w:t>donde</w:t>
      </w:r>
      <w:r w:rsidR="0E127712" w:rsidRPr="00C03235">
        <w:t xml:space="preserve"> se incluyen las variables propias</w:t>
      </w:r>
      <w:r w:rsidR="446AD2C9" w:rsidRPr="00C03235">
        <w:t xml:space="preserve"> de operación del sistema</w:t>
      </w:r>
      <w:r w:rsidR="5F8BF675" w:rsidRPr="00C03235">
        <w:t xml:space="preserve"> de generación </w:t>
      </w:r>
      <w:r w:rsidR="580AED62" w:rsidRPr="00C03235">
        <w:t xml:space="preserve">de </w:t>
      </w:r>
      <w:r w:rsidR="39E23EAF" w:rsidRPr="00C03235">
        <w:t>dicho mercado</w:t>
      </w:r>
      <w:r w:rsidR="0E127712" w:rsidRPr="00C03235">
        <w:t>, como radiación</w:t>
      </w:r>
      <w:r w:rsidR="776E9850" w:rsidRPr="00C03235">
        <w:t>,</w:t>
      </w:r>
      <w:r w:rsidR="0E127712" w:rsidRPr="00C03235">
        <w:t xml:space="preserve"> costo del transporte e instalación</w:t>
      </w:r>
      <w:r w:rsidR="776E9850" w:rsidRPr="00C03235">
        <w:t xml:space="preserve"> </w:t>
      </w:r>
      <w:r w:rsidR="268B32B2" w:rsidRPr="00C03235">
        <w:t>y la tasa de descuento</w:t>
      </w:r>
      <w:r w:rsidR="0E127712" w:rsidRPr="00C03235">
        <w:t>.</w:t>
      </w:r>
    </w:p>
    <w:p w14:paraId="46DBB895" w14:textId="77777777" w:rsidR="00FE4363" w:rsidRPr="00C03235" w:rsidRDefault="00FE4363" w:rsidP="00E04E94">
      <w:pPr>
        <w:spacing w:line="259" w:lineRule="auto"/>
        <w:jc w:val="both"/>
      </w:pPr>
    </w:p>
    <w:p w14:paraId="2D2B1BA5" w14:textId="3AEC6475" w:rsidR="00DA5F88" w:rsidRPr="00C03235" w:rsidRDefault="00DA5F88" w:rsidP="002C56DA">
      <w:pPr>
        <w:pStyle w:val="Prrafodelista"/>
        <w:numPr>
          <w:ilvl w:val="2"/>
          <w:numId w:val="16"/>
        </w:numPr>
        <w:tabs>
          <w:tab w:val="left" w:pos="1134"/>
        </w:tabs>
        <w:jc w:val="both"/>
        <w:rPr>
          <w:b/>
          <w:bCs/>
          <w:iCs/>
          <w:szCs w:val="24"/>
        </w:rPr>
      </w:pPr>
      <w:r w:rsidRPr="00C03235">
        <w:rPr>
          <w:b/>
          <w:bCs/>
          <w:i/>
          <w:iCs/>
          <w:sz w:val="24"/>
          <w:szCs w:val="24"/>
        </w:rPr>
        <w:t xml:space="preserve">Existen </w:t>
      </w:r>
      <w:r w:rsidR="00F6064C" w:rsidRPr="00C03235">
        <w:rPr>
          <w:b/>
          <w:bCs/>
          <w:i/>
          <w:iCs/>
          <w:sz w:val="24"/>
          <w:szCs w:val="24"/>
        </w:rPr>
        <w:t>diferencias entre condiciones de salinidad, viento, polución, abrasión y temperatura.</w:t>
      </w:r>
    </w:p>
    <w:p w14:paraId="08B7CC80" w14:textId="77777777" w:rsidR="006B7FFA" w:rsidRPr="00C03235" w:rsidRDefault="006B7FFA" w:rsidP="00394C7C">
      <w:pPr>
        <w:jc w:val="both"/>
      </w:pPr>
    </w:p>
    <w:p w14:paraId="5A3DB382" w14:textId="77777777" w:rsidR="00687F65" w:rsidRDefault="7D5CC03D" w:rsidP="0042443F">
      <w:pPr>
        <w:ind w:left="12" w:firstLine="12"/>
        <w:jc w:val="both"/>
      </w:pPr>
      <w:r w:rsidRPr="00C03235">
        <w:t xml:space="preserve">En lo que respecta a las </w:t>
      </w:r>
      <w:r w:rsidR="351F31ED" w:rsidRPr="00C03235">
        <w:t>características</w:t>
      </w:r>
      <w:r w:rsidRPr="00C03235">
        <w:t xml:space="preserve"> ambientales</w:t>
      </w:r>
      <w:r w:rsidR="76F64259" w:rsidRPr="00C03235">
        <w:t xml:space="preserve"> de </w:t>
      </w:r>
      <w:r w:rsidR="351F31ED" w:rsidRPr="00C03235">
        <w:t>la Guajira,</w:t>
      </w:r>
      <w:r w:rsidRPr="00C03235">
        <w:t xml:space="preserve"> </w:t>
      </w:r>
      <w:r w:rsidR="003D3F4C" w:rsidRPr="00C03235">
        <w:t xml:space="preserve">aunque </w:t>
      </w:r>
      <w:r w:rsidR="76F64259" w:rsidRPr="00C03235">
        <w:t>e</w:t>
      </w:r>
      <w:r w:rsidR="2BC64416" w:rsidRPr="00C03235">
        <w:t>l viento</w:t>
      </w:r>
      <w:r w:rsidR="351F31ED" w:rsidRPr="00C03235">
        <w:t xml:space="preserve"> </w:t>
      </w:r>
      <w:r w:rsidR="000B64ED" w:rsidRPr="00C03235">
        <w:t>pud</w:t>
      </w:r>
      <w:r w:rsidR="00024603" w:rsidRPr="00C03235">
        <w:t>i</w:t>
      </w:r>
      <w:r w:rsidR="000B64ED" w:rsidRPr="00C03235">
        <w:t>e</w:t>
      </w:r>
      <w:r w:rsidR="00024603" w:rsidRPr="00C03235">
        <w:t>ra</w:t>
      </w:r>
      <w:r w:rsidR="000B64ED" w:rsidRPr="00C03235">
        <w:t xml:space="preserve"> llegar a tener </w:t>
      </w:r>
      <w:r w:rsidR="00147FE1" w:rsidRPr="00C03235">
        <w:t xml:space="preserve">algún tipo de </w:t>
      </w:r>
      <w:r w:rsidR="00024603" w:rsidRPr="00C03235">
        <w:t xml:space="preserve">incidencia </w:t>
      </w:r>
      <w:r w:rsidR="000B64ED" w:rsidRPr="00C03235">
        <w:t>sobre</w:t>
      </w:r>
      <w:r w:rsidR="60A60753" w:rsidRPr="00C03235">
        <w:t xml:space="preserve"> </w:t>
      </w:r>
      <w:r w:rsidR="00024603" w:rsidRPr="00C03235">
        <w:t>la eficiencia d</w:t>
      </w:r>
      <w:r w:rsidR="60A60753" w:rsidRPr="00C03235">
        <w:t xml:space="preserve">el </w:t>
      </w:r>
      <w:r w:rsidR="000B64ED" w:rsidRPr="00C03235">
        <w:t>sistema</w:t>
      </w:r>
      <w:r w:rsidR="60A60753" w:rsidRPr="00C03235">
        <w:t xml:space="preserve"> de generación </w:t>
      </w:r>
      <w:r w:rsidR="000B64ED" w:rsidRPr="00C03235">
        <w:t>solar fotovoltaico</w:t>
      </w:r>
      <w:r w:rsidR="0067018E" w:rsidRPr="00C03235">
        <w:t xml:space="preserve">, </w:t>
      </w:r>
      <w:r w:rsidR="00941797" w:rsidRPr="00C03235">
        <w:t xml:space="preserve">el recurrente no aporta soporte para validar esta hipótesis </w:t>
      </w:r>
      <w:r w:rsidR="002B6E8E" w:rsidRPr="00C03235">
        <w:t xml:space="preserve">y resulta siendo una </w:t>
      </w:r>
      <w:r w:rsidR="001510AD" w:rsidRPr="00C03235">
        <w:t>situación no probada</w:t>
      </w:r>
      <w:r w:rsidR="009358C7" w:rsidRPr="00C03235">
        <w:t>.</w:t>
      </w:r>
      <w:r w:rsidR="00FE4363" w:rsidRPr="00C03235">
        <w:t xml:space="preserve"> </w:t>
      </w:r>
    </w:p>
    <w:p w14:paraId="14EED370" w14:textId="77777777" w:rsidR="00687F65" w:rsidRDefault="00687F65" w:rsidP="0042443F">
      <w:pPr>
        <w:ind w:left="12" w:firstLine="12"/>
        <w:jc w:val="both"/>
      </w:pPr>
    </w:p>
    <w:p w14:paraId="7661BBA5" w14:textId="45637E3D" w:rsidR="00FE6ACB" w:rsidRPr="00C03235" w:rsidRDefault="00EC58CC" w:rsidP="0042443F">
      <w:pPr>
        <w:ind w:left="12" w:firstLine="12"/>
        <w:jc w:val="both"/>
      </w:pPr>
      <w:r w:rsidRPr="00C03235">
        <w:t xml:space="preserve">Sobre </w:t>
      </w:r>
      <w:r w:rsidR="00FE4363" w:rsidRPr="00C03235">
        <w:t>e</w:t>
      </w:r>
      <w:r w:rsidR="005D755E" w:rsidRPr="00C03235">
        <w:t>l efecto de</w:t>
      </w:r>
      <w:r w:rsidR="00FE4363" w:rsidRPr="00C03235">
        <w:t xml:space="preserve"> l</w:t>
      </w:r>
      <w:r w:rsidR="2BC64416" w:rsidRPr="00C03235">
        <w:t>a polución</w:t>
      </w:r>
      <w:r w:rsidR="00832160" w:rsidRPr="00C03235">
        <w:t xml:space="preserve">, </w:t>
      </w:r>
      <w:r w:rsidRPr="00C03235">
        <w:t xml:space="preserve">este </w:t>
      </w:r>
      <w:r w:rsidR="2BC64416" w:rsidRPr="00C03235">
        <w:t>se tiene en cuenta dentro de la eficiencia del sistema</w:t>
      </w:r>
      <w:r w:rsidR="002D0B67" w:rsidRPr="00C03235">
        <w:t xml:space="preserve"> utilizada para determinar el potencial de generación</w:t>
      </w:r>
      <w:r w:rsidR="2BC64416" w:rsidRPr="00C03235">
        <w:t xml:space="preserve">, </w:t>
      </w:r>
      <w:r w:rsidR="001150F0" w:rsidRPr="00C03235">
        <w:t xml:space="preserve">eficiencia que </w:t>
      </w:r>
      <w:r w:rsidR="2BC64416" w:rsidRPr="00C03235">
        <w:t>ha sido</w:t>
      </w:r>
      <w:r w:rsidR="00473309" w:rsidRPr="00C03235">
        <w:t xml:space="preserve"> un parámetro</w:t>
      </w:r>
      <w:r w:rsidR="2BC64416" w:rsidRPr="00C03235">
        <w:t xml:space="preserve"> estándar en las revisiones de solicitudes tarifarias para </w:t>
      </w:r>
      <w:r w:rsidR="2BC64416" w:rsidRPr="00C03235">
        <w:lastRenderedPageBreak/>
        <w:t xml:space="preserve">generación </w:t>
      </w:r>
      <w:r w:rsidR="30ED3E89" w:rsidRPr="00C03235">
        <w:t xml:space="preserve">solar fotovoltaica </w:t>
      </w:r>
      <w:r w:rsidR="00CF230F" w:rsidRPr="00C03235">
        <w:t>y</w:t>
      </w:r>
      <w:r w:rsidR="00901E79" w:rsidRPr="00C03235">
        <w:t xml:space="preserve"> </w:t>
      </w:r>
      <w:r w:rsidR="00333031" w:rsidRPr="00C03235">
        <w:t xml:space="preserve">de </w:t>
      </w:r>
      <w:r w:rsidR="2BC64416" w:rsidRPr="00C03235">
        <w:t>almacenamiento que ha atendido</w:t>
      </w:r>
      <w:r w:rsidR="00333031" w:rsidRPr="00C03235">
        <w:t xml:space="preserve"> esta Comisión</w:t>
      </w:r>
      <w:r w:rsidR="2BC64416" w:rsidRPr="00C03235">
        <w:t xml:space="preserve">. </w:t>
      </w:r>
      <w:r w:rsidR="26FB9D93" w:rsidRPr="00C03235">
        <w:t>De igual manera, s</w:t>
      </w:r>
      <w:r w:rsidR="2BC64416" w:rsidRPr="00C03235">
        <w:t>e está revisando en la propuesta de</w:t>
      </w:r>
      <w:r w:rsidR="66044AB0" w:rsidRPr="00C03235">
        <w:t>l</w:t>
      </w:r>
      <w:r w:rsidR="2BC64416" w:rsidRPr="00C03235">
        <w:t xml:space="preserve"> nuevo marco tarifario de ZNI para usuarios atendidos mediante redes</w:t>
      </w:r>
      <w:r w:rsidR="7AFD1661" w:rsidRPr="00C03235">
        <w:t>,</w:t>
      </w:r>
      <w:r w:rsidR="2BC64416" w:rsidRPr="00C03235">
        <w:t xml:space="preserve"> el posible efecto de la temperatura en la eficiencia </w:t>
      </w:r>
      <w:r w:rsidR="004B3630" w:rsidRPr="00C03235">
        <w:t xml:space="preserve">y operación </w:t>
      </w:r>
      <w:r w:rsidR="2BC64416" w:rsidRPr="00C03235">
        <w:t>de los sistemas</w:t>
      </w:r>
      <w:r w:rsidR="004B3630" w:rsidRPr="00C03235">
        <w:t>, particularmente en los de generación solar fotovoltaica</w:t>
      </w:r>
      <w:r w:rsidR="2BC64416" w:rsidRPr="00C03235">
        <w:t>.</w:t>
      </w:r>
    </w:p>
    <w:p w14:paraId="2C6ACD70" w14:textId="77777777" w:rsidR="00FE6ACB" w:rsidRPr="00C03235" w:rsidRDefault="00FE6ACB" w:rsidP="0042443F">
      <w:pPr>
        <w:ind w:left="12" w:firstLine="12"/>
        <w:jc w:val="both"/>
      </w:pPr>
    </w:p>
    <w:p w14:paraId="324AAA56" w14:textId="7B60DAC6" w:rsidR="00A17144" w:rsidRPr="00C03235" w:rsidRDefault="3F18E2A7" w:rsidP="0042443F">
      <w:pPr>
        <w:ind w:left="12" w:firstLine="12"/>
        <w:jc w:val="both"/>
      </w:pPr>
      <w:r w:rsidRPr="00C03235">
        <w:t>Por otr</w:t>
      </w:r>
      <w:r w:rsidR="3F14600A" w:rsidRPr="00C03235">
        <w:t>a</w:t>
      </w:r>
      <w:r w:rsidRPr="00C03235">
        <w:t xml:space="preserve"> parte, los efectos de la salinidad</w:t>
      </w:r>
      <w:r w:rsidR="00376618" w:rsidRPr="00C03235">
        <w:t>,</w:t>
      </w:r>
      <w:r w:rsidRPr="00C03235">
        <w:t xml:space="preserve"> en el marco tarifario vigente</w:t>
      </w:r>
      <w:r w:rsidR="00376618" w:rsidRPr="00C03235">
        <w:t>,</w:t>
      </w:r>
      <w:r w:rsidRPr="00C03235">
        <w:t xml:space="preserve"> solo se reconocen en el cargo de distribución de energía eléctrica</w:t>
      </w:r>
      <w:r w:rsidR="00F40B4E" w:rsidRPr="00C03235">
        <w:t xml:space="preserve"> y su inclusión</w:t>
      </w:r>
      <w:r w:rsidR="00526F6C" w:rsidRPr="00C03235">
        <w:t xml:space="preserve"> para la actividad de generación se encuentra en estudio</w:t>
      </w:r>
      <w:r w:rsidR="00E66E06" w:rsidRPr="00C03235">
        <w:t xml:space="preserve"> para el muevo marco tarifario</w:t>
      </w:r>
      <w:r w:rsidR="00CE4718" w:rsidRPr="00C03235">
        <w:t xml:space="preserve"> de ZNI para usuarios atendidos mediante redes</w:t>
      </w:r>
      <w:r w:rsidRPr="00C03235">
        <w:t>.</w:t>
      </w:r>
    </w:p>
    <w:p w14:paraId="37D12373" w14:textId="77777777" w:rsidR="001E1EB4" w:rsidRPr="00C03235" w:rsidRDefault="001E1EB4" w:rsidP="0042443F">
      <w:pPr>
        <w:ind w:left="12" w:firstLine="12"/>
        <w:jc w:val="both"/>
      </w:pPr>
    </w:p>
    <w:p w14:paraId="27547AF4" w14:textId="39764366" w:rsidR="001E1EB4" w:rsidRPr="00C03235" w:rsidRDefault="43476025" w:rsidP="00CE4718">
      <w:pPr>
        <w:spacing w:line="259" w:lineRule="auto"/>
        <w:ind w:left="12" w:firstLine="12"/>
        <w:jc w:val="both"/>
      </w:pPr>
      <w:r w:rsidRPr="00C03235">
        <w:t xml:space="preserve">Las condiciones de operación </w:t>
      </w:r>
      <w:r w:rsidR="53D34875" w:rsidRPr="00C03235">
        <w:t>propias de</w:t>
      </w:r>
      <w:r w:rsidR="00440CAE" w:rsidRPr="00C03235">
        <w:t xml:space="preserve">l </w:t>
      </w:r>
      <w:r w:rsidR="53D34875" w:rsidRPr="00C03235">
        <w:t>mercado de Nazareth y Puerto Estrella</w:t>
      </w:r>
      <w:r w:rsidR="1E126C66" w:rsidRPr="00C03235">
        <w:t>,</w:t>
      </w:r>
      <w:r w:rsidR="713A38F3" w:rsidRPr="00C03235">
        <w:t xml:space="preserve"> como la radiación y el costo de transporte e instalación, </w:t>
      </w:r>
      <w:r w:rsidR="578C1EA8" w:rsidRPr="00C03235">
        <w:t xml:space="preserve">fueron tenidos en cuenta </w:t>
      </w:r>
      <w:r w:rsidR="0550F7D4" w:rsidRPr="00C03235">
        <w:t xml:space="preserve">para el </w:t>
      </w:r>
      <w:r w:rsidR="3BD652EA" w:rsidRPr="00C03235">
        <w:t>cálculo</w:t>
      </w:r>
      <w:r w:rsidR="1C3D2649" w:rsidRPr="00C03235">
        <w:t xml:space="preserve"> del cargo de generación, conforme</w:t>
      </w:r>
      <w:r w:rsidR="0550F7D4" w:rsidRPr="00C03235">
        <w:t xml:space="preserve"> </w:t>
      </w:r>
      <w:r w:rsidR="3BD652EA" w:rsidRPr="00C03235">
        <w:t xml:space="preserve">con la metodología basada en la </w:t>
      </w:r>
      <w:r w:rsidR="02E8C97E" w:rsidRPr="00C03235">
        <w:t>fórmula de costos</w:t>
      </w:r>
      <w:r w:rsidR="7C0A68E8" w:rsidRPr="00C03235">
        <w:t xml:space="preserve"> descrita previamente</w:t>
      </w:r>
      <w:r w:rsidR="02E8C97E" w:rsidRPr="00C03235">
        <w:t>.</w:t>
      </w:r>
    </w:p>
    <w:p w14:paraId="08585F50" w14:textId="77777777" w:rsidR="00CF5294" w:rsidRPr="00C03235" w:rsidRDefault="00CF5294" w:rsidP="00CE4718">
      <w:pPr>
        <w:spacing w:line="259" w:lineRule="auto"/>
        <w:ind w:left="12" w:firstLine="12"/>
        <w:jc w:val="both"/>
      </w:pPr>
    </w:p>
    <w:p w14:paraId="42EF5354" w14:textId="47D1B5DB" w:rsidR="006414DA" w:rsidRPr="00AA2407" w:rsidRDefault="002160C0" w:rsidP="00AA2407">
      <w:pPr>
        <w:pStyle w:val="Prrafodelista"/>
        <w:numPr>
          <w:ilvl w:val="2"/>
          <w:numId w:val="16"/>
        </w:numPr>
        <w:tabs>
          <w:tab w:val="left" w:pos="1134"/>
        </w:tabs>
        <w:jc w:val="both"/>
        <w:rPr>
          <w:b/>
          <w:bCs/>
          <w:i/>
          <w:color w:val="000000" w:themeColor="text1"/>
        </w:rPr>
      </w:pPr>
      <w:r w:rsidRPr="00AA2407">
        <w:rPr>
          <w:rStyle w:val="Ttulo8Car"/>
          <w:b/>
          <w:bCs/>
          <w:color w:val="000000" w:themeColor="text1"/>
        </w:rPr>
        <w:t>La diferencia en los desplazamientos desde la cabecera municipal hasta las zonas de prestación de servicio</w:t>
      </w:r>
      <w:r w:rsidRPr="00AA2407">
        <w:rPr>
          <w:b/>
          <w:bCs/>
          <w:i/>
          <w:color w:val="000000" w:themeColor="text1"/>
        </w:rPr>
        <w:t>.</w:t>
      </w:r>
    </w:p>
    <w:p w14:paraId="16277A75" w14:textId="75757544" w:rsidR="00A90485" w:rsidRPr="00C03235" w:rsidRDefault="00A90485" w:rsidP="00394C7C">
      <w:pPr>
        <w:jc w:val="both"/>
      </w:pPr>
    </w:p>
    <w:p w14:paraId="7D86E109" w14:textId="45A2846F" w:rsidR="002837A3" w:rsidRPr="00C03235" w:rsidRDefault="00A86D84" w:rsidP="006E33EC">
      <w:pPr>
        <w:jc w:val="both"/>
      </w:pPr>
      <w:r w:rsidRPr="00C03235">
        <w:t>L</w:t>
      </w:r>
      <w:r w:rsidR="0E0D0C4E" w:rsidRPr="00C03235">
        <w:t xml:space="preserve">a </w:t>
      </w:r>
      <w:r w:rsidR="2FE25443" w:rsidRPr="00C03235">
        <w:t>s</w:t>
      </w:r>
      <w:r w:rsidR="0E0D0C4E" w:rsidRPr="00C03235">
        <w:t xml:space="preserve">olicitud </w:t>
      </w:r>
      <w:r w:rsidR="3FFF3904" w:rsidRPr="00C03235">
        <w:t xml:space="preserve">realizada por </w:t>
      </w:r>
      <w:r w:rsidR="0E0D0C4E" w:rsidRPr="00C03235">
        <w:t>el recurrente</w:t>
      </w:r>
      <w:r w:rsidRPr="00C03235">
        <w:t xml:space="preserve"> se hace en </w:t>
      </w:r>
      <w:r w:rsidR="004574CC" w:rsidRPr="00C03235">
        <w:t xml:space="preserve">el marco de la prestación del servicio </w:t>
      </w:r>
      <w:r w:rsidR="00D5337F" w:rsidRPr="00C03235">
        <w:t xml:space="preserve">para usuarios </w:t>
      </w:r>
      <w:r w:rsidR="004574CC" w:rsidRPr="00C03235">
        <w:t>atendidos mediante redes</w:t>
      </w:r>
      <w:r w:rsidR="00267F47" w:rsidRPr="00C03235">
        <w:t>. En este caso particular</w:t>
      </w:r>
      <w:r w:rsidR="42C717D9" w:rsidRPr="00C03235">
        <w:t>,</w:t>
      </w:r>
      <w:r w:rsidR="0E0D0C4E" w:rsidRPr="00C03235">
        <w:t xml:space="preserve"> s</w:t>
      </w:r>
      <w:r w:rsidR="37144A2C" w:rsidRPr="00C03235">
        <w:t xml:space="preserve">e está decidiendo </w:t>
      </w:r>
      <w:r w:rsidR="00657A43" w:rsidRPr="00C03235">
        <w:t xml:space="preserve">el </w:t>
      </w:r>
      <w:r w:rsidR="37144A2C" w:rsidRPr="00C03235">
        <w:t xml:space="preserve">cargo </w:t>
      </w:r>
      <w:r w:rsidR="0E0D0C4E" w:rsidRPr="00C03235">
        <w:t>de</w:t>
      </w:r>
      <w:r w:rsidR="37144A2C" w:rsidRPr="00C03235">
        <w:t xml:space="preserve"> generación de energía </w:t>
      </w:r>
      <w:r w:rsidR="0E0D0C4E" w:rsidRPr="00C03235">
        <w:t xml:space="preserve">eléctrica </w:t>
      </w:r>
      <w:r w:rsidR="00657A43" w:rsidRPr="00C03235">
        <w:t xml:space="preserve">para </w:t>
      </w:r>
      <w:r w:rsidR="10D6A663" w:rsidRPr="00C03235">
        <w:t>el mercado de Nazareth y Puerto Estrella</w:t>
      </w:r>
      <w:r w:rsidR="00653C97" w:rsidRPr="00C03235">
        <w:t>, en el escenario de una prestación del servicio mediante redes, a trav</w:t>
      </w:r>
      <w:r w:rsidR="0044366E" w:rsidRPr="00C03235">
        <w:t xml:space="preserve">és de </w:t>
      </w:r>
      <w:r w:rsidR="0E0D0C4E" w:rsidRPr="00C03235">
        <w:t>solución</w:t>
      </w:r>
      <w:r w:rsidR="37144A2C" w:rsidRPr="00C03235">
        <w:t xml:space="preserve"> centralizada</w:t>
      </w:r>
      <w:r w:rsidR="0044366E" w:rsidRPr="00C03235">
        <w:t xml:space="preserve"> de generación</w:t>
      </w:r>
      <w:r w:rsidR="000624D7" w:rsidRPr="00C03235">
        <w:t>. E</w:t>
      </w:r>
      <w:r w:rsidR="37144A2C" w:rsidRPr="00C03235">
        <w:t>s decir</w:t>
      </w:r>
      <w:r w:rsidR="008A7C15" w:rsidRPr="00C03235">
        <w:t>,</w:t>
      </w:r>
      <w:r w:rsidR="37144A2C" w:rsidRPr="00C03235">
        <w:t xml:space="preserve"> </w:t>
      </w:r>
      <w:r w:rsidR="000624D7" w:rsidRPr="00C03235">
        <w:t xml:space="preserve">se suministra energía </w:t>
      </w:r>
      <w:r w:rsidR="00C54EBC" w:rsidRPr="00C03235">
        <w:t xml:space="preserve">a usuarios </w:t>
      </w:r>
      <w:r w:rsidR="51564283" w:rsidRPr="00C03235">
        <w:t>de un</w:t>
      </w:r>
      <w:r w:rsidR="00C54EBC" w:rsidRPr="00C03235">
        <w:t>a</w:t>
      </w:r>
      <w:r w:rsidR="51564283" w:rsidRPr="00C03235">
        <w:t xml:space="preserve"> </w:t>
      </w:r>
      <w:r w:rsidR="00C54EBC" w:rsidRPr="00C03235">
        <w:t>población</w:t>
      </w:r>
      <w:r w:rsidR="51564283" w:rsidRPr="00C03235">
        <w:t xml:space="preserve">, </w:t>
      </w:r>
      <w:r w:rsidR="00C54EBC" w:rsidRPr="00C03235">
        <w:t xml:space="preserve">con un grado </w:t>
      </w:r>
      <w:r w:rsidR="00252C42" w:rsidRPr="00C03235">
        <w:t>bajo de dispersión de usuarios, al estar estos ubicados</w:t>
      </w:r>
      <w:r w:rsidR="000A71EF" w:rsidRPr="00C03235">
        <w:t xml:space="preserve"> </w:t>
      </w:r>
      <w:r w:rsidR="37144A2C" w:rsidRPr="00C03235">
        <w:t>mayor</w:t>
      </w:r>
      <w:r w:rsidR="000A71EF" w:rsidRPr="00C03235">
        <w:t xml:space="preserve">itariamente en una </w:t>
      </w:r>
      <w:r w:rsidR="37144A2C" w:rsidRPr="00C03235">
        <w:t>zona urbana</w:t>
      </w:r>
      <w:r w:rsidR="000A71EF" w:rsidRPr="00C03235">
        <w:t>, sin importar lo grande o pequeña que sea</w:t>
      </w:r>
      <w:r w:rsidR="2B93C917" w:rsidRPr="00C03235">
        <w:t>. En ese sentido</w:t>
      </w:r>
      <w:r w:rsidR="00687F65">
        <w:t>,</w:t>
      </w:r>
      <w:r w:rsidR="37144A2C" w:rsidRPr="00C03235">
        <w:t xml:space="preserve"> no </w:t>
      </w:r>
      <w:r w:rsidR="00687F65">
        <w:t xml:space="preserve">se </w:t>
      </w:r>
      <w:r w:rsidR="00B92427" w:rsidRPr="00C03235">
        <w:t>evidencia</w:t>
      </w:r>
      <w:r w:rsidR="00D9188F" w:rsidRPr="00C03235">
        <w:t xml:space="preserve"> que haga parte de la prestación del servicio </w:t>
      </w:r>
      <w:r w:rsidR="00B92427" w:rsidRPr="00C03235">
        <w:t xml:space="preserve">el desplazamiento </w:t>
      </w:r>
      <w:r w:rsidR="0006097A" w:rsidRPr="00C03235">
        <w:t xml:space="preserve">de </w:t>
      </w:r>
      <w:r w:rsidR="00D9188F" w:rsidRPr="00C03235">
        <w:t>técnicos</w:t>
      </w:r>
      <w:r w:rsidR="00521451" w:rsidRPr="00C03235">
        <w:t xml:space="preserve"> u </w:t>
      </w:r>
      <w:r w:rsidR="00C223B7" w:rsidRPr="00C03235">
        <w:t>opera</w:t>
      </w:r>
      <w:r w:rsidR="003E6B45" w:rsidRPr="00C03235">
        <w:t xml:space="preserve">rios desde </w:t>
      </w:r>
      <w:r w:rsidR="007E6713" w:rsidRPr="00C03235">
        <w:t xml:space="preserve">la cabecera municipal </w:t>
      </w:r>
      <w:r w:rsidR="00521451" w:rsidRPr="00C03235">
        <w:t xml:space="preserve">hacia el sitio de prestación del servicio, diferente a lo que sucede cuando la </w:t>
      </w:r>
      <w:r w:rsidR="005B29A8" w:rsidRPr="00C03235">
        <w:t>prestación del servicio se hace mediante soluciones individuales</w:t>
      </w:r>
      <w:r w:rsidR="37144A2C" w:rsidRPr="00C03235">
        <w:t>.</w:t>
      </w:r>
    </w:p>
    <w:p w14:paraId="75F3F088" w14:textId="77777777" w:rsidR="00205E51" w:rsidRPr="00C03235" w:rsidRDefault="00205E51" w:rsidP="00394C7C">
      <w:pPr>
        <w:jc w:val="both"/>
      </w:pPr>
    </w:p>
    <w:p w14:paraId="1F1E94A4" w14:textId="33412910" w:rsidR="00205E51" w:rsidRPr="00C03235" w:rsidRDefault="00205E51" w:rsidP="00AA2407">
      <w:pPr>
        <w:pStyle w:val="Prrafodelista"/>
        <w:numPr>
          <w:ilvl w:val="2"/>
          <w:numId w:val="16"/>
        </w:numPr>
        <w:tabs>
          <w:tab w:val="left" w:pos="1134"/>
        </w:tabs>
        <w:jc w:val="both"/>
        <w:rPr>
          <w:b/>
          <w:bCs/>
          <w:iCs/>
          <w:szCs w:val="24"/>
        </w:rPr>
      </w:pPr>
      <w:r w:rsidRPr="00C03235">
        <w:rPr>
          <w:b/>
          <w:bCs/>
          <w:i/>
          <w:iCs/>
          <w:sz w:val="24"/>
          <w:szCs w:val="24"/>
        </w:rPr>
        <w:t>Helios no conoció los estudios utilizados por la CREG con los que se resolvió el cargo de Unguía</w:t>
      </w:r>
    </w:p>
    <w:p w14:paraId="61197BA5" w14:textId="77777777" w:rsidR="00205E51" w:rsidRPr="00C03235" w:rsidRDefault="00205E51" w:rsidP="00205E51">
      <w:pPr>
        <w:jc w:val="both"/>
      </w:pPr>
    </w:p>
    <w:p w14:paraId="7F275330" w14:textId="558FD8AF" w:rsidR="00161C8C" w:rsidRPr="00C03235" w:rsidRDefault="5E2C3117" w:rsidP="004C3901">
      <w:pPr>
        <w:spacing w:line="259" w:lineRule="auto"/>
        <w:jc w:val="both"/>
      </w:pPr>
      <w:r w:rsidRPr="00C03235">
        <w:t>D</w:t>
      </w:r>
      <w:r w:rsidR="20452865" w:rsidRPr="00C03235">
        <w:t>ebe recordarse que</w:t>
      </w:r>
      <w:r w:rsidR="6624FDB0" w:rsidRPr="00C03235">
        <w:t>,</w:t>
      </w:r>
      <w:r w:rsidR="20452865" w:rsidRPr="00C03235">
        <w:t xml:space="preserve"> teniendo en cuenta lo señalado por </w:t>
      </w:r>
      <w:r w:rsidR="6CC546A7" w:rsidRPr="00C03235">
        <w:t>HELIOS</w:t>
      </w:r>
      <w:r w:rsidR="37758BF6" w:rsidRPr="00C03235">
        <w:t xml:space="preserve"> en el recurso de reposición, </w:t>
      </w:r>
      <w:r w:rsidR="4D01A721" w:rsidRPr="00C03235">
        <w:t>la Comisión</w:t>
      </w:r>
      <w:r w:rsidR="37758BF6" w:rsidRPr="00C03235">
        <w:t xml:space="preserve"> </w:t>
      </w:r>
      <w:r w:rsidR="327111E0" w:rsidRPr="00C03235">
        <w:t xml:space="preserve">mediante Auto de Pruebas 0000107 del </w:t>
      </w:r>
      <w:r w:rsidR="08E9BA11" w:rsidRPr="00C03235">
        <w:t xml:space="preserve">17 de agosto de </w:t>
      </w:r>
      <w:r w:rsidR="327111E0" w:rsidRPr="00C03235">
        <w:t>2023</w:t>
      </w:r>
      <w:r w:rsidR="1A106C9C" w:rsidRPr="00C03235">
        <w:t>, incorporó al</w:t>
      </w:r>
      <w:r w:rsidR="299541D6" w:rsidRPr="00C03235">
        <w:t xml:space="preserve"> expediente</w:t>
      </w:r>
      <w:r w:rsidR="63D60150" w:rsidRPr="00C03235">
        <w:t xml:space="preserve"> administrativo</w:t>
      </w:r>
      <w:r w:rsidR="299541D6" w:rsidRPr="00C03235">
        <w:t xml:space="preserve"> </w:t>
      </w:r>
      <w:r w:rsidR="08E9BA11" w:rsidRPr="00C03235">
        <w:t xml:space="preserve">el </w:t>
      </w:r>
      <w:r w:rsidR="299541D6" w:rsidRPr="00C03235">
        <w:t>Documento</w:t>
      </w:r>
      <w:r w:rsidR="2C289C24" w:rsidRPr="00C03235">
        <w:t xml:space="preserve"> </w:t>
      </w:r>
      <w:r w:rsidR="00E5A2CC" w:rsidRPr="00C03235">
        <w:t>CREG 092 del 10 de octubr</w:t>
      </w:r>
      <w:r w:rsidR="63D60150" w:rsidRPr="00C03235">
        <w:t>e</w:t>
      </w:r>
      <w:r w:rsidR="00E5A2CC" w:rsidRPr="00C03235">
        <w:t xml:space="preserve"> del 2019</w:t>
      </w:r>
      <w:r w:rsidR="575E2A0F" w:rsidRPr="00C03235">
        <w:t>,</w:t>
      </w:r>
      <w:r w:rsidR="2C289C24" w:rsidRPr="00C03235">
        <w:t xml:space="preserve"> </w:t>
      </w:r>
      <w:r w:rsidR="575E2A0F" w:rsidRPr="00C03235">
        <w:t>el cual contiene toda la información relacionada con el cálculo del cargo para el mercado de Unguía y los corregimientos del Gilgal, Santa María y Tanela</w:t>
      </w:r>
      <w:r w:rsidR="3E11F5B5" w:rsidRPr="00C03235">
        <w:t xml:space="preserve">. </w:t>
      </w:r>
    </w:p>
    <w:p w14:paraId="156FB0D4" w14:textId="496EF0B0" w:rsidR="00161C8C" w:rsidRPr="00C03235" w:rsidRDefault="00161C8C" w:rsidP="79E27E0E">
      <w:pPr>
        <w:spacing w:line="259" w:lineRule="auto"/>
        <w:jc w:val="both"/>
      </w:pPr>
    </w:p>
    <w:p w14:paraId="08E7FFE1" w14:textId="58D11B96" w:rsidR="00161C8C" w:rsidRPr="00C03235" w:rsidRDefault="3E11F5B5" w:rsidP="79E27E0E">
      <w:pPr>
        <w:spacing w:line="259" w:lineRule="auto"/>
        <w:jc w:val="both"/>
      </w:pPr>
      <w:r w:rsidRPr="00C03235">
        <w:t xml:space="preserve">De igual manera, </w:t>
      </w:r>
      <w:r w:rsidR="61FD28B4" w:rsidRPr="00C03235">
        <w:t xml:space="preserve">la CREG </w:t>
      </w:r>
      <w:r w:rsidR="04B6AFE1" w:rsidRPr="00C03235">
        <w:t>corrió</w:t>
      </w:r>
      <w:r w:rsidR="08E9BA11" w:rsidRPr="00C03235">
        <w:t xml:space="preserve"> </w:t>
      </w:r>
      <w:r w:rsidR="74B9CB35" w:rsidRPr="00C03235">
        <w:t>traslado</w:t>
      </w:r>
      <w:r w:rsidR="6FEC2B86" w:rsidRPr="00C03235">
        <w:t xml:space="preserve"> a HELIOS </w:t>
      </w:r>
      <w:r w:rsidR="74B9CB35" w:rsidRPr="00C03235">
        <w:t>de dicha prueba</w:t>
      </w:r>
      <w:r w:rsidR="09303F3D" w:rsidRPr="00C03235">
        <w:t xml:space="preserve">, </w:t>
      </w:r>
      <w:r w:rsidR="002F3191" w:rsidRPr="00C03235">
        <w:t xml:space="preserve">mediante comunicación de radicado CREG S2023005675 del 29 de noviembre del 2023, </w:t>
      </w:r>
      <w:r w:rsidR="74B9CB35" w:rsidRPr="00C03235">
        <w:t xml:space="preserve">con la finalidad de que éste </w:t>
      </w:r>
      <w:r w:rsidR="002E0F61" w:rsidRPr="00C03235">
        <w:t xml:space="preserve">último </w:t>
      </w:r>
      <w:r w:rsidR="178E0CA4" w:rsidRPr="00C03235">
        <w:t xml:space="preserve">pudiera verificar y revisar la información </w:t>
      </w:r>
      <w:r w:rsidR="00444A0D" w:rsidRPr="00C03235">
        <w:t xml:space="preserve">de referencia a partir de la </w:t>
      </w:r>
      <w:r w:rsidR="178E0CA4" w:rsidRPr="00C03235">
        <w:t>cual se determinan los cargos máximos de generación de energía eléctrica para el mercado relevante de Nazareth y Puerto Estrella</w:t>
      </w:r>
      <w:r w:rsidR="00444A0D" w:rsidRPr="00C03235">
        <w:t xml:space="preserve">, Resolución CREG </w:t>
      </w:r>
      <w:r w:rsidR="00FD0596" w:rsidRPr="00C03235">
        <w:t>501 004 de 2023</w:t>
      </w:r>
      <w:r w:rsidR="333A38D3" w:rsidRPr="00C03235">
        <w:t>.</w:t>
      </w:r>
    </w:p>
    <w:p w14:paraId="199C5F72" w14:textId="77777777" w:rsidR="009105B8" w:rsidRPr="00C03235" w:rsidRDefault="009105B8" w:rsidP="00E37CB9">
      <w:pPr>
        <w:jc w:val="both"/>
      </w:pPr>
    </w:p>
    <w:p w14:paraId="536E33D1" w14:textId="000A20AE" w:rsidR="00932C05" w:rsidRPr="00C03235" w:rsidRDefault="00372E8B" w:rsidP="00AA2407">
      <w:pPr>
        <w:pStyle w:val="Prrafodelista"/>
        <w:numPr>
          <w:ilvl w:val="2"/>
          <w:numId w:val="16"/>
        </w:numPr>
        <w:tabs>
          <w:tab w:val="left" w:pos="1134"/>
        </w:tabs>
        <w:jc w:val="both"/>
        <w:rPr>
          <w:b/>
          <w:bCs/>
          <w:i/>
          <w:iCs/>
        </w:rPr>
      </w:pPr>
      <w:r w:rsidRPr="00C03235">
        <w:rPr>
          <w:b/>
          <w:bCs/>
          <w:i/>
          <w:iCs/>
          <w:sz w:val="24"/>
          <w:szCs w:val="24"/>
        </w:rPr>
        <w:lastRenderedPageBreak/>
        <w:t>En Ungía se producen 400 MWh/mes mientras que en Nazareth 55 MWh/mes. Las economías de escala en estos mercados no son comparables.</w:t>
      </w:r>
      <w:r w:rsidR="00CB7582" w:rsidRPr="00C03235">
        <w:rPr>
          <w:sz w:val="24"/>
          <w:szCs w:val="24"/>
        </w:rPr>
        <w:t xml:space="preserve"> </w:t>
      </w:r>
      <w:r w:rsidR="00CB7582" w:rsidRPr="00C03235">
        <w:rPr>
          <w:b/>
          <w:bCs/>
          <w:i/>
          <w:iCs/>
          <w:sz w:val="24"/>
          <w:szCs w:val="24"/>
        </w:rPr>
        <w:t>Menores economías de escala afectan costos de logística, MO, combustible, herramientas y equipos asociados a la prestación del servicio de energía.</w:t>
      </w:r>
    </w:p>
    <w:p w14:paraId="7A0CA1CC" w14:textId="77777777" w:rsidR="00372E8B" w:rsidRPr="00C03235" w:rsidRDefault="00372E8B" w:rsidP="00372E8B">
      <w:pPr>
        <w:jc w:val="both"/>
        <w:rPr>
          <w:i/>
          <w:iCs/>
        </w:rPr>
      </w:pPr>
    </w:p>
    <w:p w14:paraId="28F5F1EC" w14:textId="5BA27751" w:rsidR="00FD4FD1" w:rsidRPr="00C03235" w:rsidRDefault="6CC18A63" w:rsidP="00C41465">
      <w:pPr>
        <w:jc w:val="both"/>
      </w:pPr>
      <w:r w:rsidRPr="00C03235">
        <w:t>Los costos de generación fueron determinados a partir de las características técnicas del sistema de referencia</w:t>
      </w:r>
      <w:r w:rsidR="00E90494" w:rsidRPr="00C03235">
        <w:t>,</w:t>
      </w:r>
      <w:r w:rsidR="004F547A" w:rsidRPr="00C03235">
        <w:t xml:space="preserve"> </w:t>
      </w:r>
      <w:r w:rsidR="008442F1" w:rsidRPr="00C03235">
        <w:t xml:space="preserve">(e.g. potencia pico) </w:t>
      </w:r>
      <w:r w:rsidR="008442F1" w:rsidRPr="00C03235">
        <w:rPr>
          <w:b/>
          <w:bCs/>
          <w:u w:val="single"/>
        </w:rPr>
        <w:t>y su potencial de generación de energía</w:t>
      </w:r>
      <w:r w:rsidR="006D438D" w:rsidRPr="00C03235">
        <w:rPr>
          <w:b/>
          <w:bCs/>
          <w:u w:val="single"/>
        </w:rPr>
        <w:t xml:space="preserve"> eléctrica</w:t>
      </w:r>
      <w:r w:rsidR="00AA1D7F" w:rsidRPr="00C03235">
        <w:t>.</w:t>
      </w:r>
      <w:r w:rsidR="007B56BD" w:rsidRPr="00C03235">
        <w:t xml:space="preserve"> </w:t>
      </w:r>
      <w:r w:rsidR="00AA1D7F" w:rsidRPr="00C03235">
        <w:t xml:space="preserve">En </w:t>
      </w:r>
      <w:r w:rsidR="004F547A" w:rsidRPr="00C03235">
        <w:t xml:space="preserve">este caso </w:t>
      </w:r>
      <w:r w:rsidR="00F17A77" w:rsidRPr="00C03235">
        <w:t>e</w:t>
      </w:r>
      <w:r w:rsidR="00AA1D7F" w:rsidRPr="00C03235">
        <w:t>l</w:t>
      </w:r>
      <w:r w:rsidR="00F17A77" w:rsidRPr="00C03235">
        <w:t xml:space="preserve"> sistema de referencia </w:t>
      </w:r>
      <w:r w:rsidR="004F547A" w:rsidRPr="00C03235">
        <w:t xml:space="preserve">corresponde al </w:t>
      </w:r>
      <w:r w:rsidR="000D61AF" w:rsidRPr="00C03235">
        <w:t>sistema de generación que atiente e</w:t>
      </w:r>
      <w:r w:rsidR="00F52935" w:rsidRPr="00C03235">
        <w:t>l</w:t>
      </w:r>
      <w:r w:rsidR="000D61AF" w:rsidRPr="00C03235">
        <w:t xml:space="preserve"> mercado de Unguía y </w:t>
      </w:r>
      <w:r w:rsidR="000304DC" w:rsidRPr="00C03235">
        <w:t>los corregimientos del Gilgal, Santa María y Tanela</w:t>
      </w:r>
      <w:r w:rsidR="008442F1" w:rsidRPr="00C03235">
        <w:t>.</w:t>
      </w:r>
    </w:p>
    <w:p w14:paraId="2D3CFF92" w14:textId="77777777" w:rsidR="00FD4FD1" w:rsidRPr="00C03235" w:rsidRDefault="00FD4FD1" w:rsidP="00C41465">
      <w:pPr>
        <w:jc w:val="both"/>
      </w:pPr>
    </w:p>
    <w:p w14:paraId="645531CD" w14:textId="3DC0273F" w:rsidR="008442F1" w:rsidRPr="00C03235" w:rsidRDefault="00203D81" w:rsidP="00C41465">
      <w:pPr>
        <w:jc w:val="both"/>
      </w:pPr>
      <w:r w:rsidRPr="00C03235">
        <w:t>D</w:t>
      </w:r>
      <w:r w:rsidR="00FD4FD1" w:rsidRPr="00C03235">
        <w:t>etermina</w:t>
      </w:r>
      <w:r w:rsidRPr="00C03235">
        <w:t xml:space="preserve">r </w:t>
      </w:r>
      <w:r w:rsidR="00FD4FD1" w:rsidRPr="00C03235">
        <w:t xml:space="preserve">el cargo de generación a </w:t>
      </w:r>
      <w:r w:rsidR="6CC18A63" w:rsidRPr="00C03235">
        <w:t xml:space="preserve">partir de la demanda del </w:t>
      </w:r>
      <w:r w:rsidR="00FD4FD1" w:rsidRPr="00C03235">
        <w:t xml:space="preserve">mismo </w:t>
      </w:r>
      <w:r w:rsidR="6CC18A63" w:rsidRPr="00C03235">
        <w:t xml:space="preserve">mercado puede resultar en </w:t>
      </w:r>
      <w:r w:rsidR="00AF4FC6" w:rsidRPr="00C03235">
        <w:t xml:space="preserve">un </w:t>
      </w:r>
      <w:r w:rsidR="6CC18A63" w:rsidRPr="00C03235">
        <w:t xml:space="preserve">cargo ineficiente </w:t>
      </w:r>
      <w:r w:rsidR="00AF4FC6" w:rsidRPr="00C03235">
        <w:t xml:space="preserve">en </w:t>
      </w:r>
      <w:r w:rsidR="00360DA5" w:rsidRPr="00C03235">
        <w:t xml:space="preserve">escenarios en donde la </w:t>
      </w:r>
      <w:r w:rsidR="009148E3" w:rsidRPr="00C03235">
        <w:t>capacidad d</w:t>
      </w:r>
      <w:r w:rsidR="00AF4FC6" w:rsidRPr="00C03235">
        <w:t xml:space="preserve">el </w:t>
      </w:r>
      <w:r w:rsidR="6CC18A63" w:rsidRPr="00C03235">
        <w:t>sistema</w:t>
      </w:r>
      <w:r w:rsidR="00AF4FC6" w:rsidRPr="00C03235">
        <w:t xml:space="preserve"> </w:t>
      </w:r>
      <w:r w:rsidR="6CC18A63" w:rsidRPr="00C03235">
        <w:t xml:space="preserve">que se </w:t>
      </w:r>
      <w:r w:rsidR="00D475A0" w:rsidRPr="00C03235">
        <w:t xml:space="preserve">utilice </w:t>
      </w:r>
      <w:r w:rsidR="6CC18A63" w:rsidRPr="00C03235">
        <w:t>como referente</w:t>
      </w:r>
      <w:r w:rsidR="005E7E9D">
        <w:t>,</w:t>
      </w:r>
      <w:r w:rsidR="6CC18A63" w:rsidRPr="00C03235">
        <w:t xml:space="preserve"> </w:t>
      </w:r>
      <w:r w:rsidR="009148E3" w:rsidRPr="00C03235">
        <w:t xml:space="preserve">desborde </w:t>
      </w:r>
      <w:r w:rsidR="0059450B" w:rsidRPr="00C03235">
        <w:t xml:space="preserve">o esté </w:t>
      </w:r>
      <w:r w:rsidR="6CC18A63" w:rsidRPr="00C03235">
        <w:t>sobredimensionad</w:t>
      </w:r>
      <w:r w:rsidR="000378F2" w:rsidRPr="00C03235">
        <w:t>a</w:t>
      </w:r>
      <w:r w:rsidR="6CC18A63" w:rsidRPr="00C03235">
        <w:t xml:space="preserve"> </w:t>
      </w:r>
      <w:r w:rsidR="00DA31C3" w:rsidRPr="00C03235">
        <w:t>para la realidad d</w:t>
      </w:r>
      <w:r w:rsidR="6CC18A63" w:rsidRPr="00C03235">
        <w:t>el mercado</w:t>
      </w:r>
      <w:r w:rsidR="00DA31C3" w:rsidRPr="00C03235">
        <w:t xml:space="preserve">. </w:t>
      </w:r>
      <w:r w:rsidR="004132D8" w:rsidRPr="00C03235">
        <w:t>De darse esta situación</w:t>
      </w:r>
      <w:r w:rsidR="00EF44C1" w:rsidRPr="00C03235">
        <w:t xml:space="preserve">, </w:t>
      </w:r>
      <w:r w:rsidR="002A2482" w:rsidRPr="00C03235">
        <w:t xml:space="preserve">el cargo </w:t>
      </w:r>
      <w:r w:rsidR="00EF44C1" w:rsidRPr="00C03235">
        <w:t xml:space="preserve">permitiría el traslado de costos ineficientes a los usuarios toda vez que implícitamente se remuneraría una </w:t>
      </w:r>
      <w:r w:rsidR="6CC18A63" w:rsidRPr="00C03235">
        <w:t xml:space="preserve">capacidad </w:t>
      </w:r>
      <w:r w:rsidR="00EF44C1" w:rsidRPr="00C03235">
        <w:t xml:space="preserve">de generación </w:t>
      </w:r>
      <w:r w:rsidR="6CC18A63" w:rsidRPr="00C03235">
        <w:t>ociosa.</w:t>
      </w:r>
    </w:p>
    <w:p w14:paraId="67A4AE5B" w14:textId="73D9A863" w:rsidR="00CA5E2A" w:rsidRPr="00C03235" w:rsidRDefault="00CA5E2A" w:rsidP="00372E8B">
      <w:pPr>
        <w:jc w:val="both"/>
      </w:pPr>
    </w:p>
    <w:p w14:paraId="6A94C1FF" w14:textId="5AAD74D8" w:rsidR="00EF44C1" w:rsidRPr="00C03235" w:rsidRDefault="0010561D" w:rsidP="00EF44C1">
      <w:pPr>
        <w:jc w:val="both"/>
      </w:pPr>
      <w:r w:rsidRPr="00C03235">
        <w:t xml:space="preserve">HELIOS </w:t>
      </w:r>
      <w:r w:rsidR="00AA2407">
        <w:t>señala</w:t>
      </w:r>
      <w:r w:rsidRPr="00C03235">
        <w:t xml:space="preserve"> que se </w:t>
      </w:r>
      <w:r w:rsidR="00757A75" w:rsidRPr="00C03235">
        <w:t>consider</w:t>
      </w:r>
      <w:r w:rsidR="00854003" w:rsidRPr="00C03235">
        <w:t>ó</w:t>
      </w:r>
      <w:r w:rsidR="00E95965" w:rsidRPr="00C03235">
        <w:t xml:space="preserve"> inapropiado el ejercicio desarrollado por la </w:t>
      </w:r>
      <w:r w:rsidR="00DD5412" w:rsidRPr="00C03235">
        <w:t>Comisión al plantear las diferencias en términos de tamaños del mercado de referencia, Unguía, y la realidad del mercado de Nazareth y Puerto Estrella.</w:t>
      </w:r>
    </w:p>
    <w:p w14:paraId="1AD88C68" w14:textId="77777777" w:rsidR="00DD5412" w:rsidRPr="00C03235" w:rsidRDefault="00DD5412" w:rsidP="00EF44C1">
      <w:pPr>
        <w:jc w:val="both"/>
      </w:pPr>
    </w:p>
    <w:p w14:paraId="134F5035" w14:textId="64360719" w:rsidR="00DD5412" w:rsidRPr="00C03235" w:rsidRDefault="00DD5412" w:rsidP="00EF44C1">
      <w:pPr>
        <w:jc w:val="both"/>
      </w:pPr>
      <w:r w:rsidRPr="00C03235">
        <w:t>A continuación</w:t>
      </w:r>
      <w:r w:rsidR="005D125B" w:rsidRPr="00C03235">
        <w:t>,</w:t>
      </w:r>
      <w:r w:rsidRPr="00C03235">
        <w:t xml:space="preserve"> </w:t>
      </w:r>
      <w:r w:rsidR="00FD0268" w:rsidRPr="00C03235">
        <w:t>se presenta el comparativo en algunos de los aspectos entre estos dos mercados, suponiendo que es válida la tesis de utilizar la demanda de un mercad</w:t>
      </w:r>
      <w:r w:rsidR="005D125B" w:rsidRPr="00C03235">
        <w:t xml:space="preserve">o </w:t>
      </w:r>
      <w:r w:rsidR="000B34FB" w:rsidRPr="00C03235">
        <w:t>para determinar cargos, sin hacer un alto para verificar si la infraestructura con la que se atienden dichos mercados corresponde con su realidad.</w:t>
      </w:r>
    </w:p>
    <w:p w14:paraId="6501D57C" w14:textId="77777777" w:rsidR="00EF44C1" w:rsidRPr="00C03235" w:rsidRDefault="00EF44C1" w:rsidP="00372E8B">
      <w:pPr>
        <w:jc w:val="both"/>
      </w:pPr>
    </w:p>
    <w:p w14:paraId="212699C4" w14:textId="2B1E1F06" w:rsidR="006522D3" w:rsidRPr="00C03235" w:rsidRDefault="006522D3" w:rsidP="006522D3">
      <w:pPr>
        <w:pStyle w:val="Descripcin"/>
        <w:jc w:val="center"/>
      </w:pPr>
      <w:r w:rsidRPr="00C03235">
        <w:rPr>
          <w:b/>
          <w:bCs/>
          <w:i w:val="0"/>
          <w:iCs w:val="0"/>
          <w:color w:val="auto"/>
          <w:sz w:val="20"/>
          <w:szCs w:val="20"/>
        </w:rPr>
        <w:t xml:space="preserve">Tabla </w:t>
      </w:r>
      <w:r w:rsidRPr="00C03235">
        <w:rPr>
          <w:b/>
          <w:bCs/>
          <w:i w:val="0"/>
          <w:iCs w:val="0"/>
          <w:color w:val="auto"/>
          <w:sz w:val="20"/>
          <w:szCs w:val="20"/>
        </w:rPr>
        <w:fldChar w:fldCharType="begin"/>
      </w:r>
      <w:r w:rsidRPr="00C03235">
        <w:rPr>
          <w:b/>
          <w:bCs/>
          <w:i w:val="0"/>
          <w:iCs w:val="0"/>
          <w:color w:val="auto"/>
          <w:sz w:val="20"/>
          <w:szCs w:val="20"/>
        </w:rPr>
        <w:instrText xml:space="preserve"> SEQ Tabla \* ARABIC </w:instrText>
      </w:r>
      <w:r w:rsidRPr="00C03235">
        <w:rPr>
          <w:b/>
          <w:bCs/>
          <w:i w:val="0"/>
          <w:iCs w:val="0"/>
          <w:color w:val="auto"/>
          <w:sz w:val="20"/>
          <w:szCs w:val="20"/>
        </w:rPr>
        <w:fldChar w:fldCharType="separate"/>
      </w:r>
      <w:r w:rsidR="00AB0C09">
        <w:rPr>
          <w:b/>
          <w:bCs/>
          <w:i w:val="0"/>
          <w:iCs w:val="0"/>
          <w:noProof/>
          <w:color w:val="auto"/>
          <w:sz w:val="20"/>
          <w:szCs w:val="20"/>
        </w:rPr>
        <w:t>3</w:t>
      </w:r>
      <w:r w:rsidRPr="00C03235">
        <w:rPr>
          <w:b/>
          <w:bCs/>
          <w:i w:val="0"/>
          <w:iCs w:val="0"/>
          <w:color w:val="auto"/>
          <w:sz w:val="20"/>
          <w:szCs w:val="20"/>
        </w:rPr>
        <w:fldChar w:fldCharType="end"/>
      </w:r>
      <w:r w:rsidRPr="00C03235">
        <w:rPr>
          <w:b/>
          <w:bCs/>
          <w:i w:val="0"/>
          <w:iCs w:val="0"/>
          <w:color w:val="auto"/>
          <w:sz w:val="20"/>
          <w:szCs w:val="20"/>
        </w:rPr>
        <w:t xml:space="preserve">. Comparación de </w:t>
      </w:r>
      <w:r w:rsidR="00C67A5F" w:rsidRPr="00C03235">
        <w:rPr>
          <w:b/>
          <w:bCs/>
          <w:i w:val="0"/>
          <w:iCs w:val="0"/>
          <w:color w:val="auto"/>
          <w:sz w:val="20"/>
          <w:szCs w:val="20"/>
        </w:rPr>
        <w:t>características operativas en los mercados de Unguía y Nazareth y Puerto Estrella</w:t>
      </w:r>
      <w:r w:rsidRPr="00C03235">
        <w:rPr>
          <w:b/>
          <w:bCs/>
          <w:i w:val="0"/>
          <w:iCs w:val="0"/>
          <w:color w:val="auto"/>
          <w:sz w:val="20"/>
          <w:szCs w:val="20"/>
        </w:rPr>
        <w:t xml:space="preserve">. </w:t>
      </w:r>
      <w:r w:rsidRPr="00C03235">
        <w:rPr>
          <w:b/>
          <w:bCs/>
          <w:color w:val="000000" w:themeColor="text1"/>
        </w:rPr>
        <w:t>Fuente: Reporte del CNM (</w:t>
      </w:r>
      <w:r w:rsidR="00D4403B" w:rsidRPr="00C03235">
        <w:rPr>
          <w:b/>
          <w:bCs/>
          <w:color w:val="000000" w:themeColor="text1"/>
        </w:rPr>
        <w:t>julio</w:t>
      </w:r>
      <w:r w:rsidRPr="00C03235">
        <w:rPr>
          <w:b/>
          <w:bCs/>
          <w:color w:val="000000" w:themeColor="text1"/>
        </w:rPr>
        <w:t xml:space="preserve"> 2023)</w:t>
      </w:r>
    </w:p>
    <w:tbl>
      <w:tblPr>
        <w:tblStyle w:val="Tablaconcuadrcula"/>
        <w:tblW w:w="7371" w:type="dxa"/>
        <w:jc w:val="center"/>
        <w:tblLook w:val="0420" w:firstRow="1" w:lastRow="0" w:firstColumn="0" w:lastColumn="0" w:noHBand="0" w:noVBand="1"/>
      </w:tblPr>
      <w:tblGrid>
        <w:gridCol w:w="2433"/>
        <w:gridCol w:w="2670"/>
        <w:gridCol w:w="2268"/>
      </w:tblGrid>
      <w:tr w:rsidR="00CA5E2A" w:rsidRPr="00C03235" w14:paraId="50DEC758" w14:textId="77777777" w:rsidTr="00872AE4">
        <w:trPr>
          <w:trHeight w:val="216"/>
          <w:jc w:val="center"/>
        </w:trPr>
        <w:tc>
          <w:tcPr>
            <w:tcW w:w="2433" w:type="dxa"/>
            <w:shd w:val="clear" w:color="auto" w:fill="BFBFBF" w:themeFill="background1" w:themeFillShade="BF"/>
            <w:vAlign w:val="center"/>
            <w:hideMark/>
          </w:tcPr>
          <w:p w14:paraId="33C1CF72" w14:textId="77777777" w:rsidR="00CA5E2A" w:rsidRPr="00C03235" w:rsidRDefault="00CA5E2A" w:rsidP="00BF6B12">
            <w:pPr>
              <w:jc w:val="center"/>
            </w:pPr>
            <w:r w:rsidRPr="00C03235">
              <w:rPr>
                <w:b/>
              </w:rPr>
              <w:t>Mercado</w:t>
            </w:r>
          </w:p>
        </w:tc>
        <w:tc>
          <w:tcPr>
            <w:tcW w:w="2670" w:type="dxa"/>
            <w:shd w:val="clear" w:color="auto" w:fill="BFBFBF" w:themeFill="background1" w:themeFillShade="BF"/>
            <w:vAlign w:val="center"/>
            <w:hideMark/>
          </w:tcPr>
          <w:p w14:paraId="2D4021F4" w14:textId="77777777" w:rsidR="00CA5E2A" w:rsidRPr="00C03235" w:rsidRDefault="00CA5E2A" w:rsidP="00BF6B12">
            <w:pPr>
              <w:jc w:val="center"/>
            </w:pPr>
            <w:r w:rsidRPr="00C03235">
              <w:rPr>
                <w:b/>
              </w:rPr>
              <w:t>Unguía</w:t>
            </w:r>
          </w:p>
        </w:tc>
        <w:tc>
          <w:tcPr>
            <w:tcW w:w="2268" w:type="dxa"/>
            <w:shd w:val="clear" w:color="auto" w:fill="BFBFBF" w:themeFill="background1" w:themeFillShade="BF"/>
            <w:vAlign w:val="center"/>
            <w:hideMark/>
          </w:tcPr>
          <w:p w14:paraId="106369CE" w14:textId="77777777" w:rsidR="00CA5E2A" w:rsidRPr="00C03235" w:rsidRDefault="00CA5E2A" w:rsidP="00BF6B12">
            <w:pPr>
              <w:jc w:val="center"/>
            </w:pPr>
            <w:r w:rsidRPr="00C03235">
              <w:rPr>
                <w:b/>
              </w:rPr>
              <w:t>Nazareth</w:t>
            </w:r>
          </w:p>
        </w:tc>
      </w:tr>
      <w:tr w:rsidR="00A70B57" w:rsidRPr="00C03235" w14:paraId="5E5D2FF9" w14:textId="77777777" w:rsidTr="00872AE4">
        <w:trPr>
          <w:trHeight w:val="323"/>
          <w:jc w:val="center"/>
        </w:trPr>
        <w:tc>
          <w:tcPr>
            <w:tcW w:w="2433" w:type="dxa"/>
            <w:vAlign w:val="center"/>
            <w:hideMark/>
          </w:tcPr>
          <w:p w14:paraId="0D926E10" w14:textId="77777777" w:rsidR="00CA5E2A" w:rsidRPr="00C03235" w:rsidRDefault="00CA5E2A" w:rsidP="00BF6B12">
            <w:pPr>
              <w:jc w:val="center"/>
            </w:pPr>
            <w:r w:rsidRPr="00C03235">
              <w:t>Diésel</w:t>
            </w:r>
          </w:p>
        </w:tc>
        <w:tc>
          <w:tcPr>
            <w:tcW w:w="2670" w:type="dxa"/>
            <w:vAlign w:val="center"/>
            <w:hideMark/>
          </w:tcPr>
          <w:p w14:paraId="45950F4A" w14:textId="77777777" w:rsidR="00CA5E2A" w:rsidRPr="00C03235" w:rsidRDefault="00CA5E2A" w:rsidP="00BF6B12">
            <w:pPr>
              <w:jc w:val="center"/>
            </w:pPr>
            <w:r w:rsidRPr="00C03235">
              <w:t>2.200 kW</w:t>
            </w:r>
          </w:p>
        </w:tc>
        <w:tc>
          <w:tcPr>
            <w:tcW w:w="2268" w:type="dxa"/>
            <w:vAlign w:val="center"/>
            <w:hideMark/>
          </w:tcPr>
          <w:p w14:paraId="02785B8F" w14:textId="40903B84" w:rsidR="00CA5E2A" w:rsidRPr="00C03235" w:rsidRDefault="00854A40" w:rsidP="00BF6B12">
            <w:pPr>
              <w:jc w:val="center"/>
            </w:pPr>
            <w:r w:rsidRPr="00C03235">
              <w:t>728</w:t>
            </w:r>
            <w:r w:rsidR="00CA5E2A" w:rsidRPr="00C03235">
              <w:t xml:space="preserve"> kW</w:t>
            </w:r>
          </w:p>
        </w:tc>
      </w:tr>
      <w:tr w:rsidR="00CA5E2A" w:rsidRPr="00C03235" w14:paraId="3BB0A2E8" w14:textId="77777777" w:rsidTr="00872AE4">
        <w:trPr>
          <w:trHeight w:val="258"/>
          <w:jc w:val="center"/>
        </w:trPr>
        <w:tc>
          <w:tcPr>
            <w:tcW w:w="2433" w:type="dxa"/>
            <w:vAlign w:val="center"/>
            <w:hideMark/>
          </w:tcPr>
          <w:p w14:paraId="3806580C" w14:textId="77777777" w:rsidR="00CA5E2A" w:rsidRPr="00C03235" w:rsidRDefault="00CA5E2A" w:rsidP="00BF6B12">
            <w:pPr>
              <w:jc w:val="center"/>
            </w:pPr>
            <w:r w:rsidRPr="00C03235">
              <w:t>SFV</w:t>
            </w:r>
          </w:p>
        </w:tc>
        <w:tc>
          <w:tcPr>
            <w:tcW w:w="2670" w:type="dxa"/>
            <w:vAlign w:val="center"/>
            <w:hideMark/>
          </w:tcPr>
          <w:p w14:paraId="666CA71D" w14:textId="77777777" w:rsidR="00CA5E2A" w:rsidRPr="00C03235" w:rsidRDefault="00CA5E2A" w:rsidP="00BF6B12">
            <w:pPr>
              <w:jc w:val="center"/>
            </w:pPr>
            <w:r w:rsidRPr="00C03235">
              <w:t>778 kWp</w:t>
            </w:r>
          </w:p>
        </w:tc>
        <w:tc>
          <w:tcPr>
            <w:tcW w:w="2268" w:type="dxa"/>
            <w:vAlign w:val="center"/>
            <w:hideMark/>
          </w:tcPr>
          <w:p w14:paraId="7153ECCF" w14:textId="6DA16733" w:rsidR="00CA5E2A" w:rsidRPr="00C03235" w:rsidRDefault="00CA5E2A" w:rsidP="00BF6B12">
            <w:pPr>
              <w:jc w:val="center"/>
            </w:pPr>
            <w:r w:rsidRPr="00C03235">
              <w:t>4</w:t>
            </w:r>
            <w:r w:rsidR="00891DDF" w:rsidRPr="00C03235">
              <w:t>29</w:t>
            </w:r>
            <w:r w:rsidRPr="00C03235">
              <w:t xml:space="preserve"> kWp</w:t>
            </w:r>
          </w:p>
        </w:tc>
      </w:tr>
      <w:tr w:rsidR="00A70B57" w:rsidRPr="00C03235" w14:paraId="781C549B" w14:textId="77777777" w:rsidTr="00872AE4">
        <w:trPr>
          <w:trHeight w:val="246"/>
          <w:jc w:val="center"/>
        </w:trPr>
        <w:tc>
          <w:tcPr>
            <w:tcW w:w="2433" w:type="dxa"/>
            <w:vAlign w:val="center"/>
            <w:hideMark/>
          </w:tcPr>
          <w:p w14:paraId="026672BB" w14:textId="77777777" w:rsidR="00CA5E2A" w:rsidRPr="00C03235" w:rsidRDefault="00CA5E2A" w:rsidP="00BF6B12">
            <w:pPr>
              <w:jc w:val="center"/>
            </w:pPr>
            <w:r w:rsidRPr="00C03235">
              <w:t>Almacenamiento</w:t>
            </w:r>
          </w:p>
        </w:tc>
        <w:tc>
          <w:tcPr>
            <w:tcW w:w="2670" w:type="dxa"/>
            <w:vAlign w:val="center"/>
            <w:hideMark/>
          </w:tcPr>
          <w:p w14:paraId="2F4C183F" w14:textId="77777777" w:rsidR="00CA5E2A" w:rsidRPr="00C03235" w:rsidRDefault="00CA5E2A" w:rsidP="00BF6B12">
            <w:pPr>
              <w:jc w:val="center"/>
            </w:pPr>
            <w:r w:rsidRPr="00C03235">
              <w:t>1.190 kWh</w:t>
            </w:r>
          </w:p>
        </w:tc>
        <w:tc>
          <w:tcPr>
            <w:tcW w:w="2268" w:type="dxa"/>
            <w:vAlign w:val="center"/>
            <w:hideMark/>
          </w:tcPr>
          <w:p w14:paraId="154AF817" w14:textId="77777777" w:rsidR="00CA5E2A" w:rsidRPr="00C03235" w:rsidRDefault="00CA5E2A" w:rsidP="00BF6B12">
            <w:pPr>
              <w:jc w:val="center"/>
            </w:pPr>
            <w:r w:rsidRPr="00C03235">
              <w:t>3.859 kWh</w:t>
            </w:r>
          </w:p>
        </w:tc>
      </w:tr>
      <w:tr w:rsidR="00CA5E2A" w:rsidRPr="00C03235" w14:paraId="64F2F06B" w14:textId="77777777" w:rsidTr="00872AE4">
        <w:trPr>
          <w:trHeight w:val="258"/>
          <w:jc w:val="center"/>
        </w:trPr>
        <w:tc>
          <w:tcPr>
            <w:tcW w:w="2433" w:type="dxa"/>
            <w:vAlign w:val="center"/>
            <w:hideMark/>
          </w:tcPr>
          <w:p w14:paraId="71E6BEBC" w14:textId="77777777" w:rsidR="00CA5E2A" w:rsidRPr="00C03235" w:rsidRDefault="00CA5E2A" w:rsidP="00BF6B12">
            <w:pPr>
              <w:jc w:val="center"/>
            </w:pPr>
            <w:r w:rsidRPr="00C03235">
              <w:t>Usuarios</w:t>
            </w:r>
          </w:p>
        </w:tc>
        <w:tc>
          <w:tcPr>
            <w:tcW w:w="2670" w:type="dxa"/>
            <w:vAlign w:val="center"/>
            <w:hideMark/>
          </w:tcPr>
          <w:p w14:paraId="3C301906" w14:textId="77777777" w:rsidR="00CA5E2A" w:rsidRPr="00C03235" w:rsidRDefault="00CA5E2A" w:rsidP="00BF6B12">
            <w:pPr>
              <w:jc w:val="center"/>
            </w:pPr>
            <w:r w:rsidRPr="00C03235">
              <w:t>3.022</w:t>
            </w:r>
          </w:p>
        </w:tc>
        <w:tc>
          <w:tcPr>
            <w:tcW w:w="2268" w:type="dxa"/>
            <w:vAlign w:val="center"/>
            <w:hideMark/>
          </w:tcPr>
          <w:p w14:paraId="1C3CD638" w14:textId="1B78330F" w:rsidR="00CA5E2A" w:rsidRPr="00C03235" w:rsidRDefault="00CA5E2A" w:rsidP="00BF6B12">
            <w:pPr>
              <w:jc w:val="center"/>
            </w:pPr>
            <w:r w:rsidRPr="00C03235">
              <w:t>579</w:t>
            </w:r>
            <w:r w:rsidR="002A581D" w:rsidRPr="00C03235">
              <w:rPr>
                <w:rStyle w:val="Refdenotaalpie"/>
              </w:rPr>
              <w:footnoteReference w:id="7"/>
            </w:r>
          </w:p>
        </w:tc>
      </w:tr>
      <w:tr w:rsidR="00A70B57" w:rsidRPr="00C03235" w14:paraId="42E70536" w14:textId="77777777" w:rsidTr="00872AE4">
        <w:trPr>
          <w:trHeight w:val="236"/>
          <w:jc w:val="center"/>
        </w:trPr>
        <w:tc>
          <w:tcPr>
            <w:tcW w:w="2433" w:type="dxa"/>
            <w:vAlign w:val="center"/>
            <w:hideMark/>
          </w:tcPr>
          <w:p w14:paraId="56FE1D0D" w14:textId="43C26A2C" w:rsidR="00CA5E2A" w:rsidRPr="00C03235" w:rsidRDefault="00CA5E2A" w:rsidP="00BF6B12">
            <w:pPr>
              <w:jc w:val="center"/>
            </w:pPr>
            <w:r w:rsidRPr="00C03235">
              <w:t>Generación</w:t>
            </w:r>
            <w:r w:rsidR="00990F62" w:rsidRPr="00C03235">
              <w:t xml:space="preserve"> (Potencia Activa)</w:t>
            </w:r>
          </w:p>
        </w:tc>
        <w:tc>
          <w:tcPr>
            <w:tcW w:w="2670" w:type="dxa"/>
            <w:vAlign w:val="center"/>
            <w:hideMark/>
          </w:tcPr>
          <w:p w14:paraId="6DAD4FF1" w14:textId="77777777" w:rsidR="00CA5E2A" w:rsidRPr="00C03235" w:rsidRDefault="00CA5E2A" w:rsidP="00BF6B12">
            <w:pPr>
              <w:jc w:val="center"/>
            </w:pPr>
            <w:r w:rsidRPr="00C03235">
              <w:t>459 MWh / mes</w:t>
            </w:r>
          </w:p>
        </w:tc>
        <w:tc>
          <w:tcPr>
            <w:tcW w:w="2268" w:type="dxa"/>
            <w:vAlign w:val="center"/>
            <w:hideMark/>
          </w:tcPr>
          <w:p w14:paraId="2CE0B0AF" w14:textId="0766D768" w:rsidR="00CA5E2A" w:rsidRPr="00C03235" w:rsidRDefault="001C6364" w:rsidP="00BF6B12">
            <w:pPr>
              <w:jc w:val="center"/>
            </w:pPr>
            <w:r w:rsidRPr="00C03235">
              <w:t>58</w:t>
            </w:r>
            <w:r w:rsidR="00CA5E2A" w:rsidRPr="00C03235">
              <w:t xml:space="preserve"> MWh / mes</w:t>
            </w:r>
          </w:p>
        </w:tc>
      </w:tr>
      <w:tr w:rsidR="00CA5E2A" w:rsidRPr="00C03235" w14:paraId="62A1EF17" w14:textId="77777777" w:rsidTr="00872AE4">
        <w:trPr>
          <w:trHeight w:val="228"/>
          <w:jc w:val="center"/>
        </w:trPr>
        <w:tc>
          <w:tcPr>
            <w:tcW w:w="2433" w:type="dxa"/>
            <w:vAlign w:val="center"/>
            <w:hideMark/>
          </w:tcPr>
          <w:p w14:paraId="33BFC814" w14:textId="58DD1503" w:rsidR="00CA5E2A" w:rsidRPr="00C03235" w:rsidRDefault="009B4239" w:rsidP="00BF6B12">
            <w:pPr>
              <w:jc w:val="center"/>
            </w:pPr>
            <w:r w:rsidRPr="00C03235">
              <w:t xml:space="preserve">Potencia </w:t>
            </w:r>
            <w:r w:rsidR="0071405B" w:rsidRPr="00C03235">
              <w:t>Máxima</w:t>
            </w:r>
          </w:p>
        </w:tc>
        <w:tc>
          <w:tcPr>
            <w:tcW w:w="2670" w:type="dxa"/>
            <w:vAlign w:val="center"/>
            <w:hideMark/>
          </w:tcPr>
          <w:p w14:paraId="5F6B6A7A" w14:textId="03042D80" w:rsidR="00CA5E2A" w:rsidRPr="00C03235" w:rsidRDefault="00331483" w:rsidP="00BF6B12">
            <w:pPr>
              <w:jc w:val="center"/>
            </w:pPr>
            <w:r w:rsidRPr="00C03235">
              <w:t>944</w:t>
            </w:r>
            <w:r w:rsidR="00CA5E2A" w:rsidRPr="00C03235">
              <w:t xml:space="preserve"> kW</w:t>
            </w:r>
          </w:p>
        </w:tc>
        <w:tc>
          <w:tcPr>
            <w:tcW w:w="2268" w:type="dxa"/>
            <w:vAlign w:val="center"/>
            <w:hideMark/>
          </w:tcPr>
          <w:p w14:paraId="36E0A18A" w14:textId="1305ABE1" w:rsidR="00CA5E2A" w:rsidRPr="00C03235" w:rsidRDefault="001C6364" w:rsidP="00BF6B12">
            <w:pPr>
              <w:jc w:val="center"/>
            </w:pPr>
            <w:r w:rsidRPr="00C03235">
              <w:t>343</w:t>
            </w:r>
            <w:r w:rsidR="00CA5E2A" w:rsidRPr="00C03235">
              <w:t xml:space="preserve"> kW</w:t>
            </w:r>
          </w:p>
        </w:tc>
      </w:tr>
      <w:tr w:rsidR="00A70B57" w:rsidRPr="00C03235" w14:paraId="3AC7C51C" w14:textId="77777777" w:rsidTr="00872AE4">
        <w:trPr>
          <w:trHeight w:val="207"/>
          <w:jc w:val="center"/>
        </w:trPr>
        <w:tc>
          <w:tcPr>
            <w:tcW w:w="2433" w:type="dxa"/>
            <w:vAlign w:val="center"/>
            <w:hideMark/>
          </w:tcPr>
          <w:p w14:paraId="795E3BE4" w14:textId="77777777" w:rsidR="00CA5E2A" w:rsidRPr="00C03235" w:rsidRDefault="00CA5E2A" w:rsidP="00BF6B12">
            <w:pPr>
              <w:jc w:val="center"/>
            </w:pPr>
            <w:r w:rsidRPr="00C03235">
              <w:t>Horas servicio</w:t>
            </w:r>
          </w:p>
        </w:tc>
        <w:tc>
          <w:tcPr>
            <w:tcW w:w="2670" w:type="dxa"/>
            <w:vAlign w:val="center"/>
            <w:hideMark/>
          </w:tcPr>
          <w:p w14:paraId="2F2C814E" w14:textId="2BA230CD" w:rsidR="00CA5E2A" w:rsidRPr="00C03235" w:rsidRDefault="00CA5E2A" w:rsidP="00BF6B12">
            <w:pPr>
              <w:jc w:val="center"/>
            </w:pPr>
            <w:r w:rsidRPr="00C03235">
              <w:t>2</w:t>
            </w:r>
            <w:r w:rsidR="00331483" w:rsidRPr="00C03235">
              <w:t>2</w:t>
            </w:r>
            <w:r w:rsidRPr="00C03235">
              <w:t>:</w:t>
            </w:r>
            <w:r w:rsidR="00331483" w:rsidRPr="00C03235">
              <w:t>07</w:t>
            </w:r>
          </w:p>
        </w:tc>
        <w:tc>
          <w:tcPr>
            <w:tcW w:w="2268" w:type="dxa"/>
            <w:vAlign w:val="center"/>
            <w:hideMark/>
          </w:tcPr>
          <w:p w14:paraId="59696154" w14:textId="49B68D6C" w:rsidR="00CA5E2A" w:rsidRPr="00C03235" w:rsidRDefault="00CA5E2A" w:rsidP="00BF6B12">
            <w:pPr>
              <w:jc w:val="center"/>
            </w:pPr>
            <w:r w:rsidRPr="00C03235">
              <w:t>9:</w:t>
            </w:r>
            <w:r w:rsidR="001C6364" w:rsidRPr="00C03235">
              <w:t>35</w:t>
            </w:r>
          </w:p>
        </w:tc>
      </w:tr>
    </w:tbl>
    <w:p w14:paraId="628EF232" w14:textId="77777777" w:rsidR="0010561D" w:rsidRPr="00C03235" w:rsidRDefault="0010561D" w:rsidP="00C41465">
      <w:pPr>
        <w:jc w:val="both"/>
      </w:pPr>
    </w:p>
    <w:p w14:paraId="65101B5A" w14:textId="7827B44E" w:rsidR="00F14658" w:rsidRPr="00C03235" w:rsidRDefault="00797EC8" w:rsidP="0010561D">
      <w:pPr>
        <w:jc w:val="both"/>
      </w:pPr>
      <w:r w:rsidRPr="00C03235">
        <w:t xml:space="preserve">Tiene razón HELIOS </w:t>
      </w:r>
      <w:r w:rsidR="00687F65">
        <w:t xml:space="preserve">al señalar </w:t>
      </w:r>
      <w:r w:rsidRPr="00C03235">
        <w:t xml:space="preserve">que el mercado de Unguía es de mayor tamaño que el de Nazareth, cuando se </w:t>
      </w:r>
      <w:r w:rsidR="00AA2407">
        <w:t>analiza</w:t>
      </w:r>
      <w:r w:rsidR="00687F65">
        <w:t>n</w:t>
      </w:r>
      <w:r w:rsidR="00BB052F" w:rsidRPr="00C03235">
        <w:t xml:space="preserve"> distintos aspectos: </w:t>
      </w:r>
      <w:r w:rsidR="001C2E9A" w:rsidRPr="00C03235">
        <w:t xml:space="preserve">una relación de 5 a 1 en usuarios, de casi </w:t>
      </w:r>
      <w:r w:rsidR="00094D80" w:rsidRPr="00C03235">
        <w:t>8</w:t>
      </w:r>
      <w:r w:rsidR="001C2E9A" w:rsidRPr="00C03235">
        <w:t xml:space="preserve"> a 1 en generación y cercana a las </w:t>
      </w:r>
      <w:r w:rsidR="00FD324C" w:rsidRPr="00C03235">
        <w:t>3</w:t>
      </w:r>
      <w:r w:rsidR="001C2E9A" w:rsidRPr="00C03235">
        <w:t xml:space="preserve"> veces en </w:t>
      </w:r>
      <w:r w:rsidR="00FD324C" w:rsidRPr="00C03235">
        <w:t>Potencia Máxima</w:t>
      </w:r>
      <w:r w:rsidR="001C2E9A" w:rsidRPr="00C03235">
        <w:t>, respectivamente.</w:t>
      </w:r>
    </w:p>
    <w:p w14:paraId="484FD931" w14:textId="77777777" w:rsidR="001C2E9A" w:rsidRPr="00C03235" w:rsidRDefault="001C2E9A" w:rsidP="0010561D">
      <w:pPr>
        <w:jc w:val="both"/>
      </w:pPr>
    </w:p>
    <w:p w14:paraId="12FC7685" w14:textId="4AEEFA94" w:rsidR="001C2E9A" w:rsidRPr="00C03235" w:rsidRDefault="001C2E9A" w:rsidP="0010561D">
      <w:pPr>
        <w:jc w:val="both"/>
      </w:pPr>
      <w:r w:rsidRPr="00C03235">
        <w:lastRenderedPageBreak/>
        <w:t xml:space="preserve">No obstante, al </w:t>
      </w:r>
      <w:r w:rsidR="007E4DAD" w:rsidRPr="00C03235">
        <w:t>tener estos tamaño</w:t>
      </w:r>
      <w:r w:rsidR="006D6EAC" w:rsidRPr="00C03235">
        <w:t>s</w:t>
      </w:r>
      <w:r w:rsidR="007E4DAD" w:rsidRPr="00C03235">
        <w:t xml:space="preserve"> de mercado</w:t>
      </w:r>
      <w:r w:rsidR="006D6EAC" w:rsidRPr="00C03235">
        <w:t>,</w:t>
      </w:r>
      <w:r w:rsidR="007E4DAD" w:rsidRPr="00C03235">
        <w:t xml:space="preserve"> siendo </w:t>
      </w:r>
      <w:r w:rsidR="00F47912" w:rsidRPr="00C03235">
        <w:t>Unguía múltiplo varias veces para Nazareth</w:t>
      </w:r>
      <w:r w:rsidR="007F4CCD" w:rsidRPr="00C03235">
        <w:t xml:space="preserve">, resulta </w:t>
      </w:r>
      <w:r w:rsidR="00B664E7" w:rsidRPr="00C03235">
        <w:t xml:space="preserve">inconsistente lo que </w:t>
      </w:r>
      <w:r w:rsidR="00BD2C3C" w:rsidRPr="00C03235">
        <w:t xml:space="preserve">se observa </w:t>
      </w:r>
      <w:r w:rsidR="00B664E7" w:rsidRPr="00C03235">
        <w:t>con las capacidades instaladas de su infraestructura</w:t>
      </w:r>
      <w:r w:rsidR="00B638CC" w:rsidRPr="00C03235">
        <w:t xml:space="preserve"> </w:t>
      </w:r>
      <w:r w:rsidR="00E02F05" w:rsidRPr="00C03235">
        <w:t>de generación, en donde la diferencia ya no es tan marcada</w:t>
      </w:r>
      <w:r w:rsidR="00CC18B2" w:rsidRPr="00C03235">
        <w:t>: Una relación entre Unguí</w:t>
      </w:r>
      <w:r w:rsidR="008D5328" w:rsidRPr="00C03235">
        <w:t>a</w:t>
      </w:r>
      <w:r w:rsidR="00CC18B2" w:rsidRPr="00C03235">
        <w:t xml:space="preserve"> y Nazareth de </w:t>
      </w:r>
      <w:r w:rsidR="004B56E7" w:rsidRPr="00C03235">
        <w:t>3</w:t>
      </w:r>
      <w:r w:rsidR="00CC18B2" w:rsidRPr="00C03235">
        <w:t xml:space="preserve"> a 1 para la capacidad del sistema de generación diésel, </w:t>
      </w:r>
      <w:r w:rsidR="00403E18" w:rsidRPr="00C03235">
        <w:t xml:space="preserve">de </w:t>
      </w:r>
      <w:r w:rsidR="00F845CE" w:rsidRPr="00C03235">
        <w:t>casi 2</w:t>
      </w:r>
      <w:r w:rsidR="00403E18" w:rsidRPr="00C03235">
        <w:t xml:space="preserve"> a 1 para la potencia pico del sistema SFV y </w:t>
      </w:r>
      <w:r w:rsidR="00EC398C" w:rsidRPr="00C03235">
        <w:t xml:space="preserve">una situación en la que se invierten los roles en donde en Nazareth tiene una capacidad de almacenamiento </w:t>
      </w:r>
      <w:r w:rsidR="00A22B88" w:rsidRPr="00C03235">
        <w:t>que es 3.2 veces la capacidad de Unguía.</w:t>
      </w:r>
    </w:p>
    <w:p w14:paraId="43187BC1" w14:textId="77777777" w:rsidR="00F14658" w:rsidRPr="00C03235" w:rsidRDefault="00F14658" w:rsidP="0010561D">
      <w:pPr>
        <w:jc w:val="both"/>
      </w:pPr>
    </w:p>
    <w:p w14:paraId="33D7187A" w14:textId="7E83408D" w:rsidR="00F14658" w:rsidRPr="00C03235" w:rsidRDefault="00A22B88" w:rsidP="0010561D">
      <w:pPr>
        <w:jc w:val="both"/>
      </w:pPr>
      <w:r w:rsidRPr="00C03235">
        <w:t>Esta situación</w:t>
      </w:r>
      <w:r w:rsidR="002672F2">
        <w:t>,</w:t>
      </w:r>
      <w:r w:rsidRPr="00C03235">
        <w:t xml:space="preserve"> </w:t>
      </w:r>
      <w:r w:rsidR="002672F2">
        <w:t>reafirma e</w:t>
      </w:r>
      <w:r w:rsidR="00B21FC6" w:rsidRPr="00C03235">
        <w:t>l argumento planteado anteriormente</w:t>
      </w:r>
      <w:r w:rsidR="00BF59CF" w:rsidRPr="00C03235">
        <w:t xml:space="preserve"> sobre </w:t>
      </w:r>
      <w:r w:rsidR="00202042" w:rsidRPr="00C03235">
        <w:t xml:space="preserve">considerar en el análisis de forma exclusiva la demanda o generación de un mercado para determinar su cargo. La Comisión efectúa un ejercicio </w:t>
      </w:r>
      <w:r w:rsidR="002672F2">
        <w:t>en el cual</w:t>
      </w:r>
      <w:r w:rsidR="00202042" w:rsidRPr="00C03235">
        <w:t xml:space="preserve"> revisa el potencial de generación de los sistemas que son presentados como referencia</w:t>
      </w:r>
      <w:r w:rsidR="002672F2">
        <w:t>,</w:t>
      </w:r>
      <w:r w:rsidR="00202042" w:rsidRPr="00C03235">
        <w:t xml:space="preserve"> para determinar los cargos de un mercado en particular</w:t>
      </w:r>
      <w:r w:rsidR="002672F2">
        <w:t>, y así</w:t>
      </w:r>
      <w:r w:rsidR="007C63F2" w:rsidRPr="00C03235">
        <w:t xml:space="preserve"> evitar</w:t>
      </w:r>
      <w:r w:rsidR="003841CB" w:rsidRPr="00C03235">
        <w:t xml:space="preserve"> </w:t>
      </w:r>
      <w:r w:rsidR="00915EA1" w:rsidRPr="00C03235">
        <w:t>que se terminen reconociendo costos ineficiente</w:t>
      </w:r>
      <w:r w:rsidR="00876E53" w:rsidRPr="00C03235">
        <w:t>s</w:t>
      </w:r>
      <w:r w:rsidR="00384796" w:rsidRPr="00C03235">
        <w:t>. Por ejemplo</w:t>
      </w:r>
      <w:r w:rsidR="00CE74A0" w:rsidRPr="00C03235">
        <w:t>,</w:t>
      </w:r>
      <w:r w:rsidR="00384796" w:rsidRPr="00C03235">
        <w:t xml:space="preserve"> determinar un cargo de almacenamiento para Nazareth, </w:t>
      </w:r>
      <w:r w:rsidR="00CE74A0" w:rsidRPr="00C03235">
        <w:t xml:space="preserve">que tiene un décimo de la </w:t>
      </w:r>
      <w:r w:rsidR="00384796" w:rsidRPr="00C03235">
        <w:t xml:space="preserve">generación </w:t>
      </w:r>
      <w:r w:rsidR="00CE74A0" w:rsidRPr="00C03235">
        <w:t xml:space="preserve">de Unguía, con el costo de una infraestructura en Nazareth que cuenta con una capacidad </w:t>
      </w:r>
      <w:r w:rsidR="005A0C56" w:rsidRPr="00C03235">
        <w:t xml:space="preserve">de </w:t>
      </w:r>
      <w:r w:rsidR="00CE74A0" w:rsidRPr="00C03235">
        <w:t>3.2 veces la de</w:t>
      </w:r>
      <w:r w:rsidR="00F94144" w:rsidRPr="00C03235">
        <w:t xml:space="preserve">l mercado usado como </w:t>
      </w:r>
      <w:r w:rsidR="00983459" w:rsidRPr="00C03235">
        <w:t>ref</w:t>
      </w:r>
      <w:r w:rsidR="00CE74A0" w:rsidRPr="00C03235">
        <w:t>e</w:t>
      </w:r>
      <w:r w:rsidR="00F94144" w:rsidRPr="00C03235">
        <w:t>rencia.</w:t>
      </w:r>
    </w:p>
    <w:p w14:paraId="7A1FAA0F" w14:textId="77777777" w:rsidR="00F14658" w:rsidRPr="00C03235" w:rsidRDefault="00F14658" w:rsidP="0010561D">
      <w:pPr>
        <w:jc w:val="both"/>
      </w:pPr>
    </w:p>
    <w:p w14:paraId="4E75035B" w14:textId="6CC4A38C" w:rsidR="0010750E" w:rsidRPr="00C03235" w:rsidRDefault="0010750E" w:rsidP="0010561D">
      <w:pPr>
        <w:jc w:val="both"/>
      </w:pPr>
      <w:r w:rsidRPr="00C03235">
        <w:t>Dicho l</w:t>
      </w:r>
      <w:r w:rsidR="007E6AB6" w:rsidRPr="00C03235">
        <w:t>o</w:t>
      </w:r>
      <w:r w:rsidRPr="00C03235">
        <w:t xml:space="preserve"> anterior, </w:t>
      </w:r>
      <w:r w:rsidR="002672F2">
        <w:t>le asiste razón a</w:t>
      </w:r>
      <w:r w:rsidRPr="00C03235">
        <w:t xml:space="preserve"> HELIOS al indicar la relación que existe entre costo eficiente y la escala de la prestación del </w:t>
      </w:r>
      <w:r w:rsidR="005D5B16" w:rsidRPr="00C03235">
        <w:t>servicio</w:t>
      </w:r>
      <w:r w:rsidRPr="00C03235">
        <w:t xml:space="preserve">. </w:t>
      </w:r>
      <w:r w:rsidR="003C4274" w:rsidRPr="00C03235">
        <w:t xml:space="preserve">A esta condición se denomina, </w:t>
      </w:r>
      <w:r w:rsidR="006D27E4" w:rsidRPr="00C03235">
        <w:t xml:space="preserve">en </w:t>
      </w:r>
      <w:r w:rsidRPr="00C03235">
        <w:t xml:space="preserve">la literatura </w:t>
      </w:r>
      <w:r w:rsidR="007721D7" w:rsidRPr="00C03235">
        <w:t>económica</w:t>
      </w:r>
      <w:r w:rsidR="003C4274" w:rsidRPr="00C03235">
        <w:t>,</w:t>
      </w:r>
      <w:r w:rsidR="007721D7" w:rsidRPr="00C03235">
        <w:t xml:space="preserve"> </w:t>
      </w:r>
      <w:r w:rsidR="002B13C9" w:rsidRPr="00C03235">
        <w:t>como rendimientos a escala.</w:t>
      </w:r>
      <w:r w:rsidR="00AE5534" w:rsidRPr="00C03235">
        <w:t xml:space="preserve"> Los rendimientos a escala expresan </w:t>
      </w:r>
      <w:r w:rsidR="00AD39C1" w:rsidRPr="00C03235">
        <w:t xml:space="preserve">la forma en que </w:t>
      </w:r>
      <w:r w:rsidR="00AE5534" w:rsidRPr="00C03235">
        <w:t xml:space="preserve">varía la cantidad producida </w:t>
      </w:r>
      <w:r w:rsidR="0068013D" w:rsidRPr="00C03235">
        <w:t>de un bien</w:t>
      </w:r>
      <w:r w:rsidR="00216D13" w:rsidRPr="00C03235">
        <w:t xml:space="preserve"> </w:t>
      </w:r>
      <w:r w:rsidR="002C7E3A" w:rsidRPr="00C03235">
        <w:t xml:space="preserve">o </w:t>
      </w:r>
      <w:r w:rsidR="00216D13" w:rsidRPr="00C03235">
        <w:t>la de la capacidad de prestar un servicio</w:t>
      </w:r>
      <w:r w:rsidR="00B73925">
        <w:t>,</w:t>
      </w:r>
      <w:r w:rsidR="002C7E3A" w:rsidRPr="00C03235">
        <w:t xml:space="preserve"> en la medida en </w:t>
      </w:r>
      <w:r w:rsidR="00AE5534" w:rsidRPr="00C03235">
        <w:t xml:space="preserve">que </w:t>
      </w:r>
      <w:r w:rsidR="009B5C7D" w:rsidRPr="00C03235">
        <w:t xml:space="preserve">se </w:t>
      </w:r>
      <w:r w:rsidR="002C7E3A" w:rsidRPr="00C03235">
        <w:t>va cambiando</w:t>
      </w:r>
      <w:r w:rsidR="002672F2">
        <w:t xml:space="preserve"> </w:t>
      </w:r>
      <w:r w:rsidR="00AE5534" w:rsidRPr="00C03235">
        <w:t>el uso de todos los factores que intervienen en el proceso de producción.</w:t>
      </w:r>
      <w:r w:rsidR="00B75F8F" w:rsidRPr="00C03235">
        <w:t xml:space="preserve"> </w:t>
      </w:r>
      <w:r w:rsidR="00376654" w:rsidRPr="00C03235">
        <w:t xml:space="preserve">Su resultado en el costo </w:t>
      </w:r>
      <w:r w:rsidR="002672F2">
        <w:t>con</w:t>
      </w:r>
      <w:r w:rsidR="00376654" w:rsidRPr="00C03235">
        <w:t>lleva a que, generalmente, a medida que aumenta la escala</w:t>
      </w:r>
      <w:r w:rsidR="0037210A" w:rsidRPr="00C03235">
        <w:t>, va disminuyendo el costo medio por unidad producida</w:t>
      </w:r>
      <w:r w:rsidR="008A4297" w:rsidRPr="00C03235">
        <w:t xml:space="preserve">, principalmente por el efecto que se logra al distribuir entre mayores unidades </w:t>
      </w:r>
      <w:r w:rsidR="00D15D06" w:rsidRPr="00C03235">
        <w:t>costos fijos y las ganancias de productividad y ahorros en costos por</w:t>
      </w:r>
      <w:r w:rsidR="0095757D" w:rsidRPr="00C03235">
        <w:t xml:space="preserve"> mayores volúmenes.</w:t>
      </w:r>
    </w:p>
    <w:p w14:paraId="1CEDA8FD" w14:textId="77777777" w:rsidR="0010750E" w:rsidRPr="00C03235" w:rsidRDefault="0010750E" w:rsidP="0010561D">
      <w:pPr>
        <w:jc w:val="both"/>
      </w:pPr>
    </w:p>
    <w:p w14:paraId="30D4EB02" w14:textId="77777777" w:rsidR="002672F2" w:rsidRDefault="0095757D" w:rsidP="0010561D">
      <w:pPr>
        <w:jc w:val="both"/>
      </w:pPr>
      <w:r w:rsidRPr="00C03235">
        <w:t xml:space="preserve">Teniendo en cuenta lo anterior y que </w:t>
      </w:r>
      <w:r w:rsidR="004C6B69" w:rsidRPr="00C03235">
        <w:t xml:space="preserve">al haber tomado como referencia </w:t>
      </w:r>
      <w:r w:rsidR="00F843CB" w:rsidRPr="00C03235">
        <w:t xml:space="preserve">el mercado de Unguía </w:t>
      </w:r>
      <w:r w:rsidR="004C6B69" w:rsidRPr="00C03235">
        <w:t xml:space="preserve">para determinar el cargo para el mercado de </w:t>
      </w:r>
      <w:r w:rsidR="00E024A7" w:rsidRPr="00C03235">
        <w:t xml:space="preserve">Nazareth, </w:t>
      </w:r>
      <w:r w:rsidR="00823A9F" w:rsidRPr="00C03235">
        <w:t xml:space="preserve">siendo estos mercados de </w:t>
      </w:r>
      <w:r w:rsidR="00E024A7" w:rsidRPr="00C03235">
        <w:t>escala</w:t>
      </w:r>
      <w:r w:rsidR="002672F2">
        <w:t>s</w:t>
      </w:r>
      <w:r w:rsidR="00E024A7" w:rsidRPr="00C03235">
        <w:t xml:space="preserve"> </w:t>
      </w:r>
      <w:r w:rsidR="00823A9F" w:rsidRPr="00C03235">
        <w:t>distintas,</w:t>
      </w:r>
      <w:r w:rsidR="00C4762E" w:rsidRPr="00C03235">
        <w:t xml:space="preserve"> es posible que algun</w:t>
      </w:r>
      <w:r w:rsidR="00F126DF" w:rsidRPr="00C03235">
        <w:t>a</w:t>
      </w:r>
      <w:r w:rsidR="00C4762E" w:rsidRPr="00C03235">
        <w:t xml:space="preserve">s de esas reducciones en costos que se logran </w:t>
      </w:r>
      <w:r w:rsidR="00F126DF" w:rsidRPr="00C03235">
        <w:t xml:space="preserve">por la escala de Unguía no se </w:t>
      </w:r>
      <w:r w:rsidR="007B79DE" w:rsidRPr="00C03235">
        <w:t>presenten en el mercado de Nazareth</w:t>
      </w:r>
      <w:r w:rsidR="00823A9F" w:rsidRPr="00C03235">
        <w:t>.</w:t>
      </w:r>
      <w:r w:rsidR="007B79DE" w:rsidRPr="00C03235">
        <w:t xml:space="preserve"> </w:t>
      </w:r>
    </w:p>
    <w:p w14:paraId="5CB7A288" w14:textId="77777777" w:rsidR="002672F2" w:rsidRDefault="002672F2" w:rsidP="0010561D">
      <w:pPr>
        <w:jc w:val="both"/>
      </w:pPr>
    </w:p>
    <w:p w14:paraId="1FEF64DC" w14:textId="2B5E538A" w:rsidR="0010561D" w:rsidRPr="00C03235" w:rsidRDefault="00823A9F" w:rsidP="0010561D">
      <w:pPr>
        <w:jc w:val="both"/>
      </w:pPr>
      <w:r w:rsidRPr="00C03235">
        <w:t>L</w:t>
      </w:r>
      <w:r w:rsidR="0010561D" w:rsidRPr="00C03235">
        <w:t xml:space="preserve">a Comisión, </w:t>
      </w:r>
      <w:bookmarkStart w:id="4" w:name="_Hlk182392448"/>
      <w:r w:rsidR="0010561D" w:rsidRPr="00C03235">
        <w:t xml:space="preserve">de acuerdo con </w:t>
      </w:r>
      <w:r w:rsidR="00606312" w:rsidRPr="00C03235">
        <w:t xml:space="preserve">los argumentos presentados en </w:t>
      </w:r>
      <w:r w:rsidR="0010561D" w:rsidRPr="00C03235">
        <w:t xml:space="preserve">el recurso de reposición interpuesto por HELIOS, </w:t>
      </w:r>
      <w:r w:rsidR="00C549C6" w:rsidRPr="00C03235">
        <w:t>decid</w:t>
      </w:r>
      <w:r w:rsidR="00AA49ED" w:rsidRPr="00C03235">
        <w:t>e</w:t>
      </w:r>
      <w:r w:rsidR="00C549C6" w:rsidRPr="00C03235">
        <w:t xml:space="preserve"> utilizar una </w:t>
      </w:r>
      <w:r w:rsidR="00121FE7" w:rsidRPr="00C03235">
        <w:t xml:space="preserve">aproximación </w:t>
      </w:r>
      <w:r w:rsidR="00C549C6" w:rsidRPr="00C03235">
        <w:t xml:space="preserve">distinta para </w:t>
      </w:r>
      <w:r w:rsidR="0010561D" w:rsidRPr="00C03235">
        <w:t>determinar el cargo del mercado de Nazareth y Puerto Estrella</w:t>
      </w:r>
      <w:r w:rsidR="006752A4" w:rsidRPr="00C03235">
        <w:t xml:space="preserve">, ya no desde los cargos aprobados para un mercado de referencia, </w:t>
      </w:r>
      <w:r w:rsidR="009F4A30" w:rsidRPr="00C03235">
        <w:t xml:space="preserve">sino </w:t>
      </w:r>
      <w:r w:rsidR="0010561D" w:rsidRPr="00C03235">
        <w:t xml:space="preserve">a través de </w:t>
      </w:r>
      <w:r w:rsidR="00951DE0" w:rsidRPr="00C03235">
        <w:t>tomar un caso tipo de menor escala</w:t>
      </w:r>
      <w:r w:rsidR="00002B77" w:rsidRPr="00C03235">
        <w:t xml:space="preserve"> con sus respectivos costos</w:t>
      </w:r>
      <w:r w:rsidR="00235B99" w:rsidRPr="00C03235">
        <w:t xml:space="preserve"> y considerar las particularidades que aplican para resolver esta solicitud, </w:t>
      </w:r>
      <w:r w:rsidR="00133E07" w:rsidRPr="00C03235">
        <w:t>principalmente las condiciones de disponibilidad de</w:t>
      </w:r>
      <w:r w:rsidR="003C7982" w:rsidRPr="00C03235">
        <w:t>l recurso solar de la zona</w:t>
      </w:r>
      <w:r w:rsidR="00F768A5" w:rsidRPr="00C03235">
        <w:t>, los costos de transporte e instalación</w:t>
      </w:r>
      <w:r w:rsidR="001B6CA6" w:rsidRPr="00C03235">
        <w:t xml:space="preserve"> respectivos</w:t>
      </w:r>
      <w:r w:rsidR="00313B88" w:rsidRPr="00C03235">
        <w:t xml:space="preserve"> y</w:t>
      </w:r>
      <w:r w:rsidR="0010561D" w:rsidRPr="00C03235">
        <w:t xml:space="preserve"> la</w:t>
      </w:r>
      <w:r w:rsidR="00E1348B" w:rsidRPr="00C03235">
        <w:t>s</w:t>
      </w:r>
      <w:r w:rsidR="0010561D" w:rsidRPr="00C03235">
        <w:t xml:space="preserve"> vida</w:t>
      </w:r>
      <w:r w:rsidR="00E1348B" w:rsidRPr="00C03235">
        <w:t>s</w:t>
      </w:r>
      <w:r w:rsidR="0010561D" w:rsidRPr="00C03235">
        <w:t xml:space="preserve"> útil</w:t>
      </w:r>
      <w:r w:rsidR="00E1348B" w:rsidRPr="00C03235">
        <w:t>es</w:t>
      </w:r>
      <w:r w:rsidR="0010561D" w:rsidRPr="00C03235">
        <w:t xml:space="preserve"> de</w:t>
      </w:r>
      <w:r w:rsidR="001D042B" w:rsidRPr="00C03235">
        <w:t xml:space="preserve"> este tipo de tecnologías, ya </w:t>
      </w:r>
      <w:r w:rsidR="00D90502" w:rsidRPr="00C03235">
        <w:t xml:space="preserve">soportadas en estudios con los que cuenta la Comisión y son de conocimiento </w:t>
      </w:r>
      <w:r w:rsidR="00F30ACA" w:rsidRPr="00C03235">
        <w:t>público</w:t>
      </w:r>
      <w:r w:rsidR="0010561D" w:rsidRPr="00C03235">
        <w:t>.</w:t>
      </w:r>
    </w:p>
    <w:bookmarkEnd w:id="4"/>
    <w:p w14:paraId="71EDB4EF" w14:textId="77777777" w:rsidR="0010561D" w:rsidRPr="00C03235" w:rsidRDefault="0010561D" w:rsidP="00C41465">
      <w:pPr>
        <w:jc w:val="both"/>
      </w:pPr>
    </w:p>
    <w:p w14:paraId="17A1D5F7" w14:textId="78DD1787" w:rsidR="00F74302" w:rsidRDefault="00AF5E5B">
      <w:pPr>
        <w:jc w:val="both"/>
      </w:pPr>
      <w:r w:rsidRPr="00C03235">
        <w:t>Con base en lo</w:t>
      </w:r>
      <w:r w:rsidR="00122758" w:rsidRPr="00C03235">
        <w:t xml:space="preserve"> expuesto en </w:t>
      </w:r>
      <w:r w:rsidR="00B16B72" w:rsidRPr="00C03235">
        <w:t xml:space="preserve">los </w:t>
      </w:r>
      <w:r w:rsidR="00122758" w:rsidRPr="00C03235">
        <w:t>numeral</w:t>
      </w:r>
      <w:r w:rsidR="00B16B72" w:rsidRPr="00C03235">
        <w:t>es</w:t>
      </w:r>
      <w:r w:rsidR="00122758" w:rsidRPr="00C03235">
        <w:t xml:space="preserve"> </w:t>
      </w:r>
      <w:r w:rsidR="002672F2">
        <w:t>anteriores</w:t>
      </w:r>
      <w:r w:rsidR="00126D14" w:rsidRPr="00C03235">
        <w:t xml:space="preserve">, </w:t>
      </w:r>
      <w:r w:rsidR="4077E38C" w:rsidRPr="00C03235">
        <w:t xml:space="preserve">esta Comisión </w:t>
      </w:r>
      <w:r w:rsidR="002672F2">
        <w:t>concluye</w:t>
      </w:r>
      <w:r w:rsidR="00F74302" w:rsidRPr="00C03235">
        <w:t>:</w:t>
      </w:r>
    </w:p>
    <w:p w14:paraId="493DB200" w14:textId="77777777" w:rsidR="004D74A5" w:rsidRPr="00C03235" w:rsidRDefault="004D74A5">
      <w:pPr>
        <w:jc w:val="both"/>
      </w:pPr>
    </w:p>
    <w:p w14:paraId="4740B24D" w14:textId="16B7937C" w:rsidR="00F74302" w:rsidRPr="00C03235" w:rsidRDefault="00B45745" w:rsidP="00811F6B">
      <w:pPr>
        <w:pStyle w:val="Prrafodelista"/>
        <w:numPr>
          <w:ilvl w:val="0"/>
          <w:numId w:val="21"/>
        </w:numPr>
        <w:ind w:left="426" w:hanging="284"/>
        <w:jc w:val="both"/>
      </w:pPr>
      <w:r w:rsidRPr="00C03235">
        <w:rPr>
          <w:sz w:val="24"/>
          <w:szCs w:val="24"/>
        </w:rPr>
        <w:t>N</w:t>
      </w:r>
      <w:r w:rsidR="4077E38C" w:rsidRPr="00C03235">
        <w:rPr>
          <w:sz w:val="24"/>
          <w:szCs w:val="24"/>
        </w:rPr>
        <w:t>o se utilizó únicamente un método matemático lineal de proporcionalidad</w:t>
      </w:r>
      <w:r w:rsidR="0017166C" w:rsidRPr="00C03235">
        <w:rPr>
          <w:sz w:val="24"/>
          <w:szCs w:val="24"/>
        </w:rPr>
        <w:t>.</w:t>
      </w:r>
    </w:p>
    <w:p w14:paraId="177BCECF" w14:textId="241E3496" w:rsidR="00F74302" w:rsidRPr="00C03235" w:rsidRDefault="009369BC" w:rsidP="00811F6B">
      <w:pPr>
        <w:pStyle w:val="Prrafodelista"/>
        <w:numPr>
          <w:ilvl w:val="0"/>
          <w:numId w:val="20"/>
        </w:numPr>
        <w:ind w:left="426" w:hanging="284"/>
        <w:jc w:val="both"/>
        <w:rPr>
          <w:sz w:val="24"/>
          <w:szCs w:val="24"/>
        </w:rPr>
      </w:pPr>
      <w:r w:rsidRPr="00C03235">
        <w:rPr>
          <w:sz w:val="24"/>
          <w:szCs w:val="24"/>
        </w:rPr>
        <w:lastRenderedPageBreak/>
        <w:t>N</w:t>
      </w:r>
      <w:r w:rsidR="005C5B14" w:rsidRPr="00C03235">
        <w:rPr>
          <w:sz w:val="24"/>
          <w:szCs w:val="24"/>
        </w:rPr>
        <w:t>o se extendieron equivocadamente los costos de</w:t>
      </w:r>
      <w:r w:rsidR="007602E6" w:rsidRPr="00C03235">
        <w:rPr>
          <w:sz w:val="24"/>
          <w:szCs w:val="24"/>
        </w:rPr>
        <w:t>l mercado</w:t>
      </w:r>
      <w:r w:rsidR="4077E38C" w:rsidRPr="00C03235">
        <w:rPr>
          <w:sz w:val="24"/>
          <w:szCs w:val="24"/>
        </w:rPr>
        <w:t xml:space="preserve"> </w:t>
      </w:r>
      <w:r w:rsidR="00FD6CB0" w:rsidRPr="00C03235">
        <w:rPr>
          <w:sz w:val="24"/>
          <w:szCs w:val="24"/>
        </w:rPr>
        <w:t xml:space="preserve">de </w:t>
      </w:r>
      <w:r w:rsidR="00364EB5" w:rsidRPr="00C03235">
        <w:rPr>
          <w:sz w:val="24"/>
          <w:szCs w:val="24"/>
        </w:rPr>
        <w:t>Unguía</w:t>
      </w:r>
      <w:r w:rsidR="007602E6" w:rsidRPr="00C03235">
        <w:rPr>
          <w:sz w:val="24"/>
          <w:szCs w:val="24"/>
        </w:rPr>
        <w:t xml:space="preserve"> </w:t>
      </w:r>
      <w:r w:rsidR="00F73B2E" w:rsidRPr="00C03235">
        <w:rPr>
          <w:sz w:val="24"/>
          <w:szCs w:val="24"/>
        </w:rPr>
        <w:t>al mercado de Nazareth y Puerto Estrella</w:t>
      </w:r>
      <w:r w:rsidR="0017166C" w:rsidRPr="00C03235">
        <w:rPr>
          <w:sz w:val="24"/>
          <w:szCs w:val="24"/>
        </w:rPr>
        <w:t>.</w:t>
      </w:r>
    </w:p>
    <w:p w14:paraId="7BD12756" w14:textId="216ACD7C" w:rsidR="00F74302" w:rsidRPr="00C03235" w:rsidRDefault="00DE7EDA" w:rsidP="00811F6B">
      <w:pPr>
        <w:pStyle w:val="Prrafodelista"/>
        <w:numPr>
          <w:ilvl w:val="0"/>
          <w:numId w:val="20"/>
        </w:numPr>
        <w:ind w:left="426" w:hanging="284"/>
        <w:jc w:val="both"/>
        <w:rPr>
          <w:sz w:val="24"/>
          <w:szCs w:val="24"/>
        </w:rPr>
      </w:pPr>
      <w:r w:rsidRPr="00C03235">
        <w:rPr>
          <w:sz w:val="24"/>
          <w:szCs w:val="24"/>
        </w:rPr>
        <w:t>L</w:t>
      </w:r>
      <w:r w:rsidR="006A3D2E" w:rsidRPr="00C03235">
        <w:rPr>
          <w:sz w:val="24"/>
          <w:szCs w:val="24"/>
        </w:rPr>
        <w:t xml:space="preserve">as condiciones de operación, específicamente la </w:t>
      </w:r>
      <w:r w:rsidR="00812058" w:rsidRPr="00C03235">
        <w:rPr>
          <w:sz w:val="24"/>
          <w:szCs w:val="24"/>
        </w:rPr>
        <w:t>radiación</w:t>
      </w:r>
      <w:r w:rsidR="006A3D2E" w:rsidRPr="00C03235">
        <w:rPr>
          <w:sz w:val="24"/>
          <w:szCs w:val="24"/>
        </w:rPr>
        <w:t xml:space="preserve"> </w:t>
      </w:r>
      <w:r w:rsidR="00812058" w:rsidRPr="00C03235">
        <w:rPr>
          <w:sz w:val="24"/>
          <w:szCs w:val="24"/>
        </w:rPr>
        <w:t xml:space="preserve">y los costos de transporte </w:t>
      </w:r>
      <w:r w:rsidR="00D10FEF" w:rsidRPr="00C03235">
        <w:rPr>
          <w:sz w:val="24"/>
          <w:szCs w:val="24"/>
        </w:rPr>
        <w:t>de</w:t>
      </w:r>
      <w:r w:rsidR="003B0A8D" w:rsidRPr="00C03235">
        <w:rPr>
          <w:sz w:val="24"/>
          <w:szCs w:val="24"/>
        </w:rPr>
        <w:t xml:space="preserve">l mercado de </w:t>
      </w:r>
      <w:r w:rsidR="00D10FEF" w:rsidRPr="00C03235">
        <w:rPr>
          <w:sz w:val="24"/>
          <w:szCs w:val="24"/>
        </w:rPr>
        <w:t xml:space="preserve">Nazareth </w:t>
      </w:r>
      <w:r w:rsidR="00812058" w:rsidRPr="00C03235">
        <w:rPr>
          <w:sz w:val="24"/>
          <w:szCs w:val="24"/>
        </w:rPr>
        <w:t xml:space="preserve">se tuvieron en cuenta en el </w:t>
      </w:r>
      <w:r w:rsidR="0084580F" w:rsidRPr="00C03235">
        <w:rPr>
          <w:sz w:val="24"/>
          <w:szCs w:val="24"/>
        </w:rPr>
        <w:t>cálculo</w:t>
      </w:r>
      <w:r w:rsidR="0008627B" w:rsidRPr="00C03235">
        <w:rPr>
          <w:sz w:val="24"/>
          <w:szCs w:val="24"/>
        </w:rPr>
        <w:t>.</w:t>
      </w:r>
    </w:p>
    <w:p w14:paraId="09347213" w14:textId="13B481BB" w:rsidR="009B7519" w:rsidRPr="00C03235" w:rsidRDefault="003B0A8D" w:rsidP="00811F6B">
      <w:pPr>
        <w:pStyle w:val="Prrafodelista"/>
        <w:numPr>
          <w:ilvl w:val="0"/>
          <w:numId w:val="20"/>
        </w:numPr>
        <w:ind w:left="426" w:hanging="284"/>
        <w:jc w:val="both"/>
        <w:rPr>
          <w:sz w:val="24"/>
          <w:szCs w:val="24"/>
        </w:rPr>
      </w:pPr>
      <w:r w:rsidRPr="00C03235">
        <w:rPr>
          <w:sz w:val="24"/>
          <w:szCs w:val="24"/>
        </w:rPr>
        <w:t>S</w:t>
      </w:r>
      <w:r w:rsidR="00F74302" w:rsidRPr="00C03235">
        <w:rPr>
          <w:sz w:val="24"/>
          <w:szCs w:val="24"/>
        </w:rPr>
        <w:t>e está resolviendo un cargo de generación para soluciones centralizadas</w:t>
      </w:r>
      <w:r w:rsidR="00BF7E16" w:rsidRPr="00C03235">
        <w:rPr>
          <w:sz w:val="24"/>
          <w:szCs w:val="24"/>
        </w:rPr>
        <w:t xml:space="preserve"> en donde los usuarios son atendidos mediante redes y</w:t>
      </w:r>
      <w:r w:rsidR="00942519" w:rsidRPr="00C03235">
        <w:rPr>
          <w:sz w:val="24"/>
          <w:szCs w:val="24"/>
        </w:rPr>
        <w:t>,</w:t>
      </w:r>
      <w:r w:rsidR="00F74302" w:rsidRPr="00C03235">
        <w:rPr>
          <w:sz w:val="24"/>
          <w:szCs w:val="24"/>
        </w:rPr>
        <w:t xml:space="preserve"> por ende</w:t>
      </w:r>
      <w:r w:rsidR="00271C4E" w:rsidRPr="00C03235">
        <w:rPr>
          <w:sz w:val="24"/>
          <w:szCs w:val="24"/>
        </w:rPr>
        <w:t>,</w:t>
      </w:r>
      <w:r w:rsidR="00F74302" w:rsidRPr="00C03235">
        <w:rPr>
          <w:sz w:val="24"/>
          <w:szCs w:val="24"/>
        </w:rPr>
        <w:t xml:space="preserve"> no se requiere</w:t>
      </w:r>
      <w:r w:rsidR="00284702" w:rsidRPr="00C03235">
        <w:rPr>
          <w:sz w:val="24"/>
          <w:szCs w:val="24"/>
        </w:rPr>
        <w:t xml:space="preserve"> </w:t>
      </w:r>
      <w:r w:rsidR="00271C4E" w:rsidRPr="00C03235">
        <w:rPr>
          <w:sz w:val="24"/>
          <w:szCs w:val="24"/>
        </w:rPr>
        <w:t xml:space="preserve">el </w:t>
      </w:r>
      <w:r w:rsidR="00284702" w:rsidRPr="00C03235">
        <w:rPr>
          <w:sz w:val="24"/>
          <w:szCs w:val="24"/>
        </w:rPr>
        <w:t>desplazamiento de operarios</w:t>
      </w:r>
      <w:r w:rsidR="008E2088" w:rsidRPr="00C03235">
        <w:rPr>
          <w:sz w:val="24"/>
          <w:szCs w:val="24"/>
        </w:rPr>
        <w:t xml:space="preserve"> para efectuar mantenimientos</w:t>
      </w:r>
      <w:r w:rsidR="00EC15C0" w:rsidRPr="00C03235">
        <w:rPr>
          <w:sz w:val="24"/>
          <w:szCs w:val="24"/>
        </w:rPr>
        <w:t>.</w:t>
      </w:r>
    </w:p>
    <w:p w14:paraId="23AF9AB9" w14:textId="0CC429A7" w:rsidR="00544896" w:rsidRPr="00C03235" w:rsidRDefault="00CD340D" w:rsidP="00811F6B">
      <w:pPr>
        <w:pStyle w:val="Prrafodelista"/>
        <w:numPr>
          <w:ilvl w:val="0"/>
          <w:numId w:val="20"/>
        </w:numPr>
        <w:ind w:left="426" w:hanging="284"/>
        <w:jc w:val="both"/>
        <w:rPr>
          <w:sz w:val="24"/>
          <w:szCs w:val="24"/>
        </w:rPr>
      </w:pPr>
      <w:r w:rsidRPr="00C03235">
        <w:rPr>
          <w:sz w:val="24"/>
          <w:szCs w:val="24"/>
        </w:rPr>
        <w:t>L</w:t>
      </w:r>
      <w:r w:rsidR="009B7519" w:rsidRPr="00C03235">
        <w:rPr>
          <w:sz w:val="24"/>
          <w:szCs w:val="24"/>
        </w:rPr>
        <w:t xml:space="preserve">a Comisión hizo envío del documento CREG 092 del 2019, soporte del cargo de generación de </w:t>
      </w:r>
      <w:r w:rsidR="00544896" w:rsidRPr="00C03235">
        <w:rPr>
          <w:sz w:val="24"/>
          <w:szCs w:val="24"/>
        </w:rPr>
        <w:t>Unguía</w:t>
      </w:r>
      <w:r w:rsidR="009B7519" w:rsidRPr="00C03235">
        <w:rPr>
          <w:sz w:val="24"/>
          <w:szCs w:val="24"/>
        </w:rPr>
        <w:t xml:space="preserve"> y los demás corregimientos por medio del radicado CREG S2023005675 del 29 de noviembre del 2023</w:t>
      </w:r>
      <w:r w:rsidR="006E2796" w:rsidRPr="00C03235">
        <w:rPr>
          <w:sz w:val="24"/>
          <w:szCs w:val="24"/>
        </w:rPr>
        <w:t>.</w:t>
      </w:r>
    </w:p>
    <w:p w14:paraId="3E479D95" w14:textId="42B9B996" w:rsidR="00544896" w:rsidRPr="00C03235" w:rsidRDefault="00563526" w:rsidP="00811F6B">
      <w:pPr>
        <w:pStyle w:val="Prrafodelista"/>
        <w:numPr>
          <w:ilvl w:val="0"/>
          <w:numId w:val="20"/>
        </w:numPr>
        <w:ind w:left="426" w:hanging="284"/>
        <w:jc w:val="both"/>
        <w:rPr>
          <w:sz w:val="24"/>
          <w:szCs w:val="24"/>
        </w:rPr>
      </w:pPr>
      <w:r w:rsidRPr="00C03235">
        <w:rPr>
          <w:sz w:val="24"/>
          <w:szCs w:val="24"/>
        </w:rPr>
        <w:t>Que</w:t>
      </w:r>
      <w:r w:rsidR="0080335B" w:rsidRPr="00C03235">
        <w:rPr>
          <w:sz w:val="24"/>
          <w:szCs w:val="24"/>
        </w:rPr>
        <w:t>,</w:t>
      </w:r>
      <w:r w:rsidRPr="00C03235">
        <w:rPr>
          <w:sz w:val="24"/>
          <w:szCs w:val="24"/>
        </w:rPr>
        <w:t xml:space="preserve"> con base en lo argumentado por HELIOS con relación a las economías de escala, la Comisión </w:t>
      </w:r>
      <w:r w:rsidR="002B327F" w:rsidRPr="00C03235">
        <w:rPr>
          <w:sz w:val="24"/>
          <w:szCs w:val="24"/>
        </w:rPr>
        <w:t>utiliza</w:t>
      </w:r>
      <w:r w:rsidR="002672F2">
        <w:rPr>
          <w:sz w:val="24"/>
          <w:szCs w:val="24"/>
        </w:rPr>
        <w:t>rá</w:t>
      </w:r>
      <w:r w:rsidR="002B327F" w:rsidRPr="00C03235">
        <w:rPr>
          <w:sz w:val="24"/>
          <w:szCs w:val="24"/>
        </w:rPr>
        <w:t xml:space="preserve"> </w:t>
      </w:r>
      <w:r w:rsidRPr="00C03235">
        <w:rPr>
          <w:sz w:val="24"/>
          <w:szCs w:val="24"/>
        </w:rPr>
        <w:t xml:space="preserve">una metodología </w:t>
      </w:r>
      <w:r w:rsidR="002B327F" w:rsidRPr="00C03235">
        <w:rPr>
          <w:sz w:val="24"/>
          <w:szCs w:val="24"/>
        </w:rPr>
        <w:t xml:space="preserve">alternativa a la </w:t>
      </w:r>
      <w:r w:rsidR="009E74AB" w:rsidRPr="00C03235">
        <w:rPr>
          <w:sz w:val="24"/>
          <w:szCs w:val="24"/>
        </w:rPr>
        <w:t xml:space="preserve">desarrollada en la Resolución CREG 501 004 de 2023 </w:t>
      </w:r>
      <w:r w:rsidRPr="00C03235">
        <w:rPr>
          <w:sz w:val="24"/>
          <w:szCs w:val="24"/>
        </w:rPr>
        <w:t>para resolver el cargo de generación del mercado de Nazareth y Puerto Estrella</w:t>
      </w:r>
      <w:r w:rsidR="009E74AB" w:rsidRPr="00C03235">
        <w:rPr>
          <w:sz w:val="24"/>
          <w:szCs w:val="24"/>
        </w:rPr>
        <w:t>.</w:t>
      </w:r>
    </w:p>
    <w:p w14:paraId="44FE93F4" w14:textId="77777777" w:rsidR="00811F6B" w:rsidRPr="00C03235" w:rsidRDefault="00811F6B" w:rsidP="00563526">
      <w:pPr>
        <w:jc w:val="both"/>
      </w:pPr>
    </w:p>
    <w:p w14:paraId="31072693" w14:textId="054705BD" w:rsidR="00563526" w:rsidRPr="00C03235" w:rsidRDefault="00563526" w:rsidP="00563526">
      <w:pPr>
        <w:jc w:val="both"/>
      </w:pPr>
      <w:r w:rsidRPr="00C03235">
        <w:t xml:space="preserve">Con base en lo anterior, </w:t>
      </w:r>
      <w:r w:rsidR="00C73F84" w:rsidRPr="00C03235">
        <w:t>la Comisión encuentra procedente reponer parcialmente</w:t>
      </w:r>
      <w:r w:rsidR="004F69A0" w:rsidRPr="00C03235">
        <w:t xml:space="preserve"> la Resolución CREG 501 004 de 2023</w:t>
      </w:r>
      <w:r w:rsidR="00675B8A" w:rsidRPr="00C03235">
        <w:t xml:space="preserve">, en lo </w:t>
      </w:r>
      <w:r w:rsidR="00B406B8" w:rsidRPr="00C03235">
        <w:t xml:space="preserve">relacionado con </w:t>
      </w:r>
      <w:r w:rsidR="00675B8A" w:rsidRPr="00C03235">
        <w:t xml:space="preserve">el valor de los cargos </w:t>
      </w:r>
      <w:r w:rsidR="008D7187" w:rsidRPr="00C03235">
        <w:t>de generación</w:t>
      </w:r>
      <w:r w:rsidR="0080335B" w:rsidRPr="00C03235">
        <w:t>.</w:t>
      </w:r>
    </w:p>
    <w:p w14:paraId="6DB131C6" w14:textId="77777777" w:rsidR="000E1319" w:rsidRPr="00C03235" w:rsidRDefault="000E1319" w:rsidP="00C41465">
      <w:pPr>
        <w:jc w:val="both"/>
      </w:pPr>
    </w:p>
    <w:p w14:paraId="58CE93BC" w14:textId="3256CB21" w:rsidR="00214CB3" w:rsidRPr="00C03235" w:rsidRDefault="00214CB3" w:rsidP="00C41465">
      <w:pPr>
        <w:pStyle w:val="Prrafodelista"/>
        <w:numPr>
          <w:ilvl w:val="1"/>
          <w:numId w:val="16"/>
        </w:numPr>
        <w:rPr>
          <w:bCs/>
          <w:iCs/>
        </w:rPr>
      </w:pPr>
      <w:r w:rsidRPr="00C03235">
        <w:rPr>
          <w:b/>
          <w:bCs/>
          <w:i/>
          <w:iCs/>
          <w:sz w:val="24"/>
          <w:szCs w:val="24"/>
        </w:rPr>
        <w:t>Debe darse cumplimiento al principio de suficiencia financiera</w:t>
      </w:r>
      <w:r w:rsidR="005349E4" w:rsidRPr="00C03235">
        <w:rPr>
          <w:b/>
          <w:bCs/>
          <w:i/>
          <w:iCs/>
          <w:sz w:val="24"/>
          <w:szCs w:val="24"/>
        </w:rPr>
        <w:t>: El cargo de la resolución 501 004 no cumple con el principio de la suficiencia financiera.</w:t>
      </w:r>
    </w:p>
    <w:p w14:paraId="359BFE38" w14:textId="77777777" w:rsidR="00BF6B12" w:rsidRPr="00C03235" w:rsidRDefault="00BF6B12" w:rsidP="00243393">
      <w:pPr>
        <w:pStyle w:val="Prrafodelista"/>
        <w:ind w:left="720"/>
        <w:jc w:val="both"/>
        <w:rPr>
          <w:b/>
          <w:i/>
          <w:sz w:val="24"/>
          <w:szCs w:val="24"/>
        </w:rPr>
      </w:pPr>
    </w:p>
    <w:p w14:paraId="579D0F96" w14:textId="4F717CEC" w:rsidR="00CE2C1C" w:rsidRPr="00C03235" w:rsidRDefault="00CE2C1C" w:rsidP="004D74A5">
      <w:pPr>
        <w:pStyle w:val="Prrafodelista"/>
        <w:numPr>
          <w:ilvl w:val="2"/>
          <w:numId w:val="16"/>
        </w:numPr>
        <w:tabs>
          <w:tab w:val="left" w:pos="1134"/>
        </w:tabs>
        <w:jc w:val="both"/>
        <w:rPr>
          <w:b/>
          <w:bCs/>
          <w:i/>
          <w:iCs/>
          <w:sz w:val="24"/>
          <w:szCs w:val="24"/>
        </w:rPr>
      </w:pPr>
      <w:r w:rsidRPr="00C03235">
        <w:rPr>
          <w:b/>
          <w:bCs/>
          <w:i/>
          <w:iCs/>
          <w:sz w:val="24"/>
          <w:szCs w:val="24"/>
        </w:rPr>
        <w:t>La decisión de la resolución impugnada no atiende a criterios específicos y relevantes para la prestación del servicio en Nazareth y Puerto Estrella, solo pretende la extensión de otros cargos tarifarios, para la prestación del servicio en otro departamento del país, al caso de Nazareth y Puerto Estrella.</w:t>
      </w:r>
    </w:p>
    <w:p w14:paraId="28EAFD07" w14:textId="77777777" w:rsidR="003A2FD8" w:rsidRPr="00C03235" w:rsidRDefault="003A2FD8" w:rsidP="003A2FD8">
      <w:pPr>
        <w:spacing w:line="259" w:lineRule="auto"/>
        <w:jc w:val="both"/>
      </w:pPr>
    </w:p>
    <w:p w14:paraId="1A10667B" w14:textId="26DD50AE" w:rsidR="00C808CA" w:rsidRPr="00C03235" w:rsidRDefault="7FDE8312" w:rsidP="003A2FD8">
      <w:pPr>
        <w:spacing w:line="259" w:lineRule="auto"/>
        <w:jc w:val="both"/>
      </w:pPr>
      <w:r w:rsidRPr="00C03235">
        <w:t xml:space="preserve">Como se indicó anteriormente, del </w:t>
      </w:r>
      <w:r w:rsidR="6A5C1A62" w:rsidRPr="00C03235">
        <w:t xml:space="preserve">análisis de la información </w:t>
      </w:r>
      <w:r w:rsidR="62A28FB0" w:rsidRPr="00C03235">
        <w:t>remitida por HELIOS</w:t>
      </w:r>
      <w:r w:rsidR="6A5C1A62" w:rsidRPr="00C03235">
        <w:t xml:space="preserve">, </w:t>
      </w:r>
      <w:r w:rsidR="1BEEB229" w:rsidRPr="00C03235">
        <w:t>esta Comisión</w:t>
      </w:r>
      <w:r w:rsidR="6A5C1A62" w:rsidRPr="00C03235">
        <w:t xml:space="preserve"> identificó que los </w:t>
      </w:r>
      <w:r w:rsidR="062EAC5A" w:rsidRPr="00C03235">
        <w:t xml:space="preserve">gastos de AOM </w:t>
      </w:r>
      <w:r w:rsidR="6A5C1A62" w:rsidRPr="00C03235">
        <w:t xml:space="preserve">aportados incluyen </w:t>
      </w:r>
      <w:r w:rsidR="062EAC5A" w:rsidRPr="00C03235">
        <w:t>valores asociados</w:t>
      </w:r>
      <w:r w:rsidR="6A5C1A62" w:rsidRPr="00C03235">
        <w:t xml:space="preserve"> a la</w:t>
      </w:r>
      <w:r w:rsidR="38415FEF" w:rsidRPr="00C03235">
        <w:t>s</w:t>
      </w:r>
      <w:r w:rsidR="6A5C1A62" w:rsidRPr="00C03235">
        <w:t xml:space="preserve"> actividad</w:t>
      </w:r>
      <w:r w:rsidR="60821BCE" w:rsidRPr="00C03235">
        <w:t>es</w:t>
      </w:r>
      <w:r w:rsidR="6A5C1A62" w:rsidRPr="00C03235">
        <w:t xml:space="preserve"> de distribución y comercialización</w:t>
      </w:r>
      <w:r w:rsidR="062EAC5A" w:rsidRPr="00C03235">
        <w:t>,</w:t>
      </w:r>
      <w:r w:rsidR="6645A7BC" w:rsidRPr="00C03235">
        <w:t xml:space="preserve"> </w:t>
      </w:r>
      <w:r w:rsidR="2F8C10DC" w:rsidRPr="00C03235">
        <w:t>los cuales</w:t>
      </w:r>
      <w:r w:rsidR="6645A7BC" w:rsidRPr="00C03235">
        <w:t xml:space="preserve"> no deben ser incluidos en el cálculo del cargo ya que</w:t>
      </w:r>
      <w:r w:rsidR="000009F3" w:rsidRPr="00C03235">
        <w:t>, según lo previsto en el marco tarifario vigente, estos</w:t>
      </w:r>
      <w:r w:rsidR="6645A7BC" w:rsidRPr="00C03235">
        <w:t xml:space="preserve"> </w:t>
      </w:r>
      <w:r w:rsidR="6A5C1A62" w:rsidRPr="00C03235">
        <w:t xml:space="preserve">no </w:t>
      </w:r>
      <w:r w:rsidR="7A71BFBC" w:rsidRPr="00C03235">
        <w:t>corresponden a la actividad de generación.</w:t>
      </w:r>
    </w:p>
    <w:p w14:paraId="18E09223" w14:textId="02B53932" w:rsidR="00A9109E" w:rsidRPr="00C03235" w:rsidRDefault="00A9109E" w:rsidP="000B08A9">
      <w:pPr>
        <w:jc w:val="both"/>
      </w:pPr>
    </w:p>
    <w:p w14:paraId="060280EA" w14:textId="008B4780" w:rsidR="001E34C0" w:rsidRPr="00C03235" w:rsidRDefault="00F55BAC" w:rsidP="333A38D3">
      <w:pPr>
        <w:jc w:val="both"/>
      </w:pPr>
      <w:r w:rsidRPr="00C03235">
        <w:t xml:space="preserve">De </w:t>
      </w:r>
      <w:r w:rsidR="662F630C" w:rsidRPr="00C03235">
        <w:t>otro lado</w:t>
      </w:r>
      <w:r w:rsidR="754ECC2E" w:rsidRPr="00C03235">
        <w:t xml:space="preserve">, </w:t>
      </w:r>
      <w:r w:rsidR="00017682" w:rsidRPr="00C03235">
        <w:t xml:space="preserve">tomar como referencia </w:t>
      </w:r>
      <w:r w:rsidR="754ECC2E" w:rsidRPr="00C03235">
        <w:t>l</w:t>
      </w:r>
      <w:r w:rsidR="265E6202" w:rsidRPr="00C03235">
        <w:t xml:space="preserve">os cargos de generación del mercado de Unguía </w:t>
      </w:r>
      <w:r w:rsidR="00B61B1D" w:rsidRPr="00C03235">
        <w:t xml:space="preserve">para determinar </w:t>
      </w:r>
      <w:r w:rsidR="00CB13E6" w:rsidRPr="00C03235">
        <w:t xml:space="preserve">los </w:t>
      </w:r>
      <w:r w:rsidR="00B61B1D" w:rsidRPr="00C03235">
        <w:t>cargo</w:t>
      </w:r>
      <w:r w:rsidR="00CB13E6" w:rsidRPr="00C03235">
        <w:t>s</w:t>
      </w:r>
      <w:r w:rsidR="00B61B1D" w:rsidRPr="00C03235">
        <w:t xml:space="preserve"> de generación del </w:t>
      </w:r>
      <w:r w:rsidR="00CB13E6" w:rsidRPr="00C03235">
        <w:t xml:space="preserve">mercado de Nazareth no </w:t>
      </w:r>
      <w:r w:rsidR="00836B40" w:rsidRPr="00C03235">
        <w:t>tiene como consecuencia que se desconozcan los principios tarifarios de eficiencia económica y de suficiencia financiera. Por el contrario, al inco</w:t>
      </w:r>
      <w:r w:rsidR="009D41AB" w:rsidRPr="00C03235">
        <w:t>rporar las condiciones particulares del mercado de Nazareth, ya mencionada</w:t>
      </w:r>
      <w:r w:rsidR="00F851DD" w:rsidRPr="00C03235">
        <w:t>s</w:t>
      </w:r>
      <w:r w:rsidR="009D41AB" w:rsidRPr="00C03235">
        <w:t xml:space="preserve"> anteriormente, </w:t>
      </w:r>
      <w:r w:rsidR="006A0A64" w:rsidRPr="00C03235">
        <w:t xml:space="preserve">se parte de unos cargos que </w:t>
      </w:r>
      <w:r w:rsidR="265E6202" w:rsidRPr="00C03235">
        <w:t xml:space="preserve">gozan de legalidad y </w:t>
      </w:r>
      <w:r w:rsidR="0090403A" w:rsidRPr="00C03235">
        <w:t xml:space="preserve">que </w:t>
      </w:r>
      <w:r w:rsidR="265E6202" w:rsidRPr="00C03235">
        <w:t xml:space="preserve">cumplen con </w:t>
      </w:r>
      <w:r w:rsidR="002729F9" w:rsidRPr="00C03235">
        <w:t xml:space="preserve">todos </w:t>
      </w:r>
      <w:r w:rsidR="265E6202" w:rsidRPr="00C03235">
        <w:t xml:space="preserve">los criterios </w:t>
      </w:r>
      <w:r w:rsidR="002729F9" w:rsidRPr="00C03235">
        <w:t>tarifarios que</w:t>
      </w:r>
      <w:r w:rsidR="00C45F47" w:rsidRPr="00C03235">
        <w:t xml:space="preserve"> establece la Ley y deben ser tenidos en cuenta </w:t>
      </w:r>
      <w:r w:rsidR="265E6202" w:rsidRPr="00C03235">
        <w:t xml:space="preserve">para definir el régimen tarifario, entre otros, </w:t>
      </w:r>
      <w:r w:rsidR="07EA7695" w:rsidRPr="00C03235">
        <w:t xml:space="preserve">los de </w:t>
      </w:r>
      <w:r w:rsidR="265E6202" w:rsidRPr="00C03235">
        <w:t>eficiencia econ</w:t>
      </w:r>
      <w:r w:rsidR="00C42A0D" w:rsidRPr="00C03235">
        <w:t>ó</w:t>
      </w:r>
      <w:r w:rsidR="265E6202" w:rsidRPr="00C03235">
        <w:t>m</w:t>
      </w:r>
      <w:r w:rsidR="007653FE" w:rsidRPr="00C03235">
        <w:t>ic</w:t>
      </w:r>
      <w:r w:rsidR="265E6202" w:rsidRPr="00C03235">
        <w:t xml:space="preserve">a y suficiencia financiera. </w:t>
      </w:r>
      <w:r w:rsidR="00E142CF" w:rsidRPr="00C03235">
        <w:t>Adicionalmente, l</w:t>
      </w:r>
      <w:r w:rsidR="265E6202" w:rsidRPr="00C03235">
        <w:t xml:space="preserve">a decisión </w:t>
      </w:r>
      <w:r w:rsidR="00B72197" w:rsidRPr="00C03235">
        <w:t>para el mercado de Unguía</w:t>
      </w:r>
      <w:r w:rsidR="005747B0" w:rsidRPr="00C03235">
        <w:t>,</w:t>
      </w:r>
      <w:r w:rsidR="00C30F95" w:rsidRPr="00C03235">
        <w:t xml:space="preserve"> </w:t>
      </w:r>
      <w:r w:rsidR="00A030AA">
        <w:t xml:space="preserve">definida en la </w:t>
      </w:r>
      <w:r w:rsidR="005747B0" w:rsidRPr="00C03235">
        <w:t xml:space="preserve">Resolución CREG 136 del 2019, </w:t>
      </w:r>
      <w:r w:rsidR="00C30F95" w:rsidRPr="00C03235">
        <w:t xml:space="preserve">fue </w:t>
      </w:r>
      <w:r w:rsidR="265E6202" w:rsidRPr="00C03235">
        <w:t>soport</w:t>
      </w:r>
      <w:r w:rsidR="00C30F95" w:rsidRPr="00C03235">
        <w:t>ada</w:t>
      </w:r>
      <w:r w:rsidR="265E6202" w:rsidRPr="00C03235">
        <w:t xml:space="preserve"> con estudios suficientes</w:t>
      </w:r>
      <w:r w:rsidR="00E142CF" w:rsidRPr="00C03235">
        <w:t xml:space="preserve">, en cumplimiento de </w:t>
      </w:r>
      <w:r w:rsidR="265E6202" w:rsidRPr="00C03235">
        <w:t>lo previsto en el artículo 124 de la ley 142 de 1994</w:t>
      </w:r>
      <w:r w:rsidR="78756EC8" w:rsidRPr="00C03235">
        <w:t>.</w:t>
      </w:r>
      <w:r w:rsidR="00404D42" w:rsidRPr="00C03235">
        <w:t xml:space="preserve"> El detalle de la metodología utilizada se encuentra en el numeral 3.2, inciso a) de la parte considerativa de la presente resolución.</w:t>
      </w:r>
    </w:p>
    <w:p w14:paraId="5E746F6C" w14:textId="77777777" w:rsidR="00A40B35" w:rsidRPr="00C03235" w:rsidRDefault="00A40B35" w:rsidP="00A40B35">
      <w:pPr>
        <w:jc w:val="both"/>
      </w:pPr>
    </w:p>
    <w:p w14:paraId="5CE7A6AE" w14:textId="02CE1907" w:rsidR="00777909" w:rsidRPr="00C03235" w:rsidRDefault="00777909" w:rsidP="00C41465">
      <w:pPr>
        <w:jc w:val="both"/>
      </w:pPr>
      <w:r w:rsidRPr="00C03235">
        <w:t xml:space="preserve">En vista de lo </w:t>
      </w:r>
      <w:r w:rsidR="000822F9" w:rsidRPr="00C03235">
        <w:t>anterior</w:t>
      </w:r>
      <w:r w:rsidR="00A030AA">
        <w:t>,</w:t>
      </w:r>
      <w:r w:rsidRPr="00C03235">
        <w:t xml:space="preserve"> la Comisión no encuentra </w:t>
      </w:r>
      <w:r w:rsidR="000822F9" w:rsidRPr="00C03235">
        <w:t xml:space="preserve">procedente </w:t>
      </w:r>
      <w:r w:rsidR="00E7505C" w:rsidRPr="00C03235">
        <w:t xml:space="preserve">lo </w:t>
      </w:r>
      <w:r w:rsidR="001E1001" w:rsidRPr="00C03235">
        <w:t xml:space="preserve">señalado por el </w:t>
      </w:r>
      <w:r w:rsidR="00E7505C" w:rsidRPr="00C03235">
        <w:t xml:space="preserve">recurrente </w:t>
      </w:r>
      <w:r w:rsidR="00344DF8" w:rsidRPr="00C03235">
        <w:t xml:space="preserve">ya que al tomar como referencia el cargo del mercado de Unguía, el </w:t>
      </w:r>
      <w:r w:rsidR="00344DF8" w:rsidRPr="00C03235">
        <w:lastRenderedPageBreak/>
        <w:t xml:space="preserve">cual fue aprobado por la Resolución CREG 136 del 2019, se entiende que </w:t>
      </w:r>
      <w:r w:rsidR="00715ECA" w:rsidRPr="00C03235">
        <w:t>este cumple con los criterios para definir el régimen tarifario</w:t>
      </w:r>
      <w:r w:rsidR="001C3968" w:rsidRPr="00C03235">
        <w:t>,</w:t>
      </w:r>
      <w:r w:rsidR="00715ECA" w:rsidRPr="00C03235">
        <w:t xml:space="preserve"> específicamente </w:t>
      </w:r>
      <w:r w:rsidR="001C3968" w:rsidRPr="00C03235">
        <w:t xml:space="preserve">los </w:t>
      </w:r>
      <w:r w:rsidR="00715ECA" w:rsidRPr="00C03235">
        <w:t>de suficiencia financiera y eficiencia económica</w:t>
      </w:r>
      <w:r w:rsidR="00653324" w:rsidRPr="00C03235">
        <w:t>, y con base en ello</w:t>
      </w:r>
      <w:r w:rsidR="00A030AA">
        <w:t>,</w:t>
      </w:r>
      <w:r w:rsidR="00653324" w:rsidRPr="00C03235">
        <w:t xml:space="preserve"> </w:t>
      </w:r>
      <w:r w:rsidR="00BF7132" w:rsidRPr="00C03235">
        <w:t xml:space="preserve">se calculó el cargo </w:t>
      </w:r>
      <w:r w:rsidR="00887252" w:rsidRPr="00C03235">
        <w:t>para la actividad de generación del mercado de Nazareth y Puerto Estrella</w:t>
      </w:r>
      <w:r w:rsidR="009B45AC" w:rsidRPr="00C03235">
        <w:t>.</w:t>
      </w:r>
    </w:p>
    <w:p w14:paraId="6DFA7AD5" w14:textId="77777777" w:rsidR="000B2BF8" w:rsidRPr="00C03235" w:rsidRDefault="000B2BF8" w:rsidP="000B2BF8"/>
    <w:p w14:paraId="2EBBE924" w14:textId="35ABADC6" w:rsidR="00F73DF5" w:rsidRPr="00C03235" w:rsidRDefault="00957E1B" w:rsidP="00C41465">
      <w:pPr>
        <w:pStyle w:val="Prrafodelista"/>
        <w:numPr>
          <w:ilvl w:val="1"/>
          <w:numId w:val="16"/>
        </w:numPr>
        <w:rPr>
          <w:bCs/>
          <w:iCs/>
        </w:rPr>
      </w:pPr>
      <w:r w:rsidRPr="00C03235">
        <w:rPr>
          <w:b/>
          <w:bCs/>
          <w:i/>
          <w:iCs/>
          <w:sz w:val="24"/>
          <w:szCs w:val="24"/>
        </w:rPr>
        <w:t>Revisar el parámetro Beta a partir de los costos de generación con Diesel</w:t>
      </w:r>
    </w:p>
    <w:p w14:paraId="717D03F6" w14:textId="70883384" w:rsidR="001305FA" w:rsidRPr="00C03235" w:rsidRDefault="001305FA" w:rsidP="007760F0">
      <w:pPr>
        <w:ind w:left="708" w:firstLine="12"/>
        <w:jc w:val="both"/>
        <w:rPr>
          <w:b/>
          <w:bCs/>
        </w:rPr>
      </w:pPr>
    </w:p>
    <w:p w14:paraId="6FDE437D" w14:textId="6631BD18" w:rsidR="001305FA" w:rsidRPr="00C03235" w:rsidRDefault="001305FA" w:rsidP="00C41465">
      <w:pPr>
        <w:pStyle w:val="Prrafodelista"/>
        <w:numPr>
          <w:ilvl w:val="2"/>
          <w:numId w:val="16"/>
        </w:numPr>
        <w:jc w:val="both"/>
        <w:rPr>
          <w:b/>
          <w:bCs/>
          <w:i/>
          <w:iCs/>
          <w:sz w:val="24"/>
          <w:szCs w:val="24"/>
        </w:rPr>
      </w:pPr>
      <w:r w:rsidRPr="00C03235">
        <w:rPr>
          <w:b/>
          <w:bCs/>
          <w:i/>
          <w:iCs/>
          <w:sz w:val="24"/>
          <w:szCs w:val="24"/>
        </w:rPr>
        <w:t xml:space="preserve">Los grupos electrógenos son de 600 KVA, 480 kW. Las tablas para grupos diésel en la Resolución CREG 091 de 2007 están en KW y no en KVA. </w:t>
      </w:r>
    </w:p>
    <w:p w14:paraId="391715F7" w14:textId="77777777" w:rsidR="001F097E" w:rsidRPr="00C03235" w:rsidRDefault="001F097E" w:rsidP="001F097E">
      <w:pPr>
        <w:jc w:val="both"/>
        <w:rPr>
          <w:i/>
          <w:iCs/>
        </w:rPr>
      </w:pPr>
    </w:p>
    <w:p w14:paraId="10099CB1" w14:textId="3DE3DE87" w:rsidR="007A0542" w:rsidRPr="00C03235" w:rsidRDefault="79348EF5" w:rsidP="001C3FCD">
      <w:pPr>
        <w:spacing w:line="259" w:lineRule="auto"/>
        <w:jc w:val="both"/>
      </w:pPr>
      <w:r w:rsidRPr="00C03235">
        <w:t xml:space="preserve">De acuerdo con </w:t>
      </w:r>
      <w:r w:rsidR="6D8645FE" w:rsidRPr="00C03235">
        <w:t>lo argumentado por el</w:t>
      </w:r>
      <w:r w:rsidR="5AD63E1E" w:rsidRPr="00C03235">
        <w:t xml:space="preserve"> recurrente</w:t>
      </w:r>
      <w:r w:rsidRPr="00C03235">
        <w:t xml:space="preserve">, la Comisión procedió a revisar </w:t>
      </w:r>
      <w:r w:rsidR="43D069EF" w:rsidRPr="00C03235">
        <w:t xml:space="preserve">la potencia en kW de los grupos electrógenos </w:t>
      </w:r>
      <w:r w:rsidR="67E100D0" w:rsidRPr="00C03235">
        <w:t>para el cálculo del cargo de generación</w:t>
      </w:r>
      <w:r w:rsidR="3C27F8C8" w:rsidRPr="00C03235">
        <w:t xml:space="preserve"> con Diesel</w:t>
      </w:r>
      <w:r w:rsidR="67E100D0" w:rsidRPr="00C03235">
        <w:t>,</w:t>
      </w:r>
      <w:r w:rsidR="3C27F8C8" w:rsidRPr="00C03235">
        <w:t xml:space="preserve"> </w:t>
      </w:r>
      <w:r w:rsidR="52C3945C" w:rsidRPr="00C03235">
        <w:t xml:space="preserve">tomando como base </w:t>
      </w:r>
      <w:r w:rsidR="67E100D0" w:rsidRPr="00C03235">
        <w:t xml:space="preserve">la información contenida en el diagrama unifilar </w:t>
      </w:r>
      <w:r w:rsidR="4E444103" w:rsidRPr="00C03235">
        <w:t>a través del radicado</w:t>
      </w:r>
      <w:r w:rsidR="67E100D0" w:rsidRPr="00C03235">
        <w:t xml:space="preserve"> E2022008662</w:t>
      </w:r>
      <w:r w:rsidR="707ED4E7" w:rsidRPr="00C03235">
        <w:t>,</w:t>
      </w:r>
      <w:r w:rsidR="67E100D0" w:rsidRPr="00C03235">
        <w:t xml:space="preserve"> en el que se pueden observar dos grupos electrógenos de 364kW (445kVA) y de 455kW (569kVA). A continuación, se muestra</w:t>
      </w:r>
      <w:r w:rsidR="5484E264" w:rsidRPr="00C03235">
        <w:t>n</w:t>
      </w:r>
      <w:r w:rsidR="67E100D0" w:rsidRPr="00C03235">
        <w:t xml:space="preserve"> los grupos electrógenos en el diagrama unifilar.</w:t>
      </w:r>
    </w:p>
    <w:p w14:paraId="5BCCE83F" w14:textId="77777777" w:rsidR="007A0542" w:rsidRPr="00C03235" w:rsidRDefault="007A0542" w:rsidP="007A0542">
      <w:pPr>
        <w:jc w:val="both"/>
      </w:pPr>
    </w:p>
    <w:p w14:paraId="5EF6B0B2" w14:textId="77777777" w:rsidR="007A0542" w:rsidRPr="00C03235" w:rsidRDefault="007A0542" w:rsidP="007A0542">
      <w:pPr>
        <w:jc w:val="center"/>
      </w:pPr>
      <w:r w:rsidRPr="00C03235">
        <w:rPr>
          <w:noProof/>
        </w:rPr>
        <w:drawing>
          <wp:inline distT="0" distB="0" distL="0" distR="0" wp14:anchorId="5995F893" wp14:editId="696E0D3F">
            <wp:extent cx="5082159" cy="3131185"/>
            <wp:effectExtent l="19050" t="19050" r="23495" b="12065"/>
            <wp:docPr id="1881513443" name="Imagen 18815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58239" name=""/>
                    <pic:cNvPicPr/>
                  </pic:nvPicPr>
                  <pic:blipFill rotWithShape="1">
                    <a:blip r:embed="rId22"/>
                    <a:srcRect t="5301"/>
                    <a:stretch/>
                  </pic:blipFill>
                  <pic:spPr bwMode="auto">
                    <a:xfrm>
                      <a:off x="0" y="0"/>
                      <a:ext cx="5085854" cy="31334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AEAAAD" w14:textId="39F5A9A2" w:rsidR="0018062A" w:rsidRPr="00C03235" w:rsidRDefault="0018062A" w:rsidP="00EF72EA">
      <w:pPr>
        <w:rPr>
          <w:sz w:val="20"/>
          <w:szCs w:val="20"/>
        </w:rPr>
      </w:pPr>
      <w:r w:rsidRPr="00C03235">
        <w:rPr>
          <w:sz w:val="20"/>
          <w:szCs w:val="20"/>
        </w:rPr>
        <w:t>Fuente: Diagrama unifilar enviado por HELIOS por medio del Auto de Pruebas S-2022-002703.</w:t>
      </w:r>
    </w:p>
    <w:p w14:paraId="588C872D" w14:textId="6FA7D6E0" w:rsidR="007A0542" w:rsidRPr="00C03235" w:rsidRDefault="007A0542" w:rsidP="007A0542"/>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842"/>
      </w:tblGrid>
      <w:tr w:rsidR="007A0542" w:rsidRPr="00C03235" w14:paraId="6F96EDC6" w14:textId="77777777" w:rsidTr="00EF72EA">
        <w:trPr>
          <w:trHeight w:val="459"/>
          <w:jc w:val="center"/>
        </w:trPr>
        <w:tc>
          <w:tcPr>
            <w:tcW w:w="2689" w:type="dxa"/>
            <w:shd w:val="clear" w:color="auto" w:fill="BFBFBF" w:themeFill="background1" w:themeFillShade="BF"/>
            <w:vAlign w:val="center"/>
            <w:hideMark/>
          </w:tcPr>
          <w:p w14:paraId="222ABA57" w14:textId="77777777" w:rsidR="007A0542" w:rsidRPr="00C03235" w:rsidRDefault="007A0542">
            <w:pPr>
              <w:jc w:val="center"/>
              <w:rPr>
                <w:rFonts w:cs="Calibri"/>
                <w:b/>
                <w:bCs/>
                <w:color w:val="FFFFFF"/>
                <w:sz w:val="20"/>
                <w:szCs w:val="20"/>
              </w:rPr>
            </w:pPr>
            <w:r w:rsidRPr="00C03235">
              <w:rPr>
                <w:rFonts w:cs="Calibri"/>
                <w:b/>
                <w:bCs/>
                <w:sz w:val="20"/>
                <w:szCs w:val="20"/>
              </w:rPr>
              <w:t xml:space="preserve"> Descripción</w:t>
            </w:r>
          </w:p>
        </w:tc>
        <w:tc>
          <w:tcPr>
            <w:tcW w:w="1842" w:type="dxa"/>
            <w:shd w:val="clear" w:color="auto" w:fill="BFBFBF" w:themeFill="background1" w:themeFillShade="BF"/>
            <w:vAlign w:val="center"/>
          </w:tcPr>
          <w:p w14:paraId="5C3B7225" w14:textId="77777777" w:rsidR="007A0542" w:rsidRPr="00C03235" w:rsidRDefault="007A0542">
            <w:pPr>
              <w:jc w:val="center"/>
              <w:rPr>
                <w:rFonts w:cs="Calibri"/>
                <w:b/>
                <w:bCs/>
                <w:color w:val="FFFFFF"/>
                <w:sz w:val="20"/>
                <w:szCs w:val="20"/>
              </w:rPr>
            </w:pPr>
            <w:r w:rsidRPr="00C03235">
              <w:rPr>
                <w:rFonts w:cs="Calibri"/>
                <w:b/>
                <w:bCs/>
                <w:sz w:val="20"/>
                <w:szCs w:val="20"/>
              </w:rPr>
              <w:t>Potencia activa</w:t>
            </w:r>
          </w:p>
        </w:tc>
      </w:tr>
      <w:tr w:rsidR="007A0542" w:rsidRPr="00C03235" w14:paraId="4CBDEA67" w14:textId="77777777">
        <w:trPr>
          <w:trHeight w:val="385"/>
          <w:jc w:val="center"/>
        </w:trPr>
        <w:tc>
          <w:tcPr>
            <w:tcW w:w="2689" w:type="dxa"/>
            <w:shd w:val="clear" w:color="auto" w:fill="auto"/>
            <w:noWrap/>
            <w:vAlign w:val="center"/>
            <w:hideMark/>
          </w:tcPr>
          <w:p w14:paraId="0C2CBA32" w14:textId="77777777" w:rsidR="007A0542" w:rsidRPr="00C03235" w:rsidRDefault="007A0542">
            <w:pPr>
              <w:rPr>
                <w:rFonts w:cs="Calibri"/>
                <w:b/>
                <w:bCs/>
                <w:color w:val="000000"/>
                <w:sz w:val="18"/>
                <w:szCs w:val="18"/>
              </w:rPr>
            </w:pPr>
            <w:r w:rsidRPr="00C03235">
              <w:rPr>
                <w:rFonts w:cs="Calibri"/>
                <w:b/>
                <w:bCs/>
                <w:color w:val="000000"/>
                <w:sz w:val="18"/>
                <w:szCs w:val="18"/>
              </w:rPr>
              <w:t>Grupo electrógeno 1</w:t>
            </w:r>
          </w:p>
        </w:tc>
        <w:tc>
          <w:tcPr>
            <w:tcW w:w="1842" w:type="dxa"/>
            <w:shd w:val="clear" w:color="auto" w:fill="auto"/>
            <w:noWrap/>
            <w:vAlign w:val="center"/>
            <w:hideMark/>
          </w:tcPr>
          <w:p w14:paraId="2AEFCDFB" w14:textId="0AE626A0" w:rsidR="007A0542" w:rsidRPr="00C03235" w:rsidRDefault="007A0542" w:rsidP="00EF72EA">
            <w:pPr>
              <w:jc w:val="center"/>
              <w:rPr>
                <w:rFonts w:cs="Calibri"/>
                <w:color w:val="000000"/>
                <w:sz w:val="18"/>
                <w:szCs w:val="18"/>
              </w:rPr>
            </w:pPr>
            <w:r w:rsidRPr="00C03235">
              <w:rPr>
                <w:rFonts w:cs="Calibri"/>
                <w:color w:val="000000"/>
                <w:sz w:val="18"/>
                <w:szCs w:val="18"/>
              </w:rPr>
              <w:t>364</w:t>
            </w:r>
            <w:r w:rsidR="0020061B" w:rsidRPr="00C03235">
              <w:rPr>
                <w:rFonts w:cs="Calibri"/>
                <w:color w:val="000000"/>
                <w:sz w:val="18"/>
                <w:szCs w:val="18"/>
              </w:rPr>
              <w:t xml:space="preserve"> </w:t>
            </w:r>
            <w:r w:rsidRPr="00C03235">
              <w:rPr>
                <w:rFonts w:cs="Calibri"/>
                <w:color w:val="000000"/>
                <w:sz w:val="18"/>
                <w:szCs w:val="18"/>
              </w:rPr>
              <w:t>kW</w:t>
            </w:r>
          </w:p>
        </w:tc>
      </w:tr>
      <w:tr w:rsidR="007A0542" w:rsidRPr="00C03235" w14:paraId="5EFE1C82" w14:textId="77777777">
        <w:trPr>
          <w:trHeight w:val="418"/>
          <w:jc w:val="center"/>
        </w:trPr>
        <w:tc>
          <w:tcPr>
            <w:tcW w:w="2689" w:type="dxa"/>
            <w:shd w:val="clear" w:color="auto" w:fill="auto"/>
            <w:noWrap/>
            <w:vAlign w:val="center"/>
            <w:hideMark/>
          </w:tcPr>
          <w:p w14:paraId="2CD6518D" w14:textId="77777777" w:rsidR="007A0542" w:rsidRPr="00C03235" w:rsidRDefault="007A0542">
            <w:pPr>
              <w:rPr>
                <w:rFonts w:cs="Calibri"/>
                <w:b/>
                <w:bCs/>
                <w:color w:val="000000"/>
                <w:sz w:val="18"/>
                <w:szCs w:val="18"/>
              </w:rPr>
            </w:pPr>
            <w:r w:rsidRPr="00C03235">
              <w:rPr>
                <w:rFonts w:cs="Calibri"/>
                <w:b/>
                <w:bCs/>
                <w:color w:val="000000"/>
                <w:sz w:val="18"/>
                <w:szCs w:val="18"/>
              </w:rPr>
              <w:t>Grupo electrógeno 2</w:t>
            </w:r>
          </w:p>
        </w:tc>
        <w:tc>
          <w:tcPr>
            <w:tcW w:w="1842" w:type="dxa"/>
            <w:shd w:val="clear" w:color="auto" w:fill="auto"/>
            <w:noWrap/>
            <w:vAlign w:val="center"/>
            <w:hideMark/>
          </w:tcPr>
          <w:p w14:paraId="350369C9" w14:textId="3A648198" w:rsidR="007A0542" w:rsidRPr="00C03235" w:rsidRDefault="007A0542" w:rsidP="00EF72EA">
            <w:pPr>
              <w:jc w:val="center"/>
              <w:rPr>
                <w:rFonts w:cs="Calibri"/>
                <w:color w:val="000000"/>
                <w:sz w:val="18"/>
                <w:szCs w:val="18"/>
              </w:rPr>
            </w:pPr>
            <w:r w:rsidRPr="00C03235">
              <w:rPr>
                <w:rFonts w:cs="Calibri"/>
                <w:color w:val="000000"/>
                <w:sz w:val="18"/>
                <w:szCs w:val="18"/>
              </w:rPr>
              <w:t>455</w:t>
            </w:r>
            <w:r w:rsidR="0020061B" w:rsidRPr="00C03235">
              <w:rPr>
                <w:rFonts w:cs="Calibri"/>
                <w:color w:val="000000"/>
                <w:sz w:val="18"/>
                <w:szCs w:val="18"/>
              </w:rPr>
              <w:t xml:space="preserve"> </w:t>
            </w:r>
            <w:r w:rsidRPr="00C03235">
              <w:rPr>
                <w:rFonts w:cs="Calibri"/>
                <w:color w:val="000000"/>
                <w:sz w:val="18"/>
                <w:szCs w:val="18"/>
              </w:rPr>
              <w:t>kW</w:t>
            </w:r>
          </w:p>
        </w:tc>
      </w:tr>
    </w:tbl>
    <w:p w14:paraId="559894EC" w14:textId="77777777" w:rsidR="007A0542" w:rsidRPr="00C03235" w:rsidRDefault="007A0542" w:rsidP="007A0542"/>
    <w:p w14:paraId="052E4685" w14:textId="480F44CA" w:rsidR="0030770B" w:rsidRPr="00C03235" w:rsidRDefault="1E90872E" w:rsidP="00C41465">
      <w:pPr>
        <w:pStyle w:val="Textodebloque"/>
        <w:ind w:right="6"/>
        <w:contextualSpacing/>
        <w:rPr>
          <w:rFonts w:ascii="Bookman Old Style" w:hAnsi="Bookman Old Style"/>
          <w:lang w:val="es-CO"/>
        </w:rPr>
      </w:pPr>
      <w:r w:rsidRPr="00C03235">
        <w:rPr>
          <w:rFonts w:ascii="Bookman Old Style" w:hAnsi="Bookman Old Style"/>
          <w:lang w:val="es-CO"/>
        </w:rPr>
        <w:t xml:space="preserve">Con fundamento en lo anterior, esta Comisión </w:t>
      </w:r>
      <w:r w:rsidR="38172EF4" w:rsidRPr="00C03235">
        <w:rPr>
          <w:rFonts w:ascii="Bookman Old Style" w:hAnsi="Bookman Old Style"/>
          <w:lang w:val="es-CO"/>
        </w:rPr>
        <w:t xml:space="preserve">considera procedente </w:t>
      </w:r>
      <w:r w:rsidR="00033F93" w:rsidRPr="00C03235">
        <w:rPr>
          <w:rFonts w:ascii="Bookman Old Style" w:hAnsi="Bookman Old Style"/>
          <w:lang w:val="es-CO"/>
        </w:rPr>
        <w:t>revisar el cálculo del costo de generación diésel</w:t>
      </w:r>
      <w:r w:rsidR="48EE839F" w:rsidRPr="00C03235">
        <w:rPr>
          <w:rFonts w:ascii="Bookman Old Style" w:hAnsi="Bookman Old Style"/>
          <w:lang w:val="es-CO"/>
        </w:rPr>
        <w:t xml:space="preserve">. Sin embargo, </w:t>
      </w:r>
      <w:r w:rsidR="003E075C" w:rsidRPr="00C03235">
        <w:rPr>
          <w:rFonts w:ascii="Bookman Old Style" w:hAnsi="Bookman Old Style"/>
          <w:lang w:val="es-CO"/>
        </w:rPr>
        <w:t xml:space="preserve">este cálculo se revisa </w:t>
      </w:r>
      <w:r w:rsidR="00CE10E2" w:rsidRPr="00C03235">
        <w:rPr>
          <w:rFonts w:ascii="Bookman Old Style" w:hAnsi="Bookman Old Style"/>
          <w:lang w:val="es-CO"/>
        </w:rPr>
        <w:t xml:space="preserve">con </w:t>
      </w:r>
      <w:r w:rsidR="38A9E0CE" w:rsidRPr="00C03235">
        <w:rPr>
          <w:rFonts w:ascii="Bookman Old Style" w:hAnsi="Bookman Old Style"/>
          <w:lang w:val="es-CO"/>
        </w:rPr>
        <w:t xml:space="preserve">los </w:t>
      </w:r>
      <w:r w:rsidR="00CE10E2" w:rsidRPr="00C03235">
        <w:rPr>
          <w:rFonts w:ascii="Bookman Old Style" w:hAnsi="Bookman Old Style"/>
          <w:lang w:val="es-CO"/>
        </w:rPr>
        <w:t xml:space="preserve">datos </w:t>
      </w:r>
      <w:r w:rsidR="2047B24E" w:rsidRPr="00C03235">
        <w:rPr>
          <w:rFonts w:ascii="Bookman Old Style" w:hAnsi="Bookman Old Style"/>
          <w:lang w:val="es-CO"/>
        </w:rPr>
        <w:t xml:space="preserve">que se encuentran </w:t>
      </w:r>
      <w:r w:rsidR="25F62A37" w:rsidRPr="00C03235">
        <w:rPr>
          <w:rFonts w:ascii="Bookman Old Style" w:hAnsi="Bookman Old Style"/>
          <w:lang w:val="es-CO"/>
        </w:rPr>
        <w:t xml:space="preserve">en el diagrama unifilar </w:t>
      </w:r>
      <w:r w:rsidR="6E0402E3" w:rsidRPr="00C03235">
        <w:rPr>
          <w:rFonts w:ascii="Bookman Old Style" w:hAnsi="Bookman Old Style"/>
          <w:lang w:val="es-CO"/>
        </w:rPr>
        <w:t>enviado por la</w:t>
      </w:r>
      <w:r w:rsidR="01EF968E" w:rsidRPr="00C03235">
        <w:rPr>
          <w:rFonts w:ascii="Bookman Old Style" w:hAnsi="Bookman Old Style"/>
          <w:lang w:val="es-CO"/>
        </w:rPr>
        <w:t xml:space="preserve"> HELIOS </w:t>
      </w:r>
      <w:r w:rsidR="6E0402E3" w:rsidRPr="00C03235">
        <w:rPr>
          <w:rFonts w:ascii="Bookman Old Style" w:hAnsi="Bookman Old Style"/>
          <w:lang w:val="es-CO"/>
        </w:rPr>
        <w:t>en el radicado E-2022-008662.</w:t>
      </w:r>
      <w:r w:rsidR="00D00182" w:rsidRPr="00C03235">
        <w:rPr>
          <w:rFonts w:ascii="Bookman Old Style" w:hAnsi="Bookman Old Style"/>
          <w:lang w:val="es-CO"/>
        </w:rPr>
        <w:t xml:space="preserve"> </w:t>
      </w:r>
      <w:r w:rsidR="00FE43EA" w:rsidRPr="00C03235">
        <w:rPr>
          <w:rFonts w:ascii="Bookman Old Style" w:hAnsi="Bookman Old Style"/>
          <w:lang w:val="es-CO"/>
        </w:rPr>
        <w:t>El</w:t>
      </w:r>
      <w:r w:rsidR="00A330C1" w:rsidRPr="00C03235">
        <w:rPr>
          <w:rFonts w:ascii="Bookman Old Style" w:hAnsi="Bookman Old Style"/>
          <w:lang w:val="es-CO"/>
        </w:rPr>
        <w:t xml:space="preserve"> c</w:t>
      </w:r>
      <w:r w:rsidR="00EF72EA" w:rsidRPr="00C03235">
        <w:rPr>
          <w:rFonts w:ascii="Bookman Old Style" w:hAnsi="Bookman Old Style"/>
          <w:lang w:val="es-CO"/>
        </w:rPr>
        <w:t>á</w:t>
      </w:r>
      <w:r w:rsidR="00A330C1" w:rsidRPr="00C03235">
        <w:rPr>
          <w:rFonts w:ascii="Bookman Old Style" w:hAnsi="Bookman Old Style"/>
          <w:lang w:val="es-CO"/>
        </w:rPr>
        <w:t>lculo</w:t>
      </w:r>
      <w:r w:rsidR="0051187A" w:rsidRPr="00C03235">
        <w:rPr>
          <w:rFonts w:ascii="Bookman Old Style" w:hAnsi="Bookman Old Style"/>
          <w:lang w:val="es-CO"/>
        </w:rPr>
        <w:t xml:space="preserve"> se </w:t>
      </w:r>
      <w:r w:rsidR="00A330C1" w:rsidRPr="00C03235">
        <w:rPr>
          <w:rFonts w:ascii="Bookman Old Style" w:hAnsi="Bookman Old Style"/>
          <w:lang w:val="es-CO"/>
        </w:rPr>
        <w:t>detalla</w:t>
      </w:r>
      <w:r w:rsidR="0051187A" w:rsidRPr="00C03235">
        <w:rPr>
          <w:rFonts w:ascii="Bookman Old Style" w:hAnsi="Bookman Old Style"/>
          <w:lang w:val="es-CO"/>
        </w:rPr>
        <w:t xml:space="preserve"> en </w:t>
      </w:r>
      <w:r w:rsidR="0051187A" w:rsidRPr="00DB55D9">
        <w:rPr>
          <w:rFonts w:ascii="Bookman Old Style" w:hAnsi="Bookman Old Style"/>
          <w:lang w:val="es-CO"/>
        </w:rPr>
        <w:t xml:space="preserve">el documento </w:t>
      </w:r>
      <w:r w:rsidR="00DF4C85" w:rsidRPr="00DB55D9">
        <w:rPr>
          <w:rFonts w:ascii="Bookman Old Style" w:hAnsi="Bookman Old Style"/>
          <w:lang w:val="es-CO"/>
        </w:rPr>
        <w:t xml:space="preserve">CREG </w:t>
      </w:r>
      <w:r w:rsidR="00DB55D9" w:rsidRPr="00DB55D9">
        <w:rPr>
          <w:rFonts w:ascii="Bookman Old Style" w:hAnsi="Bookman Old Style"/>
          <w:lang w:val="es-CO"/>
        </w:rPr>
        <w:t>901 154</w:t>
      </w:r>
      <w:r w:rsidR="00D223CA" w:rsidRPr="00DB55D9">
        <w:rPr>
          <w:rFonts w:ascii="Bookman Old Style" w:hAnsi="Bookman Old Style"/>
          <w:lang w:val="es-CO"/>
        </w:rPr>
        <w:t xml:space="preserve"> de 2024</w:t>
      </w:r>
      <w:r w:rsidR="00561E9F" w:rsidRPr="00DB55D9">
        <w:rPr>
          <w:rFonts w:ascii="Bookman Old Style" w:hAnsi="Bookman Old Style"/>
          <w:lang w:val="es-CO"/>
        </w:rPr>
        <w:t>.</w:t>
      </w:r>
    </w:p>
    <w:p w14:paraId="32ECD5BF" w14:textId="580E3A7B" w:rsidR="00051838" w:rsidRPr="00C03235" w:rsidRDefault="00051838" w:rsidP="004D74A5">
      <w:pPr>
        <w:pStyle w:val="Prrafodelista"/>
        <w:numPr>
          <w:ilvl w:val="2"/>
          <w:numId w:val="16"/>
        </w:numPr>
        <w:tabs>
          <w:tab w:val="left" w:pos="1134"/>
        </w:tabs>
        <w:jc w:val="both"/>
        <w:rPr>
          <w:b/>
          <w:bCs/>
          <w:i/>
          <w:iCs/>
          <w:sz w:val="24"/>
          <w:szCs w:val="24"/>
        </w:rPr>
      </w:pPr>
      <w:r w:rsidRPr="00C03235">
        <w:rPr>
          <w:b/>
          <w:bCs/>
          <w:i/>
          <w:iCs/>
          <w:sz w:val="24"/>
          <w:szCs w:val="24"/>
        </w:rPr>
        <w:lastRenderedPageBreak/>
        <w:t>Las plantas diésel operan menos de 6 horas al día en promedio y no 12.</w:t>
      </w:r>
    </w:p>
    <w:p w14:paraId="568A4606" w14:textId="77777777" w:rsidR="00FE43EA" w:rsidRPr="00C03235" w:rsidRDefault="00FE43EA" w:rsidP="00C41465">
      <w:pPr>
        <w:jc w:val="both"/>
      </w:pPr>
    </w:p>
    <w:p w14:paraId="3A66C1C9" w14:textId="163BA1CC" w:rsidR="006E1F1A" w:rsidRPr="00C03235" w:rsidRDefault="004D74A5" w:rsidP="00C41465">
      <w:pPr>
        <w:jc w:val="both"/>
      </w:pPr>
      <w:r>
        <w:t>En relación con lo expuesto por el recurrente, la Comisión revisó</w:t>
      </w:r>
      <w:r w:rsidR="003F3411" w:rsidRPr="00C03235">
        <w:t xml:space="preserve"> los reportes del C</w:t>
      </w:r>
      <w:r w:rsidR="0026369D" w:rsidRPr="00C03235">
        <w:t xml:space="preserve">entro </w:t>
      </w:r>
      <w:r w:rsidR="003F3411" w:rsidRPr="00C03235">
        <w:t>N</w:t>
      </w:r>
      <w:r w:rsidR="0026369D" w:rsidRPr="00C03235">
        <w:t xml:space="preserve">acional de </w:t>
      </w:r>
      <w:r w:rsidR="003F3411" w:rsidRPr="00C03235">
        <w:t>M</w:t>
      </w:r>
      <w:r w:rsidR="00A754FC" w:rsidRPr="00C03235">
        <w:t>onitoreo</w:t>
      </w:r>
      <w:r>
        <w:t>,</w:t>
      </w:r>
      <w:r w:rsidR="003F3411" w:rsidRPr="00C03235">
        <w:t xml:space="preserve"> evidenciando </w:t>
      </w:r>
      <w:r w:rsidR="000A4AEF" w:rsidRPr="00C03235">
        <w:t xml:space="preserve">que el sistema de </w:t>
      </w:r>
      <w:r w:rsidR="003F3411" w:rsidRPr="00C03235">
        <w:t>generación S</w:t>
      </w:r>
      <w:r w:rsidR="000A4AEF" w:rsidRPr="00C03235">
        <w:t xml:space="preserve">olar </w:t>
      </w:r>
      <w:r w:rsidR="003F3411" w:rsidRPr="00C03235">
        <w:t>F</w:t>
      </w:r>
      <w:r w:rsidR="000A4AEF" w:rsidRPr="00C03235">
        <w:t xml:space="preserve">otovoltaico </w:t>
      </w:r>
      <w:r w:rsidR="003F3411" w:rsidRPr="00C03235">
        <w:t xml:space="preserve">y diésel </w:t>
      </w:r>
      <w:r w:rsidR="009E1722" w:rsidRPr="00C03235">
        <w:t xml:space="preserve">opera </w:t>
      </w:r>
      <w:r w:rsidR="003F3411" w:rsidRPr="00C03235">
        <w:t xml:space="preserve">con un promedio diario aproximado de 9 horas, </w:t>
      </w:r>
      <w:r w:rsidR="009E1722" w:rsidRPr="00C03235">
        <w:t xml:space="preserve">sin embargo, no se </w:t>
      </w:r>
      <w:r w:rsidR="003F3411" w:rsidRPr="00C03235">
        <w:t>p</w:t>
      </w:r>
      <w:r w:rsidR="007A3010" w:rsidRPr="00C03235">
        <w:t>uede</w:t>
      </w:r>
      <w:r w:rsidR="003F3411" w:rsidRPr="00C03235">
        <w:t xml:space="preserve"> diferenciar el número de horas de operación de cada tecnología.</w:t>
      </w:r>
    </w:p>
    <w:p w14:paraId="3DD67E56" w14:textId="77777777" w:rsidR="00FE43EA" w:rsidRPr="00C03235" w:rsidRDefault="00FE43EA" w:rsidP="00C41465">
      <w:pPr>
        <w:jc w:val="both"/>
      </w:pPr>
    </w:p>
    <w:p w14:paraId="5878C692" w14:textId="40D8DEDE" w:rsidR="00A330C1" w:rsidRPr="00C03235" w:rsidRDefault="00A25C9E" w:rsidP="00A330C1">
      <w:pPr>
        <w:pStyle w:val="Textodebloque"/>
        <w:ind w:right="6"/>
        <w:contextualSpacing/>
        <w:rPr>
          <w:rFonts w:ascii="Bookman Old Style" w:hAnsi="Bookman Old Style"/>
          <w:lang w:val="es-CO"/>
        </w:rPr>
      </w:pPr>
      <w:r w:rsidRPr="00C03235">
        <w:rPr>
          <w:rFonts w:ascii="Bookman Old Style" w:hAnsi="Bookman Old Style"/>
          <w:lang w:val="es-CO"/>
        </w:rPr>
        <w:t>Teniendo en cuenta que la metodología tarifaria vigente establece que para determinar el costo de generación con diésel solo debe tenerse en cuenta el tiempo promedio diario de operación de estas plantas y no de todo el parque de generación</w:t>
      </w:r>
      <w:r w:rsidR="007A4EA1" w:rsidRPr="00C03235">
        <w:rPr>
          <w:rFonts w:ascii="Bookman Old Style" w:hAnsi="Bookman Old Style"/>
          <w:lang w:val="es-CO"/>
        </w:rPr>
        <w:t>,</w:t>
      </w:r>
      <w:r w:rsidR="0BFA3753" w:rsidRPr="00C03235">
        <w:rPr>
          <w:rFonts w:ascii="Bookman Old Style" w:hAnsi="Bookman Old Style"/>
          <w:lang w:val="es-CO"/>
        </w:rPr>
        <w:t xml:space="preserve"> la Comisión encuentra procedente </w:t>
      </w:r>
      <w:r w:rsidR="007A4EA1" w:rsidRPr="00C03235">
        <w:rPr>
          <w:rFonts w:ascii="Bookman Old Style" w:hAnsi="Bookman Old Style"/>
          <w:lang w:val="es-CO"/>
        </w:rPr>
        <w:t xml:space="preserve">revisar el cálculo de este costo de generación </w:t>
      </w:r>
      <w:r w:rsidR="616B5B03" w:rsidRPr="00C03235">
        <w:rPr>
          <w:rFonts w:ascii="Bookman Old Style" w:hAnsi="Bookman Old Style"/>
          <w:lang w:val="es-CO"/>
        </w:rPr>
        <w:t xml:space="preserve">con la modificación </w:t>
      </w:r>
      <w:r w:rsidR="4DCF8861" w:rsidRPr="00C03235">
        <w:rPr>
          <w:rFonts w:ascii="Bookman Old Style" w:hAnsi="Bookman Old Style"/>
          <w:lang w:val="es-CO"/>
        </w:rPr>
        <w:t xml:space="preserve">en el </w:t>
      </w:r>
      <w:r w:rsidR="247F132C" w:rsidRPr="00C03235">
        <w:rPr>
          <w:rFonts w:ascii="Bookman Old Style" w:hAnsi="Bookman Old Style"/>
          <w:lang w:val="es-CO"/>
        </w:rPr>
        <w:t>número</w:t>
      </w:r>
      <w:r w:rsidR="7E76967F" w:rsidRPr="00C03235">
        <w:rPr>
          <w:rFonts w:ascii="Bookman Old Style" w:hAnsi="Bookman Old Style"/>
          <w:lang w:val="es-CO"/>
        </w:rPr>
        <w:t xml:space="preserve"> </w:t>
      </w:r>
      <w:r w:rsidR="616B5B03" w:rsidRPr="00C03235">
        <w:rPr>
          <w:rFonts w:ascii="Bookman Old Style" w:hAnsi="Bookman Old Style"/>
          <w:lang w:val="es-CO"/>
        </w:rPr>
        <w:t xml:space="preserve">de horas </w:t>
      </w:r>
      <w:r w:rsidR="4DCF8861" w:rsidRPr="00C03235">
        <w:rPr>
          <w:rFonts w:ascii="Bookman Old Style" w:hAnsi="Bookman Old Style"/>
          <w:lang w:val="es-CO"/>
        </w:rPr>
        <w:t xml:space="preserve">de operación de los grupos electrógenos. </w:t>
      </w:r>
      <w:r w:rsidR="00AA4C11" w:rsidRPr="00C03235">
        <w:rPr>
          <w:rFonts w:ascii="Bookman Old Style" w:hAnsi="Bookman Old Style"/>
          <w:lang w:val="es-CO"/>
        </w:rPr>
        <w:t>El</w:t>
      </w:r>
      <w:r w:rsidR="00A330C1" w:rsidRPr="00C03235">
        <w:rPr>
          <w:rFonts w:ascii="Bookman Old Style" w:hAnsi="Bookman Old Style"/>
          <w:lang w:val="es-CO"/>
        </w:rPr>
        <w:t xml:space="preserve"> </w:t>
      </w:r>
      <w:r w:rsidR="008F2E14" w:rsidRPr="00C03235">
        <w:rPr>
          <w:rFonts w:ascii="Bookman Old Style" w:hAnsi="Bookman Old Style"/>
          <w:lang w:val="es-CO"/>
        </w:rPr>
        <w:t>cálculo</w:t>
      </w:r>
      <w:r w:rsidR="00A330C1" w:rsidRPr="00C03235">
        <w:rPr>
          <w:rFonts w:ascii="Bookman Old Style" w:hAnsi="Bookman Old Style"/>
          <w:lang w:val="es-CO"/>
        </w:rPr>
        <w:t xml:space="preserve"> se detalla </w:t>
      </w:r>
      <w:r w:rsidR="00A330C1" w:rsidRPr="00DB55D9">
        <w:rPr>
          <w:rFonts w:ascii="Bookman Old Style" w:hAnsi="Bookman Old Style"/>
          <w:lang w:val="es-CO"/>
        </w:rPr>
        <w:t xml:space="preserve">en </w:t>
      </w:r>
      <w:r w:rsidR="006D1CC8" w:rsidRPr="00DB55D9">
        <w:rPr>
          <w:rFonts w:ascii="Bookman Old Style" w:hAnsi="Bookman Old Style"/>
          <w:lang w:val="es-CO"/>
        </w:rPr>
        <w:t>el documento CREG</w:t>
      </w:r>
      <w:r w:rsidR="00DB55D9" w:rsidRPr="00DB55D9">
        <w:rPr>
          <w:rFonts w:ascii="Bookman Old Style" w:hAnsi="Bookman Old Style"/>
          <w:lang w:val="es-CO"/>
        </w:rPr>
        <w:t xml:space="preserve"> 901 154</w:t>
      </w:r>
      <w:r w:rsidR="006D1CC8" w:rsidRPr="00DB55D9">
        <w:rPr>
          <w:rFonts w:ascii="Bookman Old Style" w:hAnsi="Bookman Old Style"/>
          <w:lang w:val="es-CO"/>
        </w:rPr>
        <w:t xml:space="preserve"> de 2024.</w:t>
      </w:r>
    </w:p>
    <w:p w14:paraId="530E95CA" w14:textId="00ABD7E4" w:rsidR="00774C3F" w:rsidRPr="00C03235" w:rsidRDefault="00774C3F" w:rsidP="00C41465">
      <w:pPr>
        <w:pStyle w:val="Prrafodelista"/>
        <w:numPr>
          <w:ilvl w:val="2"/>
          <w:numId w:val="16"/>
        </w:numPr>
        <w:jc w:val="both"/>
        <w:rPr>
          <w:b/>
          <w:bCs/>
          <w:i/>
          <w:iCs/>
          <w:sz w:val="24"/>
          <w:szCs w:val="24"/>
        </w:rPr>
      </w:pPr>
      <w:r w:rsidRPr="00C03235">
        <w:rPr>
          <w:b/>
          <w:bCs/>
          <w:i/>
          <w:iCs/>
          <w:sz w:val="24"/>
          <w:szCs w:val="24"/>
        </w:rPr>
        <w:t>El costo de lubricante no es de $31.411/gl sino de $125.000/gl.</w:t>
      </w:r>
    </w:p>
    <w:p w14:paraId="09C8C402" w14:textId="77777777" w:rsidR="00AA4C11" w:rsidRPr="00C03235" w:rsidRDefault="00AA4C11" w:rsidP="00C41465">
      <w:pPr>
        <w:jc w:val="both"/>
      </w:pPr>
    </w:p>
    <w:p w14:paraId="233145B7" w14:textId="61252D56" w:rsidR="002E7D72" w:rsidRPr="00C03235" w:rsidRDefault="00137462" w:rsidP="00C41465">
      <w:pPr>
        <w:jc w:val="both"/>
      </w:pPr>
      <w:r>
        <w:t xml:space="preserve">De conformidad con </w:t>
      </w:r>
      <w:r w:rsidR="2042D37F" w:rsidRPr="00C03235">
        <w:t xml:space="preserve">la información </w:t>
      </w:r>
      <w:r w:rsidR="00AA4C11" w:rsidRPr="00C03235">
        <w:t xml:space="preserve">aportada </w:t>
      </w:r>
      <w:r w:rsidR="2042D37F" w:rsidRPr="00C03235">
        <w:t>por HELIOS en la comunicación E2023011007</w:t>
      </w:r>
      <w:r w:rsidR="00990DE6" w:rsidRPr="00C03235">
        <w:t>,</w:t>
      </w:r>
      <w:r w:rsidR="2042D37F" w:rsidRPr="00C03235">
        <w:t xml:space="preserve"> donde se relaciona el costo del lubricante</w:t>
      </w:r>
      <w:r w:rsidR="49C41B67" w:rsidRPr="00C03235">
        <w:t xml:space="preserve"> </w:t>
      </w:r>
      <w:r w:rsidR="2042D37F" w:rsidRPr="00C03235">
        <w:t>en la cotización COT-000143226-1 y en la factura R 222, se realiza un promedio tomando como fecha base diciembre de 2022</w:t>
      </w:r>
      <w:r w:rsidR="10716250" w:rsidRPr="00C03235">
        <w:t>, obteniendo</w:t>
      </w:r>
      <w:r w:rsidR="2042D37F" w:rsidRPr="00C03235">
        <w:t xml:space="preserve"> como resultado un costo de </w:t>
      </w:r>
      <w:r w:rsidR="00DF56EC" w:rsidRPr="00C03235">
        <w:t>$</w:t>
      </w:r>
      <w:r w:rsidR="2042D37F" w:rsidRPr="00C03235">
        <w:t>90,681.46 /galón de lubricante. Este valor es actualizado en el cálculo para el cargo de generación con diésel.</w:t>
      </w:r>
    </w:p>
    <w:p w14:paraId="344C3E98" w14:textId="77777777" w:rsidR="002E7D72" w:rsidRPr="00C03235" w:rsidRDefault="002E7D72" w:rsidP="002E7D72">
      <w:pPr>
        <w:ind w:left="1287"/>
        <w:jc w:val="both"/>
      </w:pPr>
    </w:p>
    <w:p w14:paraId="6C0A2123" w14:textId="77777777" w:rsidR="002E7D72" w:rsidRPr="00C03235" w:rsidRDefault="002E7D72" w:rsidP="0082459B">
      <w:pPr>
        <w:ind w:left="567" w:firstLine="142"/>
        <w:jc w:val="both"/>
        <w:rPr>
          <w:b/>
          <w:bCs/>
        </w:rPr>
      </w:pPr>
      <w:r w:rsidRPr="00C03235">
        <w:rPr>
          <w:b/>
          <w:bCs/>
        </w:rPr>
        <w:t xml:space="preserve">Cotización 1. </w:t>
      </w:r>
    </w:p>
    <w:p w14:paraId="5BA62656" w14:textId="77777777" w:rsidR="002E7D72" w:rsidRPr="00C03235" w:rsidRDefault="002E7D72" w:rsidP="0082459B">
      <w:pPr>
        <w:ind w:left="1287" w:firstLine="142"/>
        <w:jc w:val="both"/>
      </w:pPr>
    </w:p>
    <w:p w14:paraId="10199D5E" w14:textId="77777777" w:rsidR="002E7D72" w:rsidRPr="00C03235" w:rsidRDefault="002E7D72" w:rsidP="00DB1834">
      <w:pPr>
        <w:jc w:val="center"/>
      </w:pPr>
      <w:r w:rsidRPr="00C03235">
        <w:rPr>
          <w:noProof/>
        </w:rPr>
        <w:drawing>
          <wp:inline distT="0" distB="0" distL="0" distR="0" wp14:anchorId="3895255A" wp14:editId="4CC6C24A">
            <wp:extent cx="5056905" cy="2145030"/>
            <wp:effectExtent l="19050" t="19050" r="10795" b="26670"/>
            <wp:docPr id="1633369654" name="Imagen 1633369654">
              <a:extLst xmlns:a="http://schemas.openxmlformats.org/drawingml/2006/main">
                <a:ext uri="{FF2B5EF4-FFF2-40B4-BE49-F238E27FC236}">
                  <a16:creationId xmlns:a16="http://schemas.microsoft.com/office/drawing/2014/main" id="{00000000-0008-0000-02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00000000-0008-0000-0200-000015000000}"/>
                        </a:ext>
                      </a:extLst>
                    </pic:cNvPr>
                    <pic:cNvPicPr>
                      <a:picLocks noChangeAspect="1"/>
                    </pic:cNvPicPr>
                  </pic:nvPicPr>
                  <pic:blipFill>
                    <a:blip r:embed="rId23"/>
                    <a:stretch>
                      <a:fillRect/>
                    </a:stretch>
                  </pic:blipFill>
                  <pic:spPr>
                    <a:xfrm>
                      <a:off x="0" y="0"/>
                      <a:ext cx="5112433" cy="2168584"/>
                    </a:xfrm>
                    <a:prstGeom prst="rect">
                      <a:avLst/>
                    </a:prstGeom>
                    <a:ln>
                      <a:solidFill>
                        <a:sysClr val="windowText" lastClr="000000"/>
                      </a:solidFill>
                    </a:ln>
                  </pic:spPr>
                </pic:pic>
              </a:graphicData>
            </a:graphic>
          </wp:inline>
        </w:drawing>
      </w:r>
    </w:p>
    <w:p w14:paraId="55AAD8FB" w14:textId="4F4C9650" w:rsidR="000962A9" w:rsidRPr="00C03235" w:rsidRDefault="000962A9" w:rsidP="00DB1834">
      <w:pPr>
        <w:jc w:val="center"/>
        <w:rPr>
          <w:sz w:val="20"/>
          <w:szCs w:val="20"/>
        </w:rPr>
      </w:pPr>
      <w:r w:rsidRPr="00C03235">
        <w:rPr>
          <w:sz w:val="20"/>
          <w:szCs w:val="20"/>
        </w:rPr>
        <w:t>Fuente: cotización COT-000143226-1 enviado por HELIOS por medio de la comunicación E2023011007.</w:t>
      </w:r>
    </w:p>
    <w:p w14:paraId="41B6D6BF" w14:textId="77777777" w:rsidR="002E7D72" w:rsidRPr="00C03235" w:rsidRDefault="002E7D72" w:rsidP="0082459B">
      <w:pPr>
        <w:ind w:left="1287" w:firstLine="142"/>
        <w:jc w:val="both"/>
      </w:pPr>
    </w:p>
    <w:p w14:paraId="1E592EB0" w14:textId="77777777" w:rsidR="002E7D72" w:rsidRPr="00C03235" w:rsidRDefault="002E7D72" w:rsidP="0082459B">
      <w:pPr>
        <w:ind w:left="567" w:firstLine="142"/>
        <w:jc w:val="both"/>
        <w:rPr>
          <w:b/>
          <w:bCs/>
        </w:rPr>
      </w:pPr>
      <w:r w:rsidRPr="00C03235">
        <w:rPr>
          <w:b/>
          <w:bCs/>
        </w:rPr>
        <w:t xml:space="preserve">Cotización 2. </w:t>
      </w:r>
    </w:p>
    <w:p w14:paraId="5E60CC7C" w14:textId="77777777" w:rsidR="002E7D72" w:rsidRPr="00C03235" w:rsidRDefault="002E7D72" w:rsidP="0082459B">
      <w:pPr>
        <w:ind w:firstLine="142"/>
        <w:jc w:val="both"/>
      </w:pPr>
    </w:p>
    <w:p w14:paraId="429193E1" w14:textId="77777777" w:rsidR="002E7D72" w:rsidRPr="00C03235" w:rsidRDefault="002E7D72" w:rsidP="002A6CE9">
      <w:pPr>
        <w:jc w:val="center"/>
      </w:pPr>
      <w:r w:rsidRPr="00C03235">
        <w:rPr>
          <w:noProof/>
        </w:rPr>
        <w:lastRenderedPageBreak/>
        <w:drawing>
          <wp:inline distT="0" distB="0" distL="0" distR="0" wp14:anchorId="00186D80" wp14:editId="442D6818">
            <wp:extent cx="4991675" cy="2145030"/>
            <wp:effectExtent l="19050" t="19050" r="19050" b="26670"/>
            <wp:docPr id="1538775490" name="Imagen 1538775490" descr="Código QR&#10;&#10;Descripción generada automáticamente">
              <a:extLst xmlns:a="http://schemas.openxmlformats.org/drawingml/2006/main">
                <a:ext uri="{FF2B5EF4-FFF2-40B4-BE49-F238E27FC236}">
                  <a16:creationId xmlns:a16="http://schemas.microsoft.com/office/drawing/2014/main" id="{00000000-0008-0000-02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23745" name="Imagen 268023745" descr="Código QR&#10;&#10;Descripción generada automáticamente">
                      <a:extLst>
                        <a:ext uri="{FF2B5EF4-FFF2-40B4-BE49-F238E27FC236}">
                          <a16:creationId xmlns:a16="http://schemas.microsoft.com/office/drawing/2014/main" id="{00000000-0008-0000-0200-000013000000}"/>
                        </a:ext>
                      </a:extLst>
                    </pic:cNvPr>
                    <pic:cNvPicPr>
                      <a:picLocks noChangeAspect="1"/>
                    </pic:cNvPicPr>
                  </pic:nvPicPr>
                  <pic:blipFill>
                    <a:blip r:embed="rId24"/>
                    <a:stretch>
                      <a:fillRect/>
                    </a:stretch>
                  </pic:blipFill>
                  <pic:spPr>
                    <a:xfrm>
                      <a:off x="0" y="0"/>
                      <a:ext cx="5028327" cy="2160780"/>
                    </a:xfrm>
                    <a:prstGeom prst="rect">
                      <a:avLst/>
                    </a:prstGeom>
                    <a:ln>
                      <a:solidFill>
                        <a:sysClr val="windowText" lastClr="000000"/>
                      </a:solidFill>
                    </a:ln>
                  </pic:spPr>
                </pic:pic>
              </a:graphicData>
            </a:graphic>
          </wp:inline>
        </w:drawing>
      </w:r>
    </w:p>
    <w:p w14:paraId="58BB1960" w14:textId="1E3BC192" w:rsidR="000962A9" w:rsidRPr="00C03235" w:rsidRDefault="000962A9" w:rsidP="002A6CE9">
      <w:pPr>
        <w:jc w:val="center"/>
        <w:rPr>
          <w:sz w:val="20"/>
          <w:szCs w:val="20"/>
        </w:rPr>
      </w:pPr>
      <w:r w:rsidRPr="00C03235">
        <w:rPr>
          <w:sz w:val="20"/>
          <w:szCs w:val="20"/>
        </w:rPr>
        <w:t>Fuente: Factura R 222 enviada por HELIOS por medio de la comunicación E2023011007.</w:t>
      </w:r>
    </w:p>
    <w:p w14:paraId="65E2E89E" w14:textId="77777777" w:rsidR="002E7D72" w:rsidRPr="00C03235" w:rsidRDefault="002E7D72" w:rsidP="002E7D72">
      <w:pPr>
        <w:jc w:val="both"/>
        <w:rPr>
          <w:i/>
          <w:iCs/>
        </w:rPr>
      </w:pP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842"/>
      </w:tblGrid>
      <w:tr w:rsidR="002E7D72" w:rsidRPr="00C03235" w14:paraId="0064E25F" w14:textId="77777777" w:rsidTr="002A6CE9">
        <w:trPr>
          <w:trHeight w:val="350"/>
          <w:tblHeader/>
          <w:jc w:val="center"/>
        </w:trPr>
        <w:tc>
          <w:tcPr>
            <w:tcW w:w="4531" w:type="dxa"/>
            <w:gridSpan w:val="2"/>
            <w:shd w:val="clear" w:color="auto" w:fill="BFBFBF" w:themeFill="background1" w:themeFillShade="BF"/>
            <w:vAlign w:val="center"/>
            <w:hideMark/>
          </w:tcPr>
          <w:p w14:paraId="4D02D2FC" w14:textId="5844EB4A" w:rsidR="002E7D72" w:rsidRPr="00C03235" w:rsidRDefault="002E7D72">
            <w:pPr>
              <w:jc w:val="center"/>
              <w:rPr>
                <w:rFonts w:cs="Calibri"/>
                <w:b/>
                <w:bCs/>
                <w:color w:val="FFFFFF"/>
                <w:sz w:val="20"/>
                <w:szCs w:val="20"/>
              </w:rPr>
            </w:pPr>
            <w:r w:rsidRPr="00C03235">
              <w:rPr>
                <w:rFonts w:cs="Calibri"/>
                <w:b/>
                <w:bCs/>
                <w:sz w:val="20"/>
                <w:szCs w:val="20"/>
              </w:rPr>
              <w:t xml:space="preserve">Precio </w:t>
            </w:r>
            <w:r w:rsidR="00DF6698" w:rsidRPr="00C03235">
              <w:rPr>
                <w:rFonts w:cs="Calibri"/>
                <w:b/>
                <w:bCs/>
                <w:sz w:val="20"/>
                <w:szCs w:val="20"/>
              </w:rPr>
              <w:t xml:space="preserve">promedio </w:t>
            </w:r>
            <w:r w:rsidRPr="00C03235">
              <w:rPr>
                <w:rFonts w:cs="Calibri"/>
                <w:b/>
                <w:bCs/>
                <w:sz w:val="20"/>
                <w:szCs w:val="20"/>
              </w:rPr>
              <w:t>de</w:t>
            </w:r>
            <w:r w:rsidR="00DF6698" w:rsidRPr="00C03235">
              <w:rPr>
                <w:rFonts w:cs="Calibri"/>
                <w:b/>
                <w:bCs/>
                <w:sz w:val="20"/>
                <w:szCs w:val="20"/>
              </w:rPr>
              <w:t>l</w:t>
            </w:r>
            <w:r w:rsidRPr="00C03235">
              <w:rPr>
                <w:rFonts w:cs="Calibri"/>
                <w:b/>
                <w:bCs/>
                <w:sz w:val="20"/>
                <w:szCs w:val="20"/>
              </w:rPr>
              <w:t xml:space="preserve"> galón de lubricante </w:t>
            </w:r>
          </w:p>
        </w:tc>
      </w:tr>
      <w:tr w:rsidR="002E7D72" w:rsidRPr="00C03235" w14:paraId="2A8B2956" w14:textId="77777777">
        <w:trPr>
          <w:trHeight w:val="385"/>
          <w:jc w:val="center"/>
        </w:trPr>
        <w:tc>
          <w:tcPr>
            <w:tcW w:w="2689" w:type="dxa"/>
            <w:shd w:val="clear" w:color="auto" w:fill="auto"/>
            <w:noWrap/>
            <w:vAlign w:val="center"/>
            <w:hideMark/>
          </w:tcPr>
          <w:p w14:paraId="394CFB4D" w14:textId="77777777" w:rsidR="002E7D72" w:rsidRPr="00C03235" w:rsidRDefault="002E7D72">
            <w:pPr>
              <w:rPr>
                <w:rFonts w:cs="Calibri"/>
                <w:b/>
                <w:bCs/>
                <w:color w:val="000000"/>
                <w:sz w:val="18"/>
                <w:szCs w:val="18"/>
              </w:rPr>
            </w:pPr>
            <w:r w:rsidRPr="00C03235">
              <w:rPr>
                <w:rFonts w:cs="Calibri"/>
                <w:b/>
                <w:bCs/>
                <w:color w:val="000000"/>
                <w:sz w:val="18"/>
                <w:szCs w:val="18"/>
              </w:rPr>
              <w:t>Cotización 1 (Dic. 2022)</w:t>
            </w:r>
          </w:p>
        </w:tc>
        <w:tc>
          <w:tcPr>
            <w:tcW w:w="1842" w:type="dxa"/>
            <w:shd w:val="clear" w:color="auto" w:fill="auto"/>
            <w:noWrap/>
            <w:vAlign w:val="center"/>
            <w:hideMark/>
          </w:tcPr>
          <w:p w14:paraId="595199EE" w14:textId="68E5513D" w:rsidR="002E7D72" w:rsidRPr="00C03235" w:rsidRDefault="002E7D72">
            <w:pPr>
              <w:jc w:val="right"/>
              <w:rPr>
                <w:rFonts w:cs="Calibri"/>
                <w:color w:val="000000"/>
                <w:sz w:val="18"/>
                <w:szCs w:val="18"/>
              </w:rPr>
            </w:pPr>
            <w:r w:rsidRPr="00C03235">
              <w:rPr>
                <w:rFonts w:cs="Calibri"/>
                <w:color w:val="000000"/>
                <w:sz w:val="18"/>
                <w:szCs w:val="18"/>
              </w:rPr>
              <w:t xml:space="preserve"> $ 86,664.00 </w:t>
            </w:r>
          </w:p>
        </w:tc>
      </w:tr>
      <w:tr w:rsidR="002E7D72" w:rsidRPr="00C03235" w14:paraId="0EEAED80" w14:textId="77777777">
        <w:trPr>
          <w:trHeight w:val="418"/>
          <w:jc w:val="center"/>
        </w:trPr>
        <w:tc>
          <w:tcPr>
            <w:tcW w:w="2689" w:type="dxa"/>
            <w:shd w:val="clear" w:color="auto" w:fill="auto"/>
            <w:noWrap/>
            <w:vAlign w:val="center"/>
            <w:hideMark/>
          </w:tcPr>
          <w:p w14:paraId="37BD94F8" w14:textId="77777777" w:rsidR="002E7D72" w:rsidRPr="00C03235" w:rsidRDefault="002E7D72">
            <w:pPr>
              <w:rPr>
                <w:rFonts w:cs="Calibri"/>
                <w:b/>
                <w:bCs/>
                <w:color w:val="000000"/>
                <w:sz w:val="18"/>
                <w:szCs w:val="18"/>
              </w:rPr>
            </w:pPr>
            <w:r w:rsidRPr="00C03235">
              <w:rPr>
                <w:rFonts w:cs="Calibri"/>
                <w:b/>
                <w:bCs/>
                <w:color w:val="000000"/>
                <w:sz w:val="18"/>
                <w:szCs w:val="18"/>
              </w:rPr>
              <w:t>Cotización 2 (Dic. 2022)</w:t>
            </w:r>
          </w:p>
        </w:tc>
        <w:tc>
          <w:tcPr>
            <w:tcW w:w="1842" w:type="dxa"/>
            <w:shd w:val="clear" w:color="auto" w:fill="auto"/>
            <w:noWrap/>
            <w:vAlign w:val="center"/>
            <w:hideMark/>
          </w:tcPr>
          <w:p w14:paraId="7F08C7EE" w14:textId="4EEAE169" w:rsidR="002E7D72" w:rsidRPr="00C03235" w:rsidRDefault="002E7D72">
            <w:pPr>
              <w:jc w:val="right"/>
              <w:rPr>
                <w:rFonts w:cs="Calibri"/>
                <w:color w:val="000000"/>
                <w:sz w:val="18"/>
                <w:szCs w:val="18"/>
              </w:rPr>
            </w:pPr>
            <w:r w:rsidRPr="00C03235">
              <w:rPr>
                <w:rFonts w:cs="Calibri"/>
                <w:color w:val="000000"/>
                <w:sz w:val="18"/>
                <w:szCs w:val="18"/>
              </w:rPr>
              <w:t xml:space="preserve"> $ 94,698.91</w:t>
            </w:r>
          </w:p>
        </w:tc>
      </w:tr>
      <w:tr w:rsidR="002E7D72" w:rsidRPr="00C03235" w14:paraId="18DD859A" w14:textId="77777777">
        <w:trPr>
          <w:trHeight w:val="424"/>
          <w:jc w:val="center"/>
        </w:trPr>
        <w:tc>
          <w:tcPr>
            <w:tcW w:w="2689" w:type="dxa"/>
            <w:shd w:val="clear" w:color="auto" w:fill="auto"/>
            <w:noWrap/>
            <w:vAlign w:val="center"/>
            <w:hideMark/>
          </w:tcPr>
          <w:p w14:paraId="65A5FAAD" w14:textId="77777777" w:rsidR="002E7D72" w:rsidRPr="00C03235" w:rsidRDefault="002E7D72">
            <w:pPr>
              <w:rPr>
                <w:rFonts w:cs="Calibri"/>
                <w:b/>
                <w:bCs/>
                <w:color w:val="000000"/>
                <w:sz w:val="18"/>
                <w:szCs w:val="18"/>
              </w:rPr>
            </w:pPr>
            <w:r w:rsidRPr="00C03235">
              <w:rPr>
                <w:rFonts w:cs="Calibri"/>
                <w:b/>
                <w:bCs/>
                <w:color w:val="000000"/>
                <w:sz w:val="18"/>
                <w:szCs w:val="18"/>
              </w:rPr>
              <w:t>IPP 2023</w:t>
            </w:r>
          </w:p>
        </w:tc>
        <w:tc>
          <w:tcPr>
            <w:tcW w:w="1842" w:type="dxa"/>
            <w:shd w:val="clear" w:color="auto" w:fill="auto"/>
            <w:noWrap/>
            <w:vAlign w:val="center"/>
            <w:hideMark/>
          </w:tcPr>
          <w:p w14:paraId="2B8E9B03" w14:textId="77777777" w:rsidR="002E7D72" w:rsidRPr="00C03235" w:rsidRDefault="002E7D72">
            <w:pPr>
              <w:jc w:val="right"/>
              <w:rPr>
                <w:rFonts w:cs="Calibri"/>
                <w:color w:val="000000"/>
                <w:sz w:val="18"/>
                <w:szCs w:val="18"/>
              </w:rPr>
            </w:pPr>
            <w:r w:rsidRPr="00C03235">
              <w:rPr>
                <w:rFonts w:cs="Calibri"/>
                <w:color w:val="000000"/>
                <w:sz w:val="18"/>
                <w:szCs w:val="18"/>
              </w:rPr>
              <w:t>181.20</w:t>
            </w:r>
          </w:p>
        </w:tc>
      </w:tr>
      <w:tr w:rsidR="002E7D72" w:rsidRPr="00C03235" w14:paraId="4AA7DAD3" w14:textId="77777777">
        <w:trPr>
          <w:trHeight w:val="402"/>
          <w:jc w:val="center"/>
        </w:trPr>
        <w:tc>
          <w:tcPr>
            <w:tcW w:w="2689" w:type="dxa"/>
            <w:shd w:val="clear" w:color="auto" w:fill="auto"/>
            <w:noWrap/>
            <w:vAlign w:val="center"/>
            <w:hideMark/>
          </w:tcPr>
          <w:p w14:paraId="055B31AD" w14:textId="77777777" w:rsidR="002E7D72" w:rsidRPr="00C03235" w:rsidRDefault="002E7D72">
            <w:pPr>
              <w:rPr>
                <w:rFonts w:cs="Calibri"/>
                <w:b/>
                <w:bCs/>
                <w:color w:val="000000"/>
                <w:sz w:val="18"/>
                <w:szCs w:val="18"/>
              </w:rPr>
            </w:pPr>
            <w:r w:rsidRPr="00C03235">
              <w:rPr>
                <w:rFonts w:cs="Calibri"/>
                <w:b/>
                <w:bCs/>
                <w:color w:val="000000"/>
                <w:sz w:val="18"/>
                <w:szCs w:val="18"/>
              </w:rPr>
              <w:t>IPP 2022</w:t>
            </w:r>
          </w:p>
        </w:tc>
        <w:tc>
          <w:tcPr>
            <w:tcW w:w="1842" w:type="dxa"/>
            <w:shd w:val="clear" w:color="auto" w:fill="auto"/>
            <w:noWrap/>
            <w:vAlign w:val="center"/>
            <w:hideMark/>
          </w:tcPr>
          <w:p w14:paraId="168D6D54" w14:textId="77777777" w:rsidR="002E7D72" w:rsidRPr="00C03235" w:rsidRDefault="002E7D72">
            <w:pPr>
              <w:jc w:val="right"/>
              <w:rPr>
                <w:rFonts w:cs="Calibri"/>
                <w:color w:val="000000"/>
                <w:sz w:val="18"/>
                <w:szCs w:val="18"/>
              </w:rPr>
            </w:pPr>
            <w:r w:rsidRPr="00C03235">
              <w:rPr>
                <w:rFonts w:cs="Calibri"/>
                <w:color w:val="000000"/>
                <w:sz w:val="18"/>
                <w:szCs w:val="18"/>
              </w:rPr>
              <w:t>175.85</w:t>
            </w:r>
          </w:p>
        </w:tc>
      </w:tr>
      <w:tr w:rsidR="002E7D72" w:rsidRPr="00C03235" w14:paraId="0CA6F477" w14:textId="77777777">
        <w:trPr>
          <w:trHeight w:val="422"/>
          <w:jc w:val="center"/>
        </w:trPr>
        <w:tc>
          <w:tcPr>
            <w:tcW w:w="2689" w:type="dxa"/>
            <w:shd w:val="clear" w:color="auto" w:fill="auto"/>
            <w:noWrap/>
            <w:vAlign w:val="center"/>
            <w:hideMark/>
          </w:tcPr>
          <w:p w14:paraId="2482AA0B" w14:textId="77777777" w:rsidR="002E7D72" w:rsidRPr="00C03235" w:rsidRDefault="002E7D72">
            <w:pPr>
              <w:rPr>
                <w:rFonts w:cs="Calibri"/>
                <w:b/>
                <w:bCs/>
                <w:color w:val="000000"/>
                <w:sz w:val="18"/>
                <w:szCs w:val="18"/>
              </w:rPr>
            </w:pPr>
            <w:r w:rsidRPr="00C03235">
              <w:rPr>
                <w:rFonts w:cs="Calibri"/>
                <w:b/>
                <w:bCs/>
                <w:color w:val="000000"/>
                <w:sz w:val="18"/>
                <w:szCs w:val="18"/>
              </w:rPr>
              <w:t>Promedio</w:t>
            </w:r>
          </w:p>
        </w:tc>
        <w:tc>
          <w:tcPr>
            <w:tcW w:w="1842" w:type="dxa"/>
            <w:shd w:val="clear" w:color="auto" w:fill="auto"/>
            <w:noWrap/>
            <w:vAlign w:val="center"/>
            <w:hideMark/>
          </w:tcPr>
          <w:p w14:paraId="43C23639" w14:textId="23D65EF9" w:rsidR="002E7D72" w:rsidRPr="00C03235" w:rsidRDefault="002E7D72">
            <w:pPr>
              <w:jc w:val="right"/>
              <w:rPr>
                <w:rFonts w:cs="Calibri"/>
                <w:color w:val="000000"/>
                <w:sz w:val="18"/>
                <w:szCs w:val="18"/>
              </w:rPr>
            </w:pPr>
            <w:r w:rsidRPr="00C03235">
              <w:rPr>
                <w:rFonts w:cs="Calibri"/>
                <w:color w:val="000000"/>
                <w:sz w:val="18"/>
                <w:szCs w:val="18"/>
              </w:rPr>
              <w:t xml:space="preserve"> $ 90,681.46 </w:t>
            </w:r>
          </w:p>
        </w:tc>
      </w:tr>
    </w:tbl>
    <w:p w14:paraId="7BFD1ED7" w14:textId="77777777" w:rsidR="002E7D72" w:rsidRPr="00C03235" w:rsidRDefault="002E7D72" w:rsidP="002E7D72">
      <w:pPr>
        <w:jc w:val="center"/>
        <w:rPr>
          <w:sz w:val="18"/>
          <w:szCs w:val="18"/>
        </w:rPr>
      </w:pPr>
      <w:r w:rsidRPr="00C03235">
        <w:rPr>
          <w:sz w:val="18"/>
          <w:szCs w:val="18"/>
        </w:rPr>
        <w:t>Pesos de diciembre del 2022</w:t>
      </w:r>
    </w:p>
    <w:p w14:paraId="4BBB398C" w14:textId="77777777" w:rsidR="00C33B57" w:rsidRPr="00C03235" w:rsidRDefault="00C33B57" w:rsidP="002E7D72">
      <w:pPr>
        <w:jc w:val="center"/>
        <w:rPr>
          <w:sz w:val="18"/>
          <w:szCs w:val="18"/>
        </w:rPr>
      </w:pPr>
    </w:p>
    <w:p w14:paraId="0E789D8D" w14:textId="54368A15" w:rsidR="00C94128" w:rsidRPr="00C03235" w:rsidRDefault="00DF56EC">
      <w:pPr>
        <w:pStyle w:val="Textodebloque"/>
        <w:spacing w:line="259" w:lineRule="auto"/>
        <w:ind w:right="6"/>
        <w:contextualSpacing/>
        <w:rPr>
          <w:rFonts w:ascii="Bookman Old Style" w:hAnsi="Bookman Old Style"/>
          <w:lang w:val="es-CO"/>
        </w:rPr>
      </w:pPr>
      <w:r w:rsidRPr="00C03235">
        <w:rPr>
          <w:rFonts w:ascii="Bookman Old Style" w:hAnsi="Bookman Old Style"/>
          <w:lang w:val="es-CO"/>
        </w:rPr>
        <w:t xml:space="preserve">Teniendo en cuenta lo anterior, </w:t>
      </w:r>
      <w:r w:rsidR="530477B4" w:rsidRPr="00C03235">
        <w:rPr>
          <w:rFonts w:ascii="Bookman Old Style" w:hAnsi="Bookman Old Style"/>
          <w:lang w:val="es-CO"/>
        </w:rPr>
        <w:t xml:space="preserve">esta Comisión encuentra procedente </w:t>
      </w:r>
      <w:r w:rsidRPr="00C03235">
        <w:rPr>
          <w:rFonts w:ascii="Bookman Old Style" w:hAnsi="Bookman Old Style"/>
          <w:lang w:val="es-CO"/>
        </w:rPr>
        <w:t xml:space="preserve">revisar el cálculo de generación con diésel, tomando como valor del costo del galón de lubricante </w:t>
      </w:r>
      <w:r w:rsidR="00DB1834" w:rsidRPr="00C03235">
        <w:rPr>
          <w:rFonts w:ascii="Bookman Old Style" w:hAnsi="Bookman Old Style"/>
          <w:lang w:val="es-CO"/>
        </w:rPr>
        <w:t xml:space="preserve">el </w:t>
      </w:r>
      <w:r w:rsidR="45D8D88C" w:rsidRPr="00C03235">
        <w:rPr>
          <w:rFonts w:ascii="Bookman Old Style" w:hAnsi="Bookman Old Style"/>
          <w:lang w:val="es-CO"/>
        </w:rPr>
        <w:t xml:space="preserve">promedio de </w:t>
      </w:r>
      <w:r w:rsidR="5B10492E" w:rsidRPr="00C03235">
        <w:rPr>
          <w:rFonts w:ascii="Bookman Old Style" w:hAnsi="Bookman Old Style"/>
          <w:lang w:val="es-CO"/>
        </w:rPr>
        <w:t>los valores reportados en el radicado E2023011007</w:t>
      </w:r>
      <w:r w:rsidR="1AE2ECCE" w:rsidRPr="00C03235">
        <w:rPr>
          <w:rFonts w:ascii="Bookman Old Style" w:hAnsi="Bookman Old Style"/>
          <w:lang w:val="es-CO"/>
        </w:rPr>
        <w:t xml:space="preserve"> </w:t>
      </w:r>
      <w:r w:rsidR="00DB1834" w:rsidRPr="00C03235">
        <w:rPr>
          <w:rFonts w:ascii="Bookman Old Style" w:hAnsi="Bookman Old Style"/>
          <w:lang w:val="es-CO"/>
        </w:rPr>
        <w:t>expresados en pesos de</w:t>
      </w:r>
      <w:r w:rsidR="1AE2ECCE" w:rsidRPr="00C03235">
        <w:rPr>
          <w:rFonts w:ascii="Bookman Old Style" w:hAnsi="Bookman Old Style"/>
          <w:lang w:val="es-CO"/>
        </w:rPr>
        <w:t xml:space="preserve"> diciembre del 2022</w:t>
      </w:r>
      <w:r w:rsidR="530477B4" w:rsidRPr="00C03235">
        <w:rPr>
          <w:rFonts w:ascii="Bookman Old Style" w:hAnsi="Bookman Old Style"/>
          <w:lang w:val="es-CO"/>
        </w:rPr>
        <w:t>.</w:t>
      </w:r>
    </w:p>
    <w:p w14:paraId="5C7F71C7" w14:textId="50C3F133" w:rsidR="00D979FF" w:rsidRPr="00C03235" w:rsidRDefault="007C1BDB" w:rsidP="0059000A">
      <w:pPr>
        <w:pStyle w:val="Prrafodelista"/>
        <w:numPr>
          <w:ilvl w:val="2"/>
          <w:numId w:val="16"/>
        </w:numPr>
        <w:tabs>
          <w:tab w:val="left" w:pos="1134"/>
        </w:tabs>
        <w:jc w:val="both"/>
        <w:rPr>
          <w:b/>
          <w:bCs/>
          <w:i/>
          <w:iCs/>
          <w:sz w:val="24"/>
          <w:szCs w:val="24"/>
        </w:rPr>
      </w:pPr>
      <w:r w:rsidRPr="00C03235">
        <w:rPr>
          <w:b/>
          <w:bCs/>
          <w:i/>
          <w:iCs/>
          <w:sz w:val="24"/>
          <w:szCs w:val="24"/>
        </w:rPr>
        <w:t>Los costos de transporte de combustible a Nazareth, de acuerdo con cotizaciones recibidas en 2022 supera los $1800 por galón.</w:t>
      </w:r>
      <w:r w:rsidR="00D979FF" w:rsidRPr="00C03235">
        <w:rPr>
          <w:sz w:val="24"/>
          <w:szCs w:val="24"/>
        </w:rPr>
        <w:t xml:space="preserve"> </w:t>
      </w:r>
      <w:r w:rsidR="00D979FF" w:rsidRPr="00C03235">
        <w:rPr>
          <w:b/>
          <w:bCs/>
          <w:i/>
          <w:iCs/>
          <w:sz w:val="24"/>
          <w:szCs w:val="24"/>
        </w:rPr>
        <w:t>Según estudio que se hizo para la CREG en el año 2017 (Anexo 1 Circular 069 2017), se identificó un costo de Uribia a Nazareth de $1.100/gl a pesos de jun 2017 que a oct 2022 sería de $1.957,66.</w:t>
      </w:r>
    </w:p>
    <w:p w14:paraId="1B5FF5A9" w14:textId="468E395E" w:rsidR="333A38D3" w:rsidRPr="00C03235" w:rsidRDefault="333A38D3" w:rsidP="333A38D3">
      <w:pPr>
        <w:jc w:val="both"/>
      </w:pPr>
    </w:p>
    <w:p w14:paraId="2492E40B" w14:textId="30768F24" w:rsidR="007F5DFD" w:rsidRPr="00C03235" w:rsidRDefault="168BC079" w:rsidP="00F232D8">
      <w:pPr>
        <w:spacing w:line="259" w:lineRule="auto"/>
        <w:jc w:val="both"/>
      </w:pPr>
      <w:r w:rsidRPr="00C03235">
        <w:t>En atención a lo</w:t>
      </w:r>
      <w:r w:rsidR="4C344C1A" w:rsidRPr="00C03235">
        <w:t xml:space="preserve"> </w:t>
      </w:r>
      <w:r w:rsidRPr="00C03235">
        <w:t>señalado por el recurrente y de conformidad con el</w:t>
      </w:r>
      <w:r w:rsidR="176D3BB2" w:rsidRPr="00C03235">
        <w:t xml:space="preserve"> </w:t>
      </w:r>
      <w:r w:rsidR="55D39760" w:rsidRPr="00C03235">
        <w:t>i</w:t>
      </w:r>
      <w:r w:rsidR="176D3BB2" w:rsidRPr="00C03235">
        <w:t xml:space="preserve">nciso 4 </w:t>
      </w:r>
      <w:r w:rsidR="705E6757" w:rsidRPr="00C03235">
        <w:t xml:space="preserve">del </w:t>
      </w:r>
      <w:r w:rsidR="176D3BB2" w:rsidRPr="00C03235">
        <w:t xml:space="preserve">parágrafo 2 del </w:t>
      </w:r>
      <w:r w:rsidR="223DD36B" w:rsidRPr="00C03235">
        <w:t>a</w:t>
      </w:r>
      <w:r w:rsidR="176D3BB2" w:rsidRPr="00C03235">
        <w:t xml:space="preserve">rtículo 24 </w:t>
      </w:r>
      <w:r w:rsidR="2C38AA74" w:rsidRPr="00C03235">
        <w:t>de</w:t>
      </w:r>
      <w:r w:rsidR="176D3BB2" w:rsidRPr="00C03235">
        <w:t xml:space="preserve"> la Resolución 091 del 2007</w:t>
      </w:r>
      <w:r w:rsidR="2D740436" w:rsidRPr="00C03235">
        <w:t>, según el cual</w:t>
      </w:r>
      <w:r w:rsidR="176D3BB2" w:rsidRPr="00C03235">
        <w:t xml:space="preserve"> </w:t>
      </w:r>
      <w:r w:rsidR="176D3BB2" w:rsidRPr="00C03235">
        <w:rPr>
          <w:i/>
          <w:iCs/>
        </w:rPr>
        <w:t>“La comisión podrá revisar los costos aquí establecidos cuando se encuentre justificable”</w:t>
      </w:r>
      <w:r w:rsidR="176D3BB2" w:rsidRPr="00C03235">
        <w:t>,</w:t>
      </w:r>
      <w:r w:rsidR="72606600" w:rsidRPr="00C03235">
        <w:t xml:space="preserve"> </w:t>
      </w:r>
      <w:r w:rsidR="0003277A" w:rsidRPr="00C03235">
        <w:t xml:space="preserve">esta </w:t>
      </w:r>
      <w:r w:rsidR="72606600" w:rsidRPr="00C03235">
        <w:t>Comisión</w:t>
      </w:r>
      <w:r w:rsidR="176D3BB2" w:rsidRPr="00C03235">
        <w:t xml:space="preserve"> </w:t>
      </w:r>
      <w:r w:rsidR="0003277A" w:rsidRPr="00C03235">
        <w:t xml:space="preserve">encuentra procedente </w:t>
      </w:r>
      <w:r w:rsidR="7B52A92C" w:rsidRPr="00C03235">
        <w:t xml:space="preserve">modificar el valor del costo de transporte </w:t>
      </w:r>
      <w:r w:rsidR="7B52A92C" w:rsidRPr="00C03235">
        <w:rPr>
          <w:rFonts w:ascii="Cambria Math" w:hAnsi="Cambria Math" w:cs="Cambria Math"/>
        </w:rPr>
        <w:t>𝑇</w:t>
      </w:r>
      <w:r w:rsidR="7B52A92C" w:rsidRPr="00C03235">
        <w:rPr>
          <w:rFonts w:ascii="Cambria Math" w:hAnsi="Cambria Math" w:cs="Cambria Math"/>
          <w:vertAlign w:val="subscript"/>
        </w:rPr>
        <w:t>𝑚𝑖</w:t>
      </w:r>
      <w:r w:rsidR="7B52A92C" w:rsidRPr="00C03235">
        <w:t xml:space="preserve"> sin necesidad de iniciar una nueva actuación administrativa</w:t>
      </w:r>
      <w:r w:rsidR="00416D01">
        <w:t>, en virtud del principio de</w:t>
      </w:r>
      <w:r w:rsidR="7B52A92C" w:rsidRPr="00C03235">
        <w:t xml:space="preserve"> economía procesal</w:t>
      </w:r>
      <w:r w:rsidR="00416D01">
        <w:t xml:space="preserve"> y considerando </w:t>
      </w:r>
      <w:r w:rsidR="7B52A92C" w:rsidRPr="00C03235">
        <w:t xml:space="preserve">la información </w:t>
      </w:r>
      <w:r w:rsidR="009A4E4B" w:rsidRPr="00C03235">
        <w:t xml:space="preserve">aportada </w:t>
      </w:r>
      <w:r w:rsidR="7B52A92C" w:rsidRPr="00C03235">
        <w:t xml:space="preserve">por HELIOS </w:t>
      </w:r>
      <w:r w:rsidR="009A4E4B" w:rsidRPr="00C03235">
        <w:t xml:space="preserve">en </w:t>
      </w:r>
      <w:r w:rsidR="7B52A92C" w:rsidRPr="00C03235">
        <w:t>su recurso de reposición.</w:t>
      </w:r>
    </w:p>
    <w:p w14:paraId="163B0516" w14:textId="77777777" w:rsidR="00C73DF6" w:rsidRPr="00C03235" w:rsidRDefault="00C73DF6" w:rsidP="333A38D3">
      <w:pPr>
        <w:spacing w:line="259" w:lineRule="auto"/>
        <w:jc w:val="both"/>
      </w:pPr>
    </w:p>
    <w:p w14:paraId="047A93ED" w14:textId="70AF0CB3" w:rsidR="007101B0" w:rsidRPr="00C03235" w:rsidRDefault="1F804329" w:rsidP="333A38D3">
      <w:pPr>
        <w:spacing w:line="259" w:lineRule="auto"/>
        <w:jc w:val="both"/>
      </w:pPr>
      <w:r w:rsidRPr="00C03235">
        <w:t>Con base en</w:t>
      </w:r>
      <w:r w:rsidR="4F3423CF" w:rsidRPr="00C03235">
        <w:t xml:space="preserve"> lo anterior, para </w:t>
      </w:r>
      <w:r w:rsidR="51EB1450" w:rsidRPr="00C03235">
        <w:t>el ajuste</w:t>
      </w:r>
      <w:r w:rsidR="4F3423CF" w:rsidRPr="00C03235">
        <w:t xml:space="preserve"> del </w:t>
      </w:r>
      <w:r w:rsidR="56F94D91" w:rsidRPr="00C03235">
        <w:t>cálculo</w:t>
      </w:r>
      <w:r w:rsidR="4F3423CF" w:rsidRPr="00C03235">
        <w:t xml:space="preserve"> se tiene en cuenta el promedio </w:t>
      </w:r>
      <w:r w:rsidR="56F94D91" w:rsidRPr="00C03235">
        <w:t xml:space="preserve">de las cotizaciones </w:t>
      </w:r>
      <w:r w:rsidR="3A92E1CC" w:rsidRPr="00C03235">
        <w:t>del</w:t>
      </w:r>
      <w:r w:rsidR="4F3423CF" w:rsidRPr="00C03235">
        <w:t xml:space="preserve"> costo de transporte desde Uribia hasta Nazareth</w:t>
      </w:r>
      <w:r w:rsidR="56F94D91" w:rsidRPr="00C03235">
        <w:t>,</w:t>
      </w:r>
      <w:r w:rsidR="00304770" w:rsidRPr="00C03235">
        <w:t xml:space="preserve"> actualizado a la fecha base. Esta</w:t>
      </w:r>
      <w:r w:rsidR="56F94D91" w:rsidRPr="00C03235">
        <w:t xml:space="preserve"> </w:t>
      </w:r>
      <w:r w:rsidR="00C869B9" w:rsidRPr="00C03235">
        <w:t>información fue a</w:t>
      </w:r>
      <w:r w:rsidR="56F94D91" w:rsidRPr="00C03235">
        <w:t xml:space="preserve">portada </w:t>
      </w:r>
      <w:r w:rsidR="00C869B9" w:rsidRPr="00C03235">
        <w:t xml:space="preserve">en </w:t>
      </w:r>
      <w:r w:rsidR="3A92E1CC" w:rsidRPr="00C03235">
        <w:t>el radicado CREG E2023011007</w:t>
      </w:r>
      <w:r w:rsidR="790F2D9D" w:rsidRPr="00C03235">
        <w:t>,</w:t>
      </w:r>
      <w:r w:rsidR="63C15072" w:rsidRPr="00C03235">
        <w:t xml:space="preserve"> contenido en la carpeta </w:t>
      </w:r>
      <w:r w:rsidR="288CE954" w:rsidRPr="00C03235">
        <w:t>denominada</w:t>
      </w:r>
      <w:r w:rsidR="63C15072" w:rsidRPr="00C03235">
        <w:t xml:space="preserve"> “11. TRANSPORTE DE COMBUSTIBLE”</w:t>
      </w:r>
      <w:r w:rsidR="3A92E1CC" w:rsidRPr="00C03235">
        <w:t>.</w:t>
      </w:r>
      <w:r w:rsidR="711615ED" w:rsidRPr="00C03235">
        <w:t xml:space="preserve"> A continuación, se muestra </w:t>
      </w:r>
      <w:r w:rsidR="6988E258" w:rsidRPr="00C03235">
        <w:t>un fragmento de las cotizaciones.</w:t>
      </w:r>
    </w:p>
    <w:p w14:paraId="6EA1CC1A" w14:textId="77777777" w:rsidR="00FB672B" w:rsidRPr="00C03235" w:rsidRDefault="00FB672B" w:rsidP="00F16B3D">
      <w:pPr>
        <w:jc w:val="both"/>
      </w:pPr>
    </w:p>
    <w:p w14:paraId="6DF22A3C" w14:textId="5CAF9A3E" w:rsidR="008C13C8" w:rsidRPr="00C03235" w:rsidRDefault="008C13C8" w:rsidP="004B511C">
      <w:pPr>
        <w:ind w:left="709"/>
        <w:jc w:val="both"/>
        <w:rPr>
          <w:b/>
          <w:bCs/>
        </w:rPr>
      </w:pPr>
      <w:r w:rsidRPr="00C03235">
        <w:rPr>
          <w:b/>
          <w:bCs/>
        </w:rPr>
        <w:lastRenderedPageBreak/>
        <w:t xml:space="preserve">Cotización 1. </w:t>
      </w:r>
    </w:p>
    <w:p w14:paraId="7F0495C2" w14:textId="77777777" w:rsidR="008C13C8" w:rsidRPr="00C03235" w:rsidRDefault="008C13C8" w:rsidP="004B511C">
      <w:pPr>
        <w:ind w:left="709"/>
        <w:jc w:val="both"/>
      </w:pPr>
    </w:p>
    <w:p w14:paraId="594D9E4D" w14:textId="08CBC88C" w:rsidR="007760F0" w:rsidRPr="00C03235" w:rsidRDefault="007760F0" w:rsidP="00317229">
      <w:pPr>
        <w:jc w:val="center"/>
      </w:pPr>
      <w:r w:rsidRPr="00C03235">
        <w:rPr>
          <w:noProof/>
        </w:rPr>
        <w:drawing>
          <wp:inline distT="0" distB="0" distL="0" distR="0" wp14:anchorId="111C00E6" wp14:editId="00A35AF5">
            <wp:extent cx="4493895" cy="1190461"/>
            <wp:effectExtent l="19050" t="19050" r="20955" b="10160"/>
            <wp:docPr id="68645217" name="Picture 6864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5217" name=""/>
                    <pic:cNvPicPr/>
                  </pic:nvPicPr>
                  <pic:blipFill rotWithShape="1">
                    <a:blip r:embed="rId25"/>
                    <a:srcRect t="52111"/>
                    <a:stretch/>
                  </pic:blipFill>
                  <pic:spPr bwMode="auto">
                    <a:xfrm>
                      <a:off x="0" y="0"/>
                      <a:ext cx="4518672" cy="11970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72BCA6" w14:textId="76F7D998" w:rsidR="001B0ADA" w:rsidRPr="00C03235" w:rsidRDefault="001B0ADA" w:rsidP="00317229">
      <w:pPr>
        <w:jc w:val="center"/>
        <w:rPr>
          <w:sz w:val="20"/>
          <w:szCs w:val="20"/>
        </w:rPr>
      </w:pPr>
      <w:r w:rsidRPr="00C03235">
        <w:rPr>
          <w:sz w:val="20"/>
          <w:szCs w:val="20"/>
        </w:rPr>
        <w:t>Fuente: Cotización para transporte de combustible enviada por HELIOS por medio de la comunicación E2023011007.</w:t>
      </w:r>
    </w:p>
    <w:p w14:paraId="32483A77" w14:textId="77777777" w:rsidR="007760F0" w:rsidRPr="00C03235" w:rsidRDefault="007760F0" w:rsidP="004B511C">
      <w:pPr>
        <w:ind w:left="709"/>
        <w:jc w:val="center"/>
      </w:pPr>
    </w:p>
    <w:p w14:paraId="436BFE49" w14:textId="28AC3858" w:rsidR="008C13C8" w:rsidRPr="00C03235" w:rsidRDefault="008C13C8" w:rsidP="004B511C">
      <w:pPr>
        <w:ind w:left="709"/>
        <w:jc w:val="both"/>
        <w:rPr>
          <w:b/>
          <w:bCs/>
        </w:rPr>
      </w:pPr>
      <w:r w:rsidRPr="00C03235">
        <w:rPr>
          <w:b/>
          <w:bCs/>
        </w:rPr>
        <w:t xml:space="preserve">Cotización 2. </w:t>
      </w:r>
    </w:p>
    <w:p w14:paraId="27535837" w14:textId="77777777" w:rsidR="008C13C8" w:rsidRPr="00C03235" w:rsidRDefault="008C13C8" w:rsidP="004B511C">
      <w:pPr>
        <w:ind w:left="709"/>
        <w:jc w:val="center"/>
      </w:pPr>
    </w:p>
    <w:p w14:paraId="160A28F9" w14:textId="162419D3" w:rsidR="007760F0" w:rsidRPr="00C03235" w:rsidRDefault="007760F0" w:rsidP="00317229">
      <w:pPr>
        <w:jc w:val="center"/>
      </w:pPr>
      <w:r w:rsidRPr="00C03235">
        <w:rPr>
          <w:noProof/>
        </w:rPr>
        <w:drawing>
          <wp:inline distT="0" distB="0" distL="0" distR="0" wp14:anchorId="0422E1EC" wp14:editId="57652117">
            <wp:extent cx="4523105" cy="1149350"/>
            <wp:effectExtent l="19050" t="19050" r="10795" b="12700"/>
            <wp:docPr id="1749163870" name="Picture 174916387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63870" name="Imagen 1" descr="Interfaz de usuario gráfica, Texto&#10;&#10;Descripción generada automáticamente"/>
                    <pic:cNvPicPr/>
                  </pic:nvPicPr>
                  <pic:blipFill rotWithShape="1">
                    <a:blip r:embed="rId26"/>
                    <a:srcRect t="52195"/>
                    <a:stretch/>
                  </pic:blipFill>
                  <pic:spPr bwMode="auto">
                    <a:xfrm>
                      <a:off x="0" y="0"/>
                      <a:ext cx="4531300" cy="11514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6E8C20" w14:textId="77777777" w:rsidR="001B0ADA" w:rsidRPr="00C03235" w:rsidRDefault="001B0ADA" w:rsidP="00317229">
      <w:pPr>
        <w:jc w:val="center"/>
        <w:rPr>
          <w:sz w:val="20"/>
          <w:szCs w:val="20"/>
        </w:rPr>
      </w:pPr>
      <w:r w:rsidRPr="00C03235">
        <w:rPr>
          <w:sz w:val="20"/>
          <w:szCs w:val="20"/>
        </w:rPr>
        <w:t>Fuente: Cotización para transporte de combustible enviada por HELIOS por medio de la comunicación E2023011007.</w:t>
      </w:r>
    </w:p>
    <w:p w14:paraId="5492C02D" w14:textId="77777777" w:rsidR="00C7643D" w:rsidRPr="00C03235" w:rsidRDefault="00C7643D" w:rsidP="005655E9">
      <w:pPr>
        <w:ind w:left="709"/>
        <w:jc w:val="both"/>
        <w:rPr>
          <w:i/>
          <w:iCs/>
        </w:rPr>
      </w:pPr>
    </w:p>
    <w:tbl>
      <w:tblPr>
        <w:tblW w:w="4367" w:type="dxa"/>
        <w:jc w:val="center"/>
        <w:tblCellMar>
          <w:left w:w="70" w:type="dxa"/>
          <w:right w:w="70" w:type="dxa"/>
        </w:tblCellMar>
        <w:tblLook w:val="04A0" w:firstRow="1" w:lastRow="0" w:firstColumn="1" w:lastColumn="0" w:noHBand="0" w:noVBand="1"/>
      </w:tblPr>
      <w:tblGrid>
        <w:gridCol w:w="3085"/>
        <w:gridCol w:w="1282"/>
      </w:tblGrid>
      <w:tr w:rsidR="008E23F8" w:rsidRPr="00C03235" w14:paraId="1B11AD2E" w14:textId="77777777" w:rsidTr="00872AE4">
        <w:trPr>
          <w:trHeight w:val="300"/>
          <w:tblHeader/>
          <w:jc w:val="center"/>
        </w:trPr>
        <w:tc>
          <w:tcPr>
            <w:tcW w:w="4207"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4BABFC" w14:textId="77777777" w:rsidR="008E23F8" w:rsidRPr="00C03235" w:rsidRDefault="008E23F8" w:rsidP="00553639">
            <w:pPr>
              <w:jc w:val="center"/>
              <w:rPr>
                <w:rFonts w:cs="Calibri"/>
                <w:b/>
                <w:bCs/>
                <w:sz w:val="20"/>
                <w:szCs w:val="20"/>
              </w:rPr>
            </w:pPr>
            <w:r w:rsidRPr="00C03235">
              <w:rPr>
                <w:rFonts w:cs="Calibri"/>
                <w:b/>
                <w:bCs/>
                <w:sz w:val="20"/>
                <w:szCs w:val="20"/>
              </w:rPr>
              <w:t>Transporte promedio desde Uribia hasta Nazareth actualizado a diciembre del 2022</w:t>
            </w:r>
          </w:p>
        </w:tc>
      </w:tr>
      <w:tr w:rsidR="008E23F8" w:rsidRPr="00C03235" w14:paraId="39DD95CD" w14:textId="77777777">
        <w:trPr>
          <w:trHeight w:val="282"/>
          <w:jc w:val="center"/>
        </w:trPr>
        <w:tc>
          <w:tcPr>
            <w:tcW w:w="4207"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2D6DE5" w14:textId="77777777" w:rsidR="008E23F8" w:rsidRPr="00C03235" w:rsidRDefault="008E23F8" w:rsidP="00553639">
            <w:pPr>
              <w:rPr>
                <w:rFonts w:cs="Calibri"/>
                <w:b/>
                <w:bCs/>
                <w:sz w:val="20"/>
                <w:szCs w:val="20"/>
              </w:rPr>
            </w:pPr>
          </w:p>
        </w:tc>
      </w:tr>
      <w:tr w:rsidR="008E23F8" w:rsidRPr="00C03235" w14:paraId="385302A6" w14:textId="77777777" w:rsidTr="00553639">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4C8A860" w14:textId="77777777" w:rsidR="008E23F8" w:rsidRPr="00C03235" w:rsidRDefault="008E23F8" w:rsidP="00553639">
            <w:pPr>
              <w:rPr>
                <w:rFonts w:cs="Calibri"/>
                <w:sz w:val="20"/>
                <w:szCs w:val="20"/>
              </w:rPr>
            </w:pPr>
            <w:r w:rsidRPr="00C03235">
              <w:rPr>
                <w:rFonts w:cs="Calibri"/>
                <w:sz w:val="20"/>
                <w:szCs w:val="20"/>
              </w:rPr>
              <w:t>Cotización 1</w:t>
            </w:r>
          </w:p>
        </w:tc>
        <w:tc>
          <w:tcPr>
            <w:tcW w:w="1235" w:type="dxa"/>
            <w:tcBorders>
              <w:top w:val="nil"/>
              <w:left w:val="nil"/>
              <w:bottom w:val="single" w:sz="4" w:space="0" w:color="auto"/>
              <w:right w:val="single" w:sz="4" w:space="0" w:color="auto"/>
            </w:tcBorders>
            <w:shd w:val="clear" w:color="auto" w:fill="auto"/>
            <w:noWrap/>
            <w:vAlign w:val="center"/>
            <w:hideMark/>
          </w:tcPr>
          <w:p w14:paraId="20F0289E" w14:textId="77777777" w:rsidR="008E23F8" w:rsidRPr="00C03235" w:rsidRDefault="008E23F8" w:rsidP="00553639">
            <w:pPr>
              <w:jc w:val="right"/>
              <w:rPr>
                <w:rFonts w:cs="Calibri"/>
                <w:sz w:val="20"/>
                <w:szCs w:val="20"/>
              </w:rPr>
            </w:pPr>
            <w:r w:rsidRPr="00C03235">
              <w:rPr>
                <w:rFonts w:cs="Calibri"/>
                <w:sz w:val="20"/>
                <w:szCs w:val="20"/>
              </w:rPr>
              <w:t>2,050</w:t>
            </w:r>
          </w:p>
        </w:tc>
      </w:tr>
      <w:tr w:rsidR="008E23F8" w:rsidRPr="00C03235" w14:paraId="14E68DBB" w14:textId="77777777" w:rsidTr="00553639">
        <w:trPr>
          <w:trHeight w:val="276"/>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3997E8F" w14:textId="77777777" w:rsidR="008E23F8" w:rsidRPr="00C03235" w:rsidRDefault="008E23F8" w:rsidP="00553639">
            <w:pPr>
              <w:rPr>
                <w:rFonts w:cs="Calibri"/>
                <w:sz w:val="20"/>
                <w:szCs w:val="20"/>
              </w:rPr>
            </w:pPr>
            <w:r w:rsidRPr="00C03235">
              <w:rPr>
                <w:rFonts w:cs="Calibri"/>
                <w:sz w:val="20"/>
                <w:szCs w:val="20"/>
              </w:rPr>
              <w:t>Cotización 2</w:t>
            </w:r>
          </w:p>
        </w:tc>
        <w:tc>
          <w:tcPr>
            <w:tcW w:w="1235" w:type="dxa"/>
            <w:tcBorders>
              <w:top w:val="nil"/>
              <w:left w:val="nil"/>
              <w:bottom w:val="single" w:sz="4" w:space="0" w:color="auto"/>
              <w:right w:val="single" w:sz="4" w:space="0" w:color="auto"/>
            </w:tcBorders>
            <w:shd w:val="clear" w:color="auto" w:fill="auto"/>
            <w:noWrap/>
            <w:vAlign w:val="center"/>
            <w:hideMark/>
          </w:tcPr>
          <w:p w14:paraId="12990F24" w14:textId="77777777" w:rsidR="008E23F8" w:rsidRPr="00C03235" w:rsidRDefault="008E23F8" w:rsidP="00553639">
            <w:pPr>
              <w:jc w:val="right"/>
              <w:rPr>
                <w:rFonts w:cs="Calibri"/>
                <w:sz w:val="20"/>
                <w:szCs w:val="20"/>
              </w:rPr>
            </w:pPr>
            <w:r w:rsidRPr="00C03235">
              <w:rPr>
                <w:rFonts w:cs="Calibri"/>
                <w:sz w:val="20"/>
                <w:szCs w:val="20"/>
              </w:rPr>
              <w:t>2,100</w:t>
            </w:r>
          </w:p>
        </w:tc>
      </w:tr>
      <w:tr w:rsidR="008E23F8" w:rsidRPr="00C03235" w14:paraId="6963FB67" w14:textId="77777777" w:rsidTr="00553639">
        <w:trPr>
          <w:trHeight w:val="276"/>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BD7F481" w14:textId="77777777" w:rsidR="008E23F8" w:rsidRPr="00C03235" w:rsidRDefault="008E23F8" w:rsidP="00553639">
            <w:pPr>
              <w:rPr>
                <w:rFonts w:cs="Calibri"/>
                <w:sz w:val="20"/>
                <w:szCs w:val="20"/>
              </w:rPr>
            </w:pPr>
            <w:r w:rsidRPr="00C03235">
              <w:rPr>
                <w:rFonts w:cs="Calibri"/>
                <w:sz w:val="20"/>
                <w:szCs w:val="20"/>
              </w:rPr>
              <w:t>IPP 2022</w:t>
            </w:r>
          </w:p>
        </w:tc>
        <w:tc>
          <w:tcPr>
            <w:tcW w:w="1235" w:type="dxa"/>
            <w:tcBorders>
              <w:top w:val="nil"/>
              <w:left w:val="nil"/>
              <w:bottom w:val="single" w:sz="4" w:space="0" w:color="auto"/>
              <w:right w:val="single" w:sz="4" w:space="0" w:color="auto"/>
            </w:tcBorders>
            <w:shd w:val="clear" w:color="auto" w:fill="auto"/>
            <w:noWrap/>
            <w:vAlign w:val="center"/>
            <w:hideMark/>
          </w:tcPr>
          <w:p w14:paraId="56CBF432" w14:textId="77777777" w:rsidR="008E23F8" w:rsidRPr="00C03235" w:rsidRDefault="008E23F8" w:rsidP="00553639">
            <w:pPr>
              <w:jc w:val="right"/>
              <w:rPr>
                <w:rFonts w:cs="Calibri"/>
                <w:sz w:val="20"/>
                <w:szCs w:val="20"/>
              </w:rPr>
            </w:pPr>
            <w:r w:rsidRPr="00C03235">
              <w:rPr>
                <w:rFonts w:cs="Calibri"/>
                <w:sz w:val="20"/>
                <w:szCs w:val="20"/>
              </w:rPr>
              <w:t>175.85</w:t>
            </w:r>
          </w:p>
        </w:tc>
      </w:tr>
      <w:tr w:rsidR="008E23F8" w:rsidRPr="00C03235" w14:paraId="28726E00" w14:textId="77777777" w:rsidTr="00553639">
        <w:trPr>
          <w:trHeight w:val="276"/>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BB08512" w14:textId="77777777" w:rsidR="008E23F8" w:rsidRPr="00C03235" w:rsidRDefault="008E23F8" w:rsidP="00553639">
            <w:pPr>
              <w:rPr>
                <w:rFonts w:cs="Calibri"/>
                <w:sz w:val="20"/>
                <w:szCs w:val="20"/>
              </w:rPr>
            </w:pPr>
            <w:r w:rsidRPr="00C03235">
              <w:rPr>
                <w:rFonts w:cs="Calibri"/>
                <w:sz w:val="20"/>
                <w:szCs w:val="20"/>
              </w:rPr>
              <w:t>IPP mayo 2023</w:t>
            </w:r>
          </w:p>
        </w:tc>
        <w:tc>
          <w:tcPr>
            <w:tcW w:w="1235" w:type="dxa"/>
            <w:tcBorders>
              <w:top w:val="nil"/>
              <w:left w:val="nil"/>
              <w:bottom w:val="single" w:sz="4" w:space="0" w:color="auto"/>
              <w:right w:val="single" w:sz="4" w:space="0" w:color="auto"/>
            </w:tcBorders>
            <w:shd w:val="clear" w:color="auto" w:fill="auto"/>
            <w:noWrap/>
            <w:vAlign w:val="center"/>
            <w:hideMark/>
          </w:tcPr>
          <w:p w14:paraId="7DEDD788" w14:textId="77777777" w:rsidR="008E23F8" w:rsidRPr="00C03235" w:rsidRDefault="008E23F8" w:rsidP="00553639">
            <w:pPr>
              <w:jc w:val="right"/>
              <w:rPr>
                <w:rFonts w:cs="Calibri"/>
                <w:sz w:val="20"/>
                <w:szCs w:val="20"/>
              </w:rPr>
            </w:pPr>
            <w:r w:rsidRPr="00C03235">
              <w:rPr>
                <w:rFonts w:cs="Calibri"/>
                <w:sz w:val="20"/>
                <w:szCs w:val="20"/>
              </w:rPr>
              <w:t>177.47</w:t>
            </w:r>
          </w:p>
        </w:tc>
      </w:tr>
      <w:tr w:rsidR="008E23F8" w:rsidRPr="00C03235" w14:paraId="1336731C" w14:textId="77777777" w:rsidTr="00553639">
        <w:trPr>
          <w:trHeight w:val="251"/>
          <w:jc w:val="center"/>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8F2B790" w14:textId="77777777" w:rsidR="008E23F8" w:rsidRPr="00C03235" w:rsidRDefault="008E23F8" w:rsidP="00553639">
            <w:pPr>
              <w:rPr>
                <w:rFonts w:cs="Calibri"/>
                <w:b/>
                <w:bCs/>
                <w:sz w:val="20"/>
                <w:szCs w:val="20"/>
              </w:rPr>
            </w:pPr>
            <w:r w:rsidRPr="00C03235">
              <w:rPr>
                <w:rFonts w:cs="Calibri"/>
                <w:b/>
                <w:bCs/>
                <w:sz w:val="20"/>
                <w:szCs w:val="20"/>
              </w:rPr>
              <w:t>Valor promedio al 2022</w:t>
            </w:r>
          </w:p>
        </w:tc>
        <w:tc>
          <w:tcPr>
            <w:tcW w:w="1235" w:type="dxa"/>
            <w:tcBorders>
              <w:top w:val="nil"/>
              <w:left w:val="nil"/>
              <w:bottom w:val="single" w:sz="4" w:space="0" w:color="auto"/>
              <w:right w:val="single" w:sz="4" w:space="0" w:color="auto"/>
            </w:tcBorders>
            <w:shd w:val="clear" w:color="auto" w:fill="auto"/>
            <w:noWrap/>
            <w:vAlign w:val="center"/>
            <w:hideMark/>
          </w:tcPr>
          <w:p w14:paraId="2278E6AE" w14:textId="77777777" w:rsidR="008E23F8" w:rsidRPr="00C03235" w:rsidRDefault="008E23F8" w:rsidP="00553639">
            <w:pPr>
              <w:jc w:val="right"/>
              <w:rPr>
                <w:rFonts w:cs="Calibri"/>
                <w:b/>
                <w:bCs/>
                <w:sz w:val="20"/>
                <w:szCs w:val="20"/>
              </w:rPr>
            </w:pPr>
            <w:r w:rsidRPr="00C03235">
              <w:rPr>
                <w:rFonts w:cs="Calibri"/>
                <w:b/>
                <w:bCs/>
                <w:sz w:val="20"/>
                <w:szCs w:val="20"/>
              </w:rPr>
              <w:t>2,056</w:t>
            </w:r>
          </w:p>
        </w:tc>
      </w:tr>
    </w:tbl>
    <w:p w14:paraId="30628A43" w14:textId="6253ED6E" w:rsidR="000A156D" w:rsidRPr="00C03235" w:rsidRDefault="000A156D" w:rsidP="00AE4C7C">
      <w:pPr>
        <w:ind w:left="709"/>
        <w:jc w:val="center"/>
        <w:rPr>
          <w:sz w:val="18"/>
          <w:szCs w:val="18"/>
        </w:rPr>
      </w:pPr>
      <w:r w:rsidRPr="00C03235">
        <w:rPr>
          <w:sz w:val="18"/>
          <w:szCs w:val="18"/>
        </w:rPr>
        <w:t>Pesos de diciembre del 2022</w:t>
      </w:r>
    </w:p>
    <w:p w14:paraId="3C014065" w14:textId="77777777" w:rsidR="00E35191" w:rsidRPr="00C03235" w:rsidRDefault="00E35191" w:rsidP="00E35191">
      <w:pPr>
        <w:ind w:left="709"/>
        <w:jc w:val="center"/>
        <w:rPr>
          <w:sz w:val="18"/>
          <w:szCs w:val="18"/>
        </w:rPr>
      </w:pPr>
    </w:p>
    <w:p w14:paraId="1403A136" w14:textId="1E4C18B8" w:rsidR="00764F6E" w:rsidRPr="00C03235" w:rsidRDefault="1A694E6F" w:rsidP="333A38D3">
      <w:pPr>
        <w:pStyle w:val="Textodebloque"/>
        <w:ind w:right="6"/>
        <w:contextualSpacing/>
        <w:rPr>
          <w:rFonts w:ascii="Bookman Old Style" w:hAnsi="Bookman Old Style"/>
          <w:lang w:val="es-CO"/>
        </w:rPr>
      </w:pPr>
      <w:r w:rsidRPr="00C03235">
        <w:rPr>
          <w:rFonts w:ascii="Bookman Old Style" w:hAnsi="Bookman Old Style"/>
          <w:lang w:val="es-CO"/>
        </w:rPr>
        <w:t xml:space="preserve">Conforme lo anterior, la Comisión considera procedente </w:t>
      </w:r>
      <w:r w:rsidR="00416D01">
        <w:rPr>
          <w:rFonts w:ascii="Bookman Old Style" w:hAnsi="Bookman Old Style"/>
          <w:lang w:val="es-CO"/>
        </w:rPr>
        <w:t xml:space="preserve">realizar </w:t>
      </w:r>
      <w:r w:rsidR="008425F7" w:rsidRPr="00C03235">
        <w:rPr>
          <w:rFonts w:ascii="Bookman Old Style" w:hAnsi="Bookman Old Style"/>
          <w:lang w:val="es-CO"/>
        </w:rPr>
        <w:t xml:space="preserve">la </w:t>
      </w:r>
      <w:r w:rsidRPr="00C03235">
        <w:rPr>
          <w:rFonts w:ascii="Bookman Old Style" w:hAnsi="Bookman Old Style"/>
          <w:lang w:val="es-CO"/>
        </w:rPr>
        <w:t>revis</w:t>
      </w:r>
      <w:r w:rsidR="008425F7" w:rsidRPr="00C03235">
        <w:rPr>
          <w:rFonts w:ascii="Bookman Old Style" w:hAnsi="Bookman Old Style"/>
          <w:lang w:val="es-CO"/>
        </w:rPr>
        <w:t>i</w:t>
      </w:r>
      <w:r w:rsidRPr="00C03235">
        <w:rPr>
          <w:rFonts w:ascii="Bookman Old Style" w:hAnsi="Bookman Old Style"/>
          <w:lang w:val="es-CO"/>
        </w:rPr>
        <w:t xml:space="preserve">ón del </w:t>
      </w:r>
      <w:r w:rsidR="0DB36D41" w:rsidRPr="00C03235">
        <w:rPr>
          <w:rFonts w:ascii="Bookman Old Style" w:hAnsi="Bookman Old Style"/>
          <w:lang w:val="es-CO"/>
        </w:rPr>
        <w:t>cálculo del costo de generación con diésel</w:t>
      </w:r>
      <w:r w:rsidR="008425F7" w:rsidRPr="00C03235">
        <w:rPr>
          <w:rFonts w:ascii="Bookman Old Style" w:hAnsi="Bookman Old Style"/>
          <w:lang w:val="es-CO"/>
        </w:rPr>
        <w:t xml:space="preserve">, tomando en cuenta el valor revisado para la variable </w:t>
      </w:r>
      <w:r w:rsidR="008425F7" w:rsidRPr="00DE516E">
        <w:rPr>
          <w:rFonts w:ascii="Bookman Old Style" w:hAnsi="Bookman Old Style"/>
          <w:i/>
          <w:iCs/>
          <w:lang w:val="es-CO"/>
        </w:rPr>
        <w:t>Tmi</w:t>
      </w:r>
      <w:r w:rsidR="00764F6E" w:rsidRPr="00C03235">
        <w:rPr>
          <w:rFonts w:ascii="Bookman Old Style" w:hAnsi="Bookman Old Style"/>
          <w:lang w:val="es-CO"/>
        </w:rPr>
        <w:t>.</w:t>
      </w:r>
    </w:p>
    <w:p w14:paraId="1802F1DD" w14:textId="77777777" w:rsidR="00764F6E" w:rsidRPr="00C03235" w:rsidRDefault="00764F6E" w:rsidP="333A38D3">
      <w:pPr>
        <w:pStyle w:val="Textodebloque"/>
        <w:ind w:right="6"/>
        <w:contextualSpacing/>
        <w:rPr>
          <w:rFonts w:ascii="Bookman Old Style" w:hAnsi="Bookman Old Style"/>
          <w:lang w:val="es-CO"/>
        </w:rPr>
      </w:pPr>
    </w:p>
    <w:p w14:paraId="76940EC6" w14:textId="7E9D41AC" w:rsidR="00F87C21" w:rsidRPr="00C03235" w:rsidRDefault="00764F6E" w:rsidP="333A38D3">
      <w:pPr>
        <w:pStyle w:val="Textodebloque"/>
        <w:ind w:right="6"/>
        <w:contextualSpacing/>
        <w:rPr>
          <w:rFonts w:ascii="Bookman Old Style" w:hAnsi="Bookman Old Style"/>
          <w:lang w:val="es-CO"/>
        </w:rPr>
      </w:pPr>
      <w:r w:rsidRPr="00C03235">
        <w:rPr>
          <w:rFonts w:ascii="Bookman Old Style" w:hAnsi="Bookman Old Style"/>
          <w:lang w:val="es-CO"/>
        </w:rPr>
        <w:t>Como consecuencia de lo anterior</w:t>
      </w:r>
      <w:r w:rsidR="7AC9C6AA" w:rsidRPr="00C03235">
        <w:rPr>
          <w:rFonts w:ascii="Bookman Old Style" w:hAnsi="Bookman Old Style"/>
          <w:lang w:val="es-CO"/>
        </w:rPr>
        <w:t xml:space="preserve">, </w:t>
      </w:r>
      <w:r w:rsidR="00B92913" w:rsidRPr="00C03235">
        <w:rPr>
          <w:rFonts w:ascii="Bookman Old Style" w:hAnsi="Bookman Old Style"/>
          <w:lang w:val="es-CO"/>
        </w:rPr>
        <w:t>es procedente revisar, igualmente, el cálculo del parámetro beta, teniendo en cuenta, no solo el costo revisado de generación diésel para el mercado de Nazareth y Puerto Estrella, sino los car</w:t>
      </w:r>
      <w:r w:rsidR="00A059F2" w:rsidRPr="00C03235">
        <w:rPr>
          <w:rFonts w:ascii="Bookman Old Style" w:hAnsi="Bookman Old Style"/>
          <w:lang w:val="es-CO"/>
        </w:rPr>
        <w:t>go</w:t>
      </w:r>
      <w:r w:rsidR="00B92913" w:rsidRPr="00C03235">
        <w:rPr>
          <w:rFonts w:ascii="Bookman Old Style" w:hAnsi="Bookman Old Style"/>
          <w:lang w:val="es-CO"/>
        </w:rPr>
        <w:t xml:space="preserve">s </w:t>
      </w:r>
      <w:r w:rsidR="00A059F2" w:rsidRPr="00C03235">
        <w:rPr>
          <w:rFonts w:ascii="Bookman Old Style" w:hAnsi="Bookman Old Style"/>
          <w:lang w:val="es-CO"/>
        </w:rPr>
        <w:t xml:space="preserve">de generación </w:t>
      </w:r>
      <w:r w:rsidR="00B92913" w:rsidRPr="00C03235">
        <w:rPr>
          <w:rFonts w:ascii="Bookman Old Style" w:hAnsi="Bookman Old Style"/>
          <w:lang w:val="es-CO"/>
        </w:rPr>
        <w:t>revisados</w:t>
      </w:r>
      <w:r w:rsidR="005148D4" w:rsidRPr="00C03235">
        <w:rPr>
          <w:rFonts w:ascii="Bookman Old Style" w:hAnsi="Bookman Old Style"/>
          <w:lang w:val="es-CO"/>
        </w:rPr>
        <w:t>,</w:t>
      </w:r>
      <w:r w:rsidR="00B92913" w:rsidRPr="00C03235">
        <w:rPr>
          <w:rFonts w:ascii="Bookman Old Style" w:hAnsi="Bookman Old Style"/>
          <w:lang w:val="es-CO"/>
        </w:rPr>
        <w:t xml:space="preserve"> </w:t>
      </w:r>
      <w:r w:rsidR="00A059F2" w:rsidRPr="00C03235">
        <w:rPr>
          <w:rFonts w:ascii="Bookman Old Style" w:hAnsi="Bookman Old Style"/>
          <w:lang w:val="es-CO"/>
        </w:rPr>
        <w:t>tanto para sistemas SFV</w:t>
      </w:r>
      <w:r w:rsidR="005148D4" w:rsidRPr="00C03235">
        <w:rPr>
          <w:rFonts w:ascii="Bookman Old Style" w:hAnsi="Bookman Old Style"/>
          <w:lang w:val="es-CO"/>
        </w:rPr>
        <w:t>,</w:t>
      </w:r>
      <w:r w:rsidR="00A059F2" w:rsidRPr="00C03235">
        <w:rPr>
          <w:rFonts w:ascii="Bookman Old Style" w:hAnsi="Bookman Old Style"/>
          <w:lang w:val="es-CO"/>
        </w:rPr>
        <w:t xml:space="preserve"> como para </w:t>
      </w:r>
      <w:r w:rsidR="005148D4" w:rsidRPr="00C03235">
        <w:rPr>
          <w:rFonts w:ascii="Bookman Old Style" w:hAnsi="Bookman Old Style"/>
          <w:lang w:val="es-CO"/>
        </w:rPr>
        <w:t>almacenamiento</w:t>
      </w:r>
      <w:r w:rsidR="0DB36D41" w:rsidRPr="00C03235">
        <w:rPr>
          <w:rFonts w:ascii="Bookman Old Style" w:hAnsi="Bookman Old Style"/>
          <w:lang w:val="es-CO"/>
        </w:rPr>
        <w:t>.</w:t>
      </w:r>
      <w:r w:rsidR="3C2B8B44" w:rsidRPr="00C03235">
        <w:rPr>
          <w:rFonts w:ascii="Bookman Old Style" w:hAnsi="Bookman Old Style"/>
          <w:lang w:val="es-CO"/>
        </w:rPr>
        <w:t xml:space="preserve"> </w:t>
      </w:r>
      <w:r w:rsidR="005148D4" w:rsidRPr="00C03235">
        <w:rPr>
          <w:rFonts w:ascii="Bookman Old Style" w:hAnsi="Bookman Old Style"/>
          <w:lang w:val="es-CO"/>
        </w:rPr>
        <w:t xml:space="preserve">El cálculo detallado se desarrolla </w:t>
      </w:r>
      <w:r w:rsidR="3C2B8B44" w:rsidRPr="00C03235">
        <w:rPr>
          <w:rFonts w:ascii="Bookman Old Style" w:hAnsi="Bookman Old Style"/>
          <w:lang w:val="es-CO"/>
        </w:rPr>
        <w:t xml:space="preserve">en </w:t>
      </w:r>
      <w:r w:rsidR="00990DE6" w:rsidRPr="00DB55D9">
        <w:rPr>
          <w:rFonts w:ascii="Bookman Old Style" w:hAnsi="Bookman Old Style"/>
          <w:lang w:val="es-CO"/>
        </w:rPr>
        <w:t xml:space="preserve">el documento CREG </w:t>
      </w:r>
      <w:r w:rsidR="00DB55D9" w:rsidRPr="00DB55D9">
        <w:rPr>
          <w:rFonts w:ascii="Bookman Old Style" w:hAnsi="Bookman Old Style"/>
          <w:lang w:val="es-CO"/>
        </w:rPr>
        <w:t xml:space="preserve">901 154 </w:t>
      </w:r>
      <w:r w:rsidR="00990DE6" w:rsidRPr="00DB55D9">
        <w:rPr>
          <w:rFonts w:ascii="Bookman Old Style" w:hAnsi="Bookman Old Style"/>
          <w:lang w:val="es-CO"/>
        </w:rPr>
        <w:t>de 2024.</w:t>
      </w:r>
    </w:p>
    <w:p w14:paraId="043AA920" w14:textId="470157BD" w:rsidR="333A38D3" w:rsidRPr="00C03235" w:rsidRDefault="333A38D3" w:rsidP="333A38D3">
      <w:pPr>
        <w:pStyle w:val="Textodebloque"/>
        <w:ind w:right="6"/>
        <w:contextualSpacing/>
        <w:rPr>
          <w:rFonts w:ascii="Bookman Old Style" w:hAnsi="Bookman Old Style"/>
          <w:lang w:val="es-CO"/>
        </w:rPr>
      </w:pPr>
    </w:p>
    <w:p w14:paraId="42D027EA" w14:textId="2D6DA3F3" w:rsidR="009C1120" w:rsidRPr="00C03235" w:rsidRDefault="4682366B" w:rsidP="00C41465">
      <w:pPr>
        <w:pStyle w:val="Prrafodelista"/>
        <w:numPr>
          <w:ilvl w:val="1"/>
          <w:numId w:val="16"/>
        </w:numPr>
      </w:pPr>
      <w:r w:rsidRPr="672BB85E">
        <w:rPr>
          <w:b/>
          <w:bCs/>
          <w:i/>
          <w:iCs/>
          <w:sz w:val="24"/>
          <w:szCs w:val="24"/>
        </w:rPr>
        <w:t>Debe respetarse el principio de congruencia y de non reformatio in pejus</w:t>
      </w:r>
      <w:r w:rsidRPr="672BB85E">
        <w:rPr>
          <w:sz w:val="24"/>
          <w:szCs w:val="24"/>
        </w:rPr>
        <w:t>.</w:t>
      </w:r>
    </w:p>
    <w:p w14:paraId="6378049E" w14:textId="77777777" w:rsidR="00F02118" w:rsidRPr="00C03235" w:rsidRDefault="00F02118" w:rsidP="00F02118">
      <w:pPr>
        <w:pStyle w:val="Textodebloque"/>
        <w:ind w:right="6"/>
        <w:contextualSpacing/>
        <w:rPr>
          <w:rFonts w:ascii="Bookman Old Style" w:hAnsi="Bookman Old Style"/>
          <w:b/>
          <w:i/>
          <w:lang w:val="es-CO"/>
        </w:rPr>
      </w:pPr>
    </w:p>
    <w:p w14:paraId="46A252E4" w14:textId="7261C982" w:rsidR="00F02118" w:rsidRPr="00C03235" w:rsidRDefault="468DEDC6" w:rsidP="672BB85E">
      <w:pPr>
        <w:pStyle w:val="Textodebloque"/>
        <w:numPr>
          <w:ilvl w:val="2"/>
          <w:numId w:val="16"/>
        </w:numPr>
        <w:ind w:right="6"/>
        <w:contextualSpacing/>
        <w:rPr>
          <w:rFonts w:ascii="Bookman Old Style" w:hAnsi="Bookman Old Style"/>
          <w:b/>
          <w:bCs/>
          <w:i/>
          <w:iCs/>
          <w:lang w:val="es-CO"/>
        </w:rPr>
      </w:pPr>
      <w:r w:rsidRPr="672BB85E">
        <w:rPr>
          <w:rFonts w:ascii="Bookman Old Style" w:hAnsi="Bookman Old Style"/>
          <w:b/>
          <w:bCs/>
          <w:i/>
          <w:iCs/>
          <w:lang w:val="es-CO"/>
        </w:rPr>
        <w:t>No puede el regulador emitir una decisión en la que se reduzca</w:t>
      </w:r>
      <w:r w:rsidR="2BB62B7E" w:rsidRPr="672BB85E">
        <w:rPr>
          <w:rFonts w:ascii="Bookman Old Style" w:hAnsi="Bookman Old Style"/>
          <w:b/>
          <w:bCs/>
          <w:i/>
          <w:iCs/>
          <w:lang w:val="es-CO"/>
        </w:rPr>
        <w:t>n los cargos, que han sido aprobados mediante Resolución CREG 501 004 del 2023 a Helios</w:t>
      </w:r>
      <w:r w:rsidR="2AA9B612" w:rsidRPr="672BB85E">
        <w:rPr>
          <w:rFonts w:ascii="Bookman Old Style" w:hAnsi="Bookman Old Style"/>
          <w:b/>
          <w:bCs/>
          <w:i/>
          <w:iCs/>
          <w:lang w:val="es-CO"/>
        </w:rPr>
        <w:t xml:space="preserve">, sino que exclusivamente su decisión se debe limitar a resolver el reparo interpuesto respecto del </w:t>
      </w:r>
      <w:r w:rsidR="18A42C58" w:rsidRPr="672BB85E">
        <w:rPr>
          <w:rFonts w:ascii="Bookman Old Style" w:hAnsi="Bookman Old Style"/>
          <w:b/>
          <w:bCs/>
          <w:i/>
          <w:iCs/>
          <w:lang w:val="es-CO"/>
        </w:rPr>
        <w:t>cálculo</w:t>
      </w:r>
      <w:r w:rsidR="2AA9B612" w:rsidRPr="672BB85E">
        <w:rPr>
          <w:rFonts w:ascii="Bookman Old Style" w:hAnsi="Bookman Old Style"/>
          <w:b/>
          <w:bCs/>
          <w:i/>
          <w:iCs/>
          <w:lang w:val="es-CO"/>
        </w:rPr>
        <w:t xml:space="preserve"> de las componentes de inversión y AOM.</w:t>
      </w:r>
    </w:p>
    <w:p w14:paraId="2CE77AF2" w14:textId="77777777" w:rsidR="00945196" w:rsidRPr="00C03235" w:rsidRDefault="00945196" w:rsidP="00945196">
      <w:pPr>
        <w:pStyle w:val="Textodebloque"/>
        <w:ind w:right="6"/>
        <w:contextualSpacing/>
        <w:rPr>
          <w:rFonts w:ascii="Bookman Old Style" w:hAnsi="Bookman Old Style"/>
          <w:bCs/>
          <w:i/>
          <w:lang w:val="es-CO"/>
        </w:rPr>
      </w:pPr>
    </w:p>
    <w:p w14:paraId="058905FE" w14:textId="19F8F7AB" w:rsidR="0074435C" w:rsidRPr="00C03235" w:rsidRDefault="610BA32C" w:rsidP="672BB85E">
      <w:pPr>
        <w:pStyle w:val="Textodebloque"/>
        <w:ind w:right="6"/>
        <w:contextualSpacing/>
        <w:rPr>
          <w:rFonts w:ascii="Bookman Old Style" w:hAnsi="Bookman Old Style"/>
          <w:lang w:val="es-CO"/>
        </w:rPr>
      </w:pPr>
      <w:r w:rsidRPr="672BB85E">
        <w:rPr>
          <w:rFonts w:ascii="Bookman Old Style" w:hAnsi="Bookman Old Style"/>
          <w:lang w:val="es-CO"/>
        </w:rPr>
        <w:lastRenderedPageBreak/>
        <w:t>Al respecto,</w:t>
      </w:r>
      <w:r w:rsidR="31D2CCD7" w:rsidRPr="672BB85E">
        <w:rPr>
          <w:rFonts w:ascii="Bookman Old Style" w:hAnsi="Bookman Old Style"/>
          <w:lang w:val="es-CO"/>
        </w:rPr>
        <w:t xml:space="preserve"> el Consejo de Estado</w:t>
      </w:r>
      <w:r w:rsidRPr="7E69F8DB">
        <w:rPr>
          <w:rStyle w:val="Refdenotaalpie"/>
          <w:rFonts w:ascii="Bookman Old Style" w:hAnsi="Bookman Old Style"/>
          <w:lang w:val="es-CO"/>
        </w:rPr>
        <w:footnoteReference w:id="8"/>
      </w:r>
      <w:r w:rsidR="31D2CCD7" w:rsidRPr="672BB85E">
        <w:rPr>
          <w:rFonts w:ascii="Bookman Old Style" w:hAnsi="Bookman Old Style"/>
          <w:lang w:val="es-CO"/>
        </w:rPr>
        <w:t xml:space="preserve"> se ha pronunciado en relación con la aplicación del principio del non reformatio in pejus en las actuaciones administrativas adelantadas por esta Comisión, señalando:</w:t>
      </w:r>
    </w:p>
    <w:p w14:paraId="29F1E54B" w14:textId="76E260A6" w:rsidR="0074435C" w:rsidRPr="00C03235" w:rsidRDefault="0074435C" w:rsidP="672BB85E">
      <w:pPr>
        <w:pStyle w:val="Textodebloque"/>
        <w:ind w:right="6"/>
        <w:contextualSpacing/>
        <w:rPr>
          <w:rFonts w:ascii="Bookman Old Style" w:hAnsi="Bookman Old Style"/>
          <w:lang w:val="es-CO"/>
        </w:rPr>
      </w:pPr>
    </w:p>
    <w:p w14:paraId="35AE5460" w14:textId="6EED48DC" w:rsidR="0074435C" w:rsidRPr="00C03235" w:rsidRDefault="234511E6" w:rsidP="00A94591">
      <w:pPr>
        <w:pStyle w:val="Textodebloque"/>
        <w:spacing w:line="259" w:lineRule="auto"/>
        <w:ind w:left="284" w:right="6"/>
        <w:contextualSpacing/>
        <w:rPr>
          <w:rFonts w:ascii="Bookman Old Style" w:hAnsi="Bookman Old Style"/>
          <w:i/>
          <w:sz w:val="20"/>
          <w:lang w:val="es-CO"/>
        </w:rPr>
      </w:pPr>
      <w:r w:rsidRPr="1FC4A228">
        <w:rPr>
          <w:rFonts w:ascii="Bookman Old Style" w:hAnsi="Bookman Old Style"/>
          <w:i/>
          <w:sz w:val="22"/>
          <w:szCs w:val="22"/>
          <w:lang w:val="es-CO"/>
        </w:rPr>
        <w:t>“</w:t>
      </w:r>
      <w:r w:rsidR="43D50CDA" w:rsidRPr="1FC4A228">
        <w:rPr>
          <w:rFonts w:ascii="Bookman Old Style" w:hAnsi="Bookman Old Style"/>
          <w:i/>
          <w:iCs/>
          <w:sz w:val="22"/>
          <w:szCs w:val="22"/>
          <w:lang w:val="es-CO"/>
        </w:rPr>
        <w:t>S</w:t>
      </w:r>
      <w:r w:rsidRPr="1FC4A228">
        <w:rPr>
          <w:rFonts w:ascii="Bookman Old Style" w:hAnsi="Bookman Old Style"/>
          <w:i/>
          <w:iCs/>
          <w:sz w:val="22"/>
          <w:szCs w:val="22"/>
          <w:lang w:val="es-CO"/>
        </w:rPr>
        <w:t>obre</w:t>
      </w:r>
      <w:r w:rsidRPr="1FC4A228">
        <w:rPr>
          <w:rFonts w:ascii="Bookman Old Style" w:hAnsi="Bookman Old Style"/>
          <w:i/>
          <w:sz w:val="22"/>
          <w:szCs w:val="22"/>
          <w:lang w:val="es-CO"/>
        </w:rPr>
        <w:t xml:space="preserve"> el particular, cabe resaltar que </w:t>
      </w:r>
      <w:r w:rsidRPr="57AC3A65">
        <w:rPr>
          <w:rFonts w:ascii="Bookman Old Style" w:hAnsi="Bookman Old Style"/>
          <w:i/>
          <w:sz w:val="22"/>
          <w:szCs w:val="22"/>
          <w:u w:val="single"/>
          <w:lang w:val="es-CO"/>
        </w:rPr>
        <w:t>e</w:t>
      </w:r>
      <w:r w:rsidRPr="1F02B4ED">
        <w:rPr>
          <w:rFonts w:ascii="Bookman Old Style" w:hAnsi="Bookman Old Style"/>
          <w:i/>
          <w:sz w:val="22"/>
          <w:szCs w:val="22"/>
          <w:u w:val="single"/>
          <w:lang w:val="es-CO"/>
        </w:rPr>
        <w:t xml:space="preserve">n lo concerniente al principio de la non reformatio in pejus, reiteradamente esta Corporación </w:t>
      </w:r>
      <w:r w:rsidR="618AD66F" w:rsidRPr="1F02B4ED">
        <w:rPr>
          <w:rFonts w:ascii="Bookman Old Style" w:hAnsi="Bookman Old Style"/>
          <w:i/>
          <w:sz w:val="22"/>
          <w:szCs w:val="22"/>
          <w:u w:val="single"/>
          <w:lang w:val="es-CO"/>
        </w:rPr>
        <w:t xml:space="preserve">ha precisado que tal principio no es aplicable en las actuaciones administrativas, que </w:t>
      </w:r>
      <w:r w:rsidR="2836C624" w:rsidRPr="1F02B4ED">
        <w:rPr>
          <w:rFonts w:ascii="Bookman Old Style" w:hAnsi="Bookman Old Style"/>
          <w:i/>
          <w:sz w:val="22"/>
          <w:szCs w:val="22"/>
          <w:u w:val="single"/>
          <w:lang w:val="es-CO"/>
        </w:rPr>
        <w:t>no</w:t>
      </w:r>
      <w:r w:rsidR="618AD66F" w:rsidRPr="1F02B4ED">
        <w:rPr>
          <w:rFonts w:ascii="Bookman Old Style" w:hAnsi="Bookman Old Style"/>
          <w:i/>
          <w:sz w:val="22"/>
          <w:szCs w:val="22"/>
          <w:u w:val="single"/>
          <w:lang w:val="es-CO"/>
        </w:rPr>
        <w:t xml:space="preserve"> son de estirpe disciplinaria-sancionatoria</w:t>
      </w:r>
      <w:r w:rsidR="618AD66F" w:rsidRPr="1FC4A228">
        <w:rPr>
          <w:rFonts w:ascii="Bookman Old Style" w:hAnsi="Bookman Old Style"/>
          <w:i/>
          <w:iCs/>
          <w:sz w:val="22"/>
          <w:szCs w:val="22"/>
          <w:lang w:val="es-CO"/>
        </w:rPr>
        <w:t>.</w:t>
      </w:r>
    </w:p>
    <w:p w14:paraId="640B9D10" w14:textId="0AFB6109" w:rsidR="0074435C" w:rsidRPr="00C03235" w:rsidRDefault="0074435C" w:rsidP="00A94591">
      <w:pPr>
        <w:pStyle w:val="Textodebloque"/>
        <w:spacing w:line="259" w:lineRule="auto"/>
        <w:ind w:left="284" w:right="6"/>
        <w:contextualSpacing/>
        <w:rPr>
          <w:rFonts w:ascii="Bookman Old Style" w:hAnsi="Bookman Old Style"/>
          <w:i/>
          <w:iCs/>
          <w:sz w:val="22"/>
          <w:szCs w:val="22"/>
          <w:lang w:val="es-CO"/>
        </w:rPr>
      </w:pPr>
    </w:p>
    <w:p w14:paraId="3D013E3C" w14:textId="5DC2DD4D" w:rsidR="0074435C" w:rsidRPr="00C03235" w:rsidRDefault="0E90C435" w:rsidP="00A94591">
      <w:pPr>
        <w:pStyle w:val="Textodebloque"/>
        <w:spacing w:line="259" w:lineRule="auto"/>
        <w:ind w:left="284" w:right="6"/>
        <w:contextualSpacing/>
        <w:rPr>
          <w:rFonts w:ascii="Bookman Old Style" w:hAnsi="Bookman Old Style"/>
          <w:sz w:val="22"/>
          <w:szCs w:val="22"/>
          <w:lang w:val="es-CO"/>
        </w:rPr>
      </w:pPr>
      <w:r w:rsidRPr="1FC4A228">
        <w:rPr>
          <w:rFonts w:ascii="Bookman Old Style" w:hAnsi="Bookman Old Style"/>
          <w:i/>
          <w:iCs/>
          <w:sz w:val="22"/>
          <w:szCs w:val="22"/>
          <w:lang w:val="es-CO"/>
        </w:rPr>
        <w:t>En efecto, en la sentencia de 6 de julio de 2001 (Expediente núm. 25000-23-24-000-1999-0324-01(6570)</w:t>
      </w:r>
      <w:r w:rsidR="385B7636" w:rsidRPr="1FC4A228">
        <w:rPr>
          <w:rFonts w:ascii="Bookman Old Style" w:hAnsi="Bookman Old Style"/>
          <w:i/>
          <w:iCs/>
          <w:sz w:val="22"/>
          <w:szCs w:val="22"/>
          <w:lang w:val="es-CO"/>
        </w:rPr>
        <w:t xml:space="preserve">, Actor: Juan Pabli Bertieri Quintero, Cosejera ponente doctora Olga Inés Navarrete Barrero), </w:t>
      </w:r>
      <w:r w:rsidR="385B7636" w:rsidRPr="70B7AB5C">
        <w:rPr>
          <w:rFonts w:ascii="Bookman Old Style" w:hAnsi="Bookman Old Style"/>
          <w:i/>
          <w:sz w:val="22"/>
          <w:szCs w:val="22"/>
          <w:u w:val="single"/>
          <w:lang w:val="es-CO"/>
        </w:rPr>
        <w:t>esta Sección precisó que el principio de la non reformatio in pejus no ostenta t</w:t>
      </w:r>
      <w:r w:rsidR="060B2DC8" w:rsidRPr="70B7AB5C">
        <w:rPr>
          <w:rFonts w:ascii="Bookman Old Style" w:hAnsi="Bookman Old Style"/>
          <w:i/>
          <w:sz w:val="22"/>
          <w:szCs w:val="22"/>
          <w:u w:val="single"/>
          <w:lang w:val="es-CO"/>
        </w:rPr>
        <w:t>odo su rigorismo frente al procedimiento administrativo, pues dicho postulado hace referencia sólo a la sentencia penal; y que se aplica en algunos procedimientos administrativos, dependiendo de la estirpe disciplinaria sancionatoria que ellos contengan y de que la norma aplicable lo permita</w:t>
      </w:r>
      <w:r w:rsidR="270FAE18" w:rsidRPr="4CEC8F34">
        <w:rPr>
          <w:rFonts w:ascii="Bookman Old Style" w:hAnsi="Bookman Old Style"/>
          <w:i/>
          <w:iCs/>
          <w:sz w:val="22"/>
          <w:szCs w:val="22"/>
          <w:u w:val="single"/>
          <w:lang w:val="es-CO"/>
        </w:rPr>
        <w:t>.</w:t>
      </w:r>
    </w:p>
    <w:p w14:paraId="32037062" w14:textId="4762A896" w:rsidR="0074435C" w:rsidRPr="00C03235" w:rsidRDefault="0074435C" w:rsidP="00A94591">
      <w:pPr>
        <w:pStyle w:val="Textodebloque"/>
        <w:spacing w:line="259" w:lineRule="auto"/>
        <w:ind w:left="284" w:right="6"/>
        <w:contextualSpacing/>
        <w:rPr>
          <w:rFonts w:ascii="Bookman Old Style" w:hAnsi="Bookman Old Style"/>
          <w:i/>
          <w:iCs/>
          <w:sz w:val="22"/>
          <w:szCs w:val="22"/>
          <w:lang w:val="es-CO"/>
        </w:rPr>
      </w:pPr>
    </w:p>
    <w:p w14:paraId="1FB7F495" w14:textId="44944C53" w:rsidR="0074435C" w:rsidRPr="00C03235" w:rsidRDefault="270FAE18" w:rsidP="00A94591">
      <w:pPr>
        <w:pStyle w:val="Textodebloque"/>
        <w:spacing w:line="259" w:lineRule="auto"/>
        <w:ind w:left="284" w:right="6"/>
        <w:contextualSpacing/>
        <w:rPr>
          <w:rFonts w:ascii="Bookman Old Style" w:hAnsi="Bookman Old Style"/>
          <w:sz w:val="22"/>
          <w:szCs w:val="22"/>
          <w:lang w:val="es-CO"/>
        </w:rPr>
      </w:pPr>
      <w:r w:rsidRPr="6A9BF729">
        <w:rPr>
          <w:rFonts w:ascii="Bookman Old Style" w:hAnsi="Bookman Old Style"/>
          <w:i/>
          <w:iCs/>
          <w:sz w:val="22"/>
          <w:szCs w:val="22"/>
          <w:lang w:val="es-CO"/>
        </w:rPr>
        <w:t>Así lo expresa:</w:t>
      </w:r>
    </w:p>
    <w:p w14:paraId="6420AD73" w14:textId="3ADE8985" w:rsidR="0074435C" w:rsidRPr="00C03235" w:rsidRDefault="0074435C" w:rsidP="00A94591">
      <w:pPr>
        <w:pStyle w:val="Textodebloque"/>
        <w:spacing w:line="259" w:lineRule="auto"/>
        <w:ind w:left="284" w:right="6"/>
        <w:contextualSpacing/>
        <w:rPr>
          <w:rFonts w:ascii="Bookman Old Style" w:hAnsi="Bookman Old Style"/>
          <w:i/>
          <w:iCs/>
          <w:sz w:val="22"/>
          <w:szCs w:val="22"/>
          <w:lang w:val="es-CO"/>
        </w:rPr>
      </w:pPr>
    </w:p>
    <w:p w14:paraId="2103DC78" w14:textId="56B551D4" w:rsidR="0074435C" w:rsidRDefault="270FAE18" w:rsidP="00A94591">
      <w:pPr>
        <w:pStyle w:val="Textodebloque"/>
        <w:spacing w:line="259" w:lineRule="auto"/>
        <w:ind w:left="284" w:right="6"/>
        <w:contextualSpacing/>
        <w:rPr>
          <w:rFonts w:ascii="Bookman Old Style" w:hAnsi="Bookman Old Style"/>
          <w:sz w:val="22"/>
          <w:szCs w:val="22"/>
          <w:lang w:val="es-CO"/>
        </w:rPr>
      </w:pPr>
      <w:r w:rsidRPr="381C9F76">
        <w:rPr>
          <w:rFonts w:ascii="Bookman Old Style" w:hAnsi="Bookman Old Style"/>
          <w:sz w:val="22"/>
          <w:szCs w:val="22"/>
          <w:lang w:val="es-CO"/>
        </w:rPr>
        <w:t>“</w:t>
      </w:r>
      <w:r w:rsidR="31F7C16C" w:rsidRPr="381C9F76">
        <w:rPr>
          <w:rFonts w:ascii="Bookman Old Style" w:hAnsi="Bookman Old Style"/>
          <w:sz w:val="22"/>
          <w:szCs w:val="22"/>
          <w:lang w:val="es-CO"/>
        </w:rPr>
        <w:t>(...)</w:t>
      </w:r>
    </w:p>
    <w:p w14:paraId="35704620" w14:textId="77777777" w:rsidR="00A94591" w:rsidRPr="00C03235" w:rsidRDefault="00A94591" w:rsidP="00A94591">
      <w:pPr>
        <w:pStyle w:val="Textodebloque"/>
        <w:spacing w:line="259" w:lineRule="auto"/>
        <w:ind w:left="284" w:right="6"/>
        <w:contextualSpacing/>
        <w:rPr>
          <w:rFonts w:ascii="Bookman Old Style" w:hAnsi="Bookman Old Style"/>
          <w:sz w:val="22"/>
          <w:szCs w:val="22"/>
          <w:lang w:val="es-CO"/>
        </w:rPr>
      </w:pPr>
    </w:p>
    <w:p w14:paraId="2AF50AAA" w14:textId="0C8336DB" w:rsidR="0074435C" w:rsidRPr="00C03235" w:rsidRDefault="31F7C16C" w:rsidP="00A94591">
      <w:pPr>
        <w:pStyle w:val="Textodebloque"/>
        <w:spacing w:line="259" w:lineRule="auto"/>
        <w:ind w:left="567" w:right="6"/>
        <w:contextualSpacing/>
        <w:rPr>
          <w:rFonts w:ascii="Bookman Old Style" w:hAnsi="Bookman Old Style"/>
          <w:sz w:val="22"/>
          <w:szCs w:val="22"/>
          <w:lang w:val="es-CO"/>
        </w:rPr>
      </w:pPr>
      <w:r w:rsidRPr="6C76D70B">
        <w:rPr>
          <w:rFonts w:ascii="Bookman Old Style" w:hAnsi="Bookman Old Style"/>
          <w:i/>
          <w:iCs/>
          <w:sz w:val="22"/>
          <w:szCs w:val="22"/>
          <w:lang w:val="es-CO"/>
        </w:rPr>
        <w:t xml:space="preserve">Si bien, la reformatio in pejus, </w:t>
      </w:r>
      <w:r w:rsidRPr="78D79715">
        <w:rPr>
          <w:rFonts w:ascii="Bookman Old Style" w:hAnsi="Bookman Old Style"/>
          <w:i/>
          <w:iCs/>
          <w:sz w:val="22"/>
          <w:szCs w:val="22"/>
          <w:lang w:val="es-CO"/>
        </w:rPr>
        <w:t xml:space="preserve">más que un </w:t>
      </w:r>
      <w:r w:rsidRPr="333773EA">
        <w:rPr>
          <w:rFonts w:ascii="Bookman Old Style" w:hAnsi="Bookman Old Style"/>
          <w:i/>
          <w:iCs/>
          <w:sz w:val="22"/>
          <w:szCs w:val="22"/>
          <w:lang w:val="es-CO"/>
        </w:rPr>
        <w:t xml:space="preserve">principio, constituye una regla </w:t>
      </w:r>
      <w:r w:rsidR="002E6C8A" w:rsidRPr="333773EA">
        <w:rPr>
          <w:rFonts w:ascii="Bookman Old Style" w:hAnsi="Bookman Old Style"/>
          <w:i/>
          <w:iCs/>
          <w:sz w:val="22"/>
          <w:szCs w:val="22"/>
          <w:lang w:val="es-CO"/>
        </w:rPr>
        <w:t>técnica</w:t>
      </w:r>
      <w:r w:rsidRPr="333773EA">
        <w:rPr>
          <w:rFonts w:ascii="Bookman Old Style" w:hAnsi="Bookman Old Style"/>
          <w:i/>
          <w:iCs/>
          <w:sz w:val="22"/>
          <w:szCs w:val="22"/>
          <w:lang w:val="es-CO"/>
        </w:rPr>
        <w:t xml:space="preserve"> del </w:t>
      </w:r>
      <w:r w:rsidRPr="01507669">
        <w:rPr>
          <w:rFonts w:ascii="Bookman Old Style" w:hAnsi="Bookman Old Style"/>
          <w:i/>
          <w:iCs/>
          <w:sz w:val="22"/>
          <w:szCs w:val="22"/>
          <w:lang w:val="es-CO"/>
        </w:rPr>
        <w:t>derecho, no es de aplicación absoluta, pues</w:t>
      </w:r>
      <w:r w:rsidRPr="6F2F6DD3">
        <w:rPr>
          <w:rFonts w:ascii="Bookman Old Style" w:hAnsi="Bookman Old Style"/>
          <w:i/>
          <w:iCs/>
          <w:sz w:val="22"/>
          <w:szCs w:val="22"/>
          <w:lang w:val="es-CO"/>
        </w:rPr>
        <w:t xml:space="preserve">, por el contrario, el ordenamiento </w:t>
      </w:r>
      <w:r w:rsidRPr="4D5102AF">
        <w:rPr>
          <w:rFonts w:ascii="Bookman Old Style" w:hAnsi="Bookman Old Style"/>
          <w:i/>
          <w:iCs/>
          <w:sz w:val="22"/>
          <w:szCs w:val="22"/>
          <w:lang w:val="es-CO"/>
        </w:rPr>
        <w:t>jur</w:t>
      </w:r>
      <w:r w:rsidR="68A2EB80" w:rsidRPr="4D5102AF">
        <w:rPr>
          <w:rFonts w:ascii="Bookman Old Style" w:hAnsi="Bookman Old Style"/>
          <w:i/>
          <w:iCs/>
          <w:sz w:val="22"/>
          <w:szCs w:val="22"/>
          <w:lang w:val="es-CO"/>
        </w:rPr>
        <w:t>í</w:t>
      </w:r>
      <w:r w:rsidRPr="4D5102AF">
        <w:rPr>
          <w:rFonts w:ascii="Bookman Old Style" w:hAnsi="Bookman Old Style"/>
          <w:i/>
          <w:iCs/>
          <w:sz w:val="22"/>
          <w:szCs w:val="22"/>
          <w:lang w:val="es-CO"/>
        </w:rPr>
        <w:t>dico</w:t>
      </w:r>
      <w:r w:rsidRPr="6B598400">
        <w:rPr>
          <w:rFonts w:ascii="Bookman Old Style" w:hAnsi="Bookman Old Style"/>
          <w:i/>
          <w:iCs/>
          <w:sz w:val="22"/>
          <w:szCs w:val="22"/>
          <w:lang w:val="es-CO"/>
        </w:rPr>
        <w:t xml:space="preserve"> establece las limitaciones </w:t>
      </w:r>
      <w:r w:rsidRPr="7999F2EE">
        <w:rPr>
          <w:rFonts w:ascii="Bookman Old Style" w:hAnsi="Bookman Old Style"/>
          <w:i/>
          <w:iCs/>
          <w:sz w:val="22"/>
          <w:szCs w:val="22"/>
          <w:lang w:val="es-CO"/>
        </w:rPr>
        <w:t xml:space="preserve">propias que restringen su </w:t>
      </w:r>
      <w:r w:rsidRPr="3955C047">
        <w:rPr>
          <w:rFonts w:ascii="Bookman Old Style" w:hAnsi="Bookman Old Style"/>
          <w:i/>
          <w:iCs/>
          <w:sz w:val="22"/>
          <w:szCs w:val="22"/>
          <w:lang w:val="es-CO"/>
        </w:rPr>
        <w:t xml:space="preserve">operatividad frente a un caso en </w:t>
      </w:r>
      <w:r w:rsidRPr="2F14C813">
        <w:rPr>
          <w:rFonts w:ascii="Bookman Old Style" w:hAnsi="Bookman Old Style"/>
          <w:i/>
          <w:iCs/>
          <w:sz w:val="22"/>
          <w:szCs w:val="22"/>
          <w:lang w:val="es-CO"/>
        </w:rPr>
        <w:t xml:space="preserve">concreto. Es así, </w:t>
      </w:r>
      <w:r w:rsidR="5F9CCA97" w:rsidRPr="2F14C813">
        <w:rPr>
          <w:rFonts w:ascii="Bookman Old Style" w:hAnsi="Bookman Old Style"/>
          <w:i/>
          <w:iCs/>
          <w:sz w:val="22"/>
          <w:szCs w:val="22"/>
          <w:lang w:val="es-CO"/>
        </w:rPr>
        <w:t xml:space="preserve">que aunque </w:t>
      </w:r>
      <w:r w:rsidR="5F9CCA97" w:rsidRPr="63562C68">
        <w:rPr>
          <w:rFonts w:ascii="Bookman Old Style" w:hAnsi="Bookman Old Style"/>
          <w:i/>
          <w:iCs/>
          <w:sz w:val="22"/>
          <w:szCs w:val="22"/>
          <w:lang w:val="es-CO"/>
        </w:rPr>
        <w:t xml:space="preserve">es una institución netamente </w:t>
      </w:r>
      <w:r w:rsidR="5F9CCA97" w:rsidRPr="521352C5">
        <w:rPr>
          <w:rFonts w:ascii="Bookman Old Style" w:hAnsi="Bookman Old Style"/>
          <w:i/>
          <w:iCs/>
          <w:sz w:val="22"/>
          <w:szCs w:val="22"/>
          <w:lang w:val="es-CO"/>
        </w:rPr>
        <w:t xml:space="preserve">procesal, no tiene una utilización </w:t>
      </w:r>
      <w:r w:rsidR="002E6C8A" w:rsidRPr="429B229C">
        <w:rPr>
          <w:rFonts w:ascii="Bookman Old Style" w:hAnsi="Bookman Old Style"/>
          <w:i/>
          <w:iCs/>
          <w:sz w:val="22"/>
          <w:szCs w:val="22"/>
          <w:lang w:val="es-CO"/>
        </w:rPr>
        <w:t>uniforme</w:t>
      </w:r>
      <w:r w:rsidR="1746F844" w:rsidRPr="5DB1F9A7">
        <w:rPr>
          <w:rFonts w:ascii="Bookman Old Style" w:hAnsi="Bookman Old Style"/>
          <w:i/>
          <w:iCs/>
          <w:sz w:val="22"/>
          <w:szCs w:val="22"/>
          <w:lang w:val="es-CO"/>
        </w:rPr>
        <w:t xml:space="preserve"> en todos los procesos judiciales, y si bien </w:t>
      </w:r>
      <w:r w:rsidR="1746F844" w:rsidRPr="5E3BF2A1">
        <w:rPr>
          <w:rFonts w:ascii="Bookman Old Style" w:hAnsi="Bookman Old Style"/>
          <w:i/>
          <w:iCs/>
          <w:sz w:val="22"/>
          <w:szCs w:val="22"/>
          <w:lang w:val="es-CO"/>
        </w:rPr>
        <w:t xml:space="preserve">puede ser aplicable en </w:t>
      </w:r>
      <w:r w:rsidR="1746F844" w:rsidRPr="37023420">
        <w:rPr>
          <w:rFonts w:ascii="Bookman Old Style" w:hAnsi="Bookman Old Style"/>
          <w:i/>
          <w:iCs/>
          <w:sz w:val="22"/>
          <w:szCs w:val="22"/>
          <w:lang w:val="es-CO"/>
        </w:rPr>
        <w:t xml:space="preserve">algunos procedimientos administrativos, </w:t>
      </w:r>
      <w:r w:rsidR="1746F844" w:rsidRPr="7F1A0069">
        <w:rPr>
          <w:rFonts w:ascii="Bookman Old Style" w:hAnsi="Bookman Old Style"/>
          <w:i/>
          <w:iCs/>
          <w:sz w:val="22"/>
          <w:szCs w:val="22"/>
          <w:lang w:val="es-CO"/>
        </w:rPr>
        <w:t xml:space="preserve">su ámbito </w:t>
      </w:r>
      <w:r w:rsidR="1746F844" w:rsidRPr="3816181C">
        <w:rPr>
          <w:rFonts w:ascii="Bookman Old Style" w:hAnsi="Bookman Old Style"/>
          <w:i/>
          <w:iCs/>
          <w:sz w:val="22"/>
          <w:szCs w:val="22"/>
          <w:lang w:val="es-CO"/>
        </w:rPr>
        <w:t xml:space="preserve">depende </w:t>
      </w:r>
      <w:r w:rsidR="1746F844" w:rsidRPr="7F1A0069">
        <w:rPr>
          <w:rFonts w:ascii="Bookman Old Style" w:hAnsi="Bookman Old Style"/>
          <w:i/>
          <w:iCs/>
          <w:sz w:val="22"/>
          <w:szCs w:val="22"/>
          <w:lang w:val="es-CO"/>
        </w:rPr>
        <w:t>de</w:t>
      </w:r>
      <w:r w:rsidR="1746F844" w:rsidRPr="5F24905C">
        <w:rPr>
          <w:rFonts w:ascii="Bookman Old Style" w:hAnsi="Bookman Old Style"/>
          <w:i/>
          <w:iCs/>
          <w:sz w:val="22"/>
          <w:szCs w:val="22"/>
          <w:lang w:val="es-CO"/>
        </w:rPr>
        <w:t xml:space="preserve"> </w:t>
      </w:r>
      <w:r w:rsidR="1746F844" w:rsidRPr="3816181C">
        <w:rPr>
          <w:rFonts w:ascii="Bookman Old Style" w:hAnsi="Bookman Old Style"/>
          <w:i/>
          <w:iCs/>
          <w:sz w:val="22"/>
          <w:szCs w:val="22"/>
          <w:lang w:val="es-CO"/>
        </w:rPr>
        <w:t xml:space="preserve">la estirpe </w:t>
      </w:r>
      <w:r w:rsidR="1746F844" w:rsidRPr="3259FF3F">
        <w:rPr>
          <w:rFonts w:ascii="Bookman Old Style" w:hAnsi="Bookman Old Style"/>
          <w:i/>
          <w:iCs/>
          <w:sz w:val="22"/>
          <w:szCs w:val="22"/>
          <w:lang w:val="es-CO"/>
        </w:rPr>
        <w:t>disciplinaria-sancionatoria que</w:t>
      </w:r>
      <w:r w:rsidR="1746F844" w:rsidRPr="3816181C">
        <w:rPr>
          <w:rFonts w:ascii="Bookman Old Style" w:hAnsi="Bookman Old Style"/>
          <w:i/>
          <w:iCs/>
          <w:sz w:val="22"/>
          <w:szCs w:val="22"/>
          <w:lang w:val="es-CO"/>
        </w:rPr>
        <w:t xml:space="preserve"> </w:t>
      </w:r>
      <w:r w:rsidR="1746F844" w:rsidRPr="3DE68B80">
        <w:rPr>
          <w:rFonts w:ascii="Bookman Old Style" w:hAnsi="Bookman Old Style"/>
          <w:i/>
          <w:iCs/>
          <w:sz w:val="22"/>
          <w:szCs w:val="22"/>
          <w:lang w:val="es-CO"/>
        </w:rPr>
        <w:t xml:space="preserve">algunos de ellos contengan, y que la </w:t>
      </w:r>
      <w:r w:rsidR="1746F844" w:rsidRPr="4014B2B6">
        <w:rPr>
          <w:rFonts w:ascii="Bookman Old Style" w:hAnsi="Bookman Old Style"/>
          <w:i/>
          <w:iCs/>
          <w:sz w:val="22"/>
          <w:szCs w:val="22"/>
          <w:lang w:val="es-CO"/>
        </w:rPr>
        <w:t xml:space="preserve">norma aplicable </w:t>
      </w:r>
      <w:r w:rsidR="51AB39B0" w:rsidRPr="4014B2B6">
        <w:rPr>
          <w:rFonts w:ascii="Bookman Old Style" w:hAnsi="Bookman Old Style"/>
          <w:i/>
          <w:iCs/>
          <w:sz w:val="22"/>
          <w:szCs w:val="22"/>
          <w:lang w:val="es-CO"/>
        </w:rPr>
        <w:t xml:space="preserve">lo permita, no </w:t>
      </w:r>
      <w:r w:rsidR="51AB39B0" w:rsidRPr="603979F7">
        <w:rPr>
          <w:rFonts w:ascii="Bookman Old Style" w:hAnsi="Bookman Old Style"/>
          <w:i/>
          <w:iCs/>
          <w:sz w:val="22"/>
          <w:szCs w:val="22"/>
          <w:lang w:val="es-CO"/>
        </w:rPr>
        <w:t>cobijando dicho postulado</w:t>
      </w:r>
      <w:r w:rsidR="51AB39B0" w:rsidRPr="2E1ED727">
        <w:rPr>
          <w:rFonts w:ascii="Bookman Old Style" w:hAnsi="Bookman Old Style"/>
          <w:i/>
          <w:iCs/>
          <w:sz w:val="22"/>
          <w:szCs w:val="22"/>
          <w:lang w:val="es-CO"/>
        </w:rPr>
        <w:t>...</w:t>
      </w:r>
      <w:r w:rsidR="060B2DC8" w:rsidRPr="2E1ED727">
        <w:rPr>
          <w:rFonts w:ascii="Bookman Old Style" w:hAnsi="Bookman Old Style"/>
          <w:i/>
          <w:iCs/>
          <w:sz w:val="22"/>
          <w:szCs w:val="22"/>
          <w:lang w:val="es-CO"/>
        </w:rPr>
        <w:t>”</w:t>
      </w:r>
    </w:p>
    <w:p w14:paraId="47A525DA" w14:textId="1EA76A92" w:rsidR="0074435C" w:rsidRPr="00C03235" w:rsidRDefault="0074435C" w:rsidP="00A94591">
      <w:pPr>
        <w:pStyle w:val="Textodebloque"/>
        <w:spacing w:line="259" w:lineRule="auto"/>
        <w:ind w:left="567" w:right="6"/>
        <w:contextualSpacing/>
        <w:rPr>
          <w:rFonts w:ascii="Bookman Old Style" w:hAnsi="Bookman Old Style"/>
          <w:i/>
          <w:iCs/>
          <w:sz w:val="22"/>
          <w:szCs w:val="22"/>
          <w:lang w:val="es-CO"/>
        </w:rPr>
      </w:pPr>
    </w:p>
    <w:p w14:paraId="19030DB1" w14:textId="61608D5E" w:rsidR="0074435C" w:rsidRPr="00C03235" w:rsidRDefault="0DBB82BD" w:rsidP="00A94591">
      <w:pPr>
        <w:pStyle w:val="Textodebloque"/>
        <w:spacing w:line="259" w:lineRule="auto"/>
        <w:ind w:left="567" w:right="6"/>
        <w:contextualSpacing/>
        <w:rPr>
          <w:rFonts w:ascii="Bookman Old Style" w:hAnsi="Bookman Old Style"/>
          <w:sz w:val="22"/>
          <w:szCs w:val="22"/>
          <w:lang w:val="es-CO"/>
        </w:rPr>
      </w:pPr>
      <w:r w:rsidRPr="0D90F79F">
        <w:rPr>
          <w:rFonts w:ascii="Bookman Old Style" w:hAnsi="Bookman Old Style"/>
          <w:sz w:val="22"/>
          <w:szCs w:val="22"/>
          <w:lang w:val="es-CO"/>
        </w:rPr>
        <w:t>(...)</w:t>
      </w:r>
    </w:p>
    <w:p w14:paraId="2A797A38" w14:textId="5A73B536" w:rsidR="0074435C" w:rsidRPr="00C03235" w:rsidRDefault="0074435C" w:rsidP="00A94591">
      <w:pPr>
        <w:pStyle w:val="Textodebloque"/>
        <w:spacing w:line="259" w:lineRule="auto"/>
        <w:ind w:left="567" w:right="6"/>
        <w:contextualSpacing/>
        <w:rPr>
          <w:rFonts w:ascii="Bookman Old Style" w:hAnsi="Bookman Old Style"/>
          <w:sz w:val="22"/>
          <w:szCs w:val="22"/>
          <w:lang w:val="es-CO"/>
        </w:rPr>
      </w:pPr>
    </w:p>
    <w:p w14:paraId="6152BE97" w14:textId="069F318F" w:rsidR="0074435C" w:rsidRPr="00C03235" w:rsidRDefault="0DBB82BD" w:rsidP="00A94591">
      <w:pPr>
        <w:pStyle w:val="Textodebloque"/>
        <w:spacing w:line="259" w:lineRule="auto"/>
        <w:ind w:left="567" w:right="6"/>
        <w:contextualSpacing/>
        <w:rPr>
          <w:rFonts w:ascii="Bookman Old Style" w:hAnsi="Bookman Old Style"/>
          <w:sz w:val="22"/>
          <w:szCs w:val="22"/>
          <w:lang w:val="es-CO"/>
        </w:rPr>
      </w:pPr>
      <w:r w:rsidRPr="1CA42C6E">
        <w:rPr>
          <w:rFonts w:ascii="Bookman Old Style" w:hAnsi="Bookman Old Style"/>
          <w:i/>
          <w:iCs/>
          <w:sz w:val="22"/>
          <w:szCs w:val="22"/>
          <w:lang w:val="es-CO"/>
        </w:rPr>
        <w:t xml:space="preserve">Por lo demás, en el caso sub examine, no se evidencia el aspecto sancionatorio requerido para la aplicación del principio en estudio, ya que las Resoluciones </w:t>
      </w:r>
      <w:r w:rsidRPr="47F180E8">
        <w:rPr>
          <w:rFonts w:ascii="Bookman Old Style" w:hAnsi="Bookman Old Style"/>
          <w:i/>
          <w:iCs/>
          <w:sz w:val="22"/>
          <w:szCs w:val="22"/>
          <w:lang w:val="es-CO"/>
        </w:rPr>
        <w:t>demandadas no tienen carácter sancionatorio</w:t>
      </w:r>
      <w:r w:rsidRPr="4B929FB2">
        <w:rPr>
          <w:rFonts w:ascii="Bookman Old Style" w:hAnsi="Bookman Old Style"/>
          <w:i/>
          <w:iCs/>
          <w:sz w:val="22"/>
          <w:szCs w:val="22"/>
          <w:lang w:val="es-CO"/>
        </w:rPr>
        <w:t xml:space="preserve"> alguno, </w:t>
      </w:r>
      <w:r w:rsidRPr="47DAB759">
        <w:rPr>
          <w:rFonts w:ascii="Bookman Old Style" w:hAnsi="Bookman Old Style"/>
          <w:i/>
          <w:iCs/>
          <w:sz w:val="22"/>
          <w:szCs w:val="22"/>
          <w:lang w:val="es-CO"/>
        </w:rPr>
        <w:t>sino que a través</w:t>
      </w:r>
      <w:r w:rsidRPr="01FE1FCD">
        <w:rPr>
          <w:rFonts w:ascii="Bookman Old Style" w:hAnsi="Bookman Old Style"/>
          <w:i/>
          <w:iCs/>
          <w:sz w:val="22"/>
          <w:szCs w:val="22"/>
          <w:lang w:val="es-CO"/>
        </w:rPr>
        <w:t xml:space="preserve"> de las mismas se es</w:t>
      </w:r>
      <w:r w:rsidR="3DF64327" w:rsidRPr="01FE1FCD">
        <w:rPr>
          <w:rFonts w:ascii="Bookman Old Style" w:hAnsi="Bookman Old Style"/>
          <w:i/>
          <w:iCs/>
          <w:sz w:val="22"/>
          <w:szCs w:val="22"/>
          <w:lang w:val="es-CO"/>
        </w:rPr>
        <w:t>tablecieron los cargos</w:t>
      </w:r>
      <w:r w:rsidR="3DF64327" w:rsidRPr="154875CE">
        <w:rPr>
          <w:rFonts w:ascii="Bookman Old Style" w:hAnsi="Bookman Old Style"/>
          <w:i/>
          <w:iCs/>
          <w:sz w:val="22"/>
          <w:szCs w:val="22"/>
          <w:lang w:val="es-CO"/>
        </w:rPr>
        <w:t xml:space="preserve"> regulados para remunerar el sistema de transporte </w:t>
      </w:r>
      <w:r w:rsidR="3DF64327" w:rsidRPr="0A28DD3D">
        <w:rPr>
          <w:rFonts w:ascii="Bookman Old Style" w:hAnsi="Bookman Old Style"/>
          <w:i/>
          <w:iCs/>
          <w:sz w:val="22"/>
          <w:szCs w:val="22"/>
          <w:lang w:val="es-CO"/>
        </w:rPr>
        <w:t xml:space="preserve">de la actora, lo que descarta la </w:t>
      </w:r>
      <w:r w:rsidR="3DF64327" w:rsidRPr="27ADAD42">
        <w:rPr>
          <w:rFonts w:ascii="Bookman Old Style" w:hAnsi="Bookman Old Style"/>
          <w:i/>
          <w:iCs/>
          <w:sz w:val="22"/>
          <w:szCs w:val="22"/>
          <w:lang w:val="es-CO"/>
        </w:rPr>
        <w:t>violación</w:t>
      </w:r>
      <w:r w:rsidR="3DF64327" w:rsidRPr="3462DBFC">
        <w:rPr>
          <w:rFonts w:ascii="Bookman Old Style" w:hAnsi="Bookman Old Style"/>
          <w:i/>
          <w:iCs/>
          <w:sz w:val="22"/>
          <w:szCs w:val="22"/>
          <w:lang w:val="es-CO"/>
        </w:rPr>
        <w:t xml:space="preserve"> de </w:t>
      </w:r>
      <w:r w:rsidR="3DF64327" w:rsidRPr="785AC27E">
        <w:rPr>
          <w:rFonts w:ascii="Bookman Old Style" w:hAnsi="Bookman Old Style"/>
          <w:i/>
          <w:iCs/>
          <w:sz w:val="22"/>
          <w:szCs w:val="22"/>
          <w:lang w:val="es-CO"/>
        </w:rPr>
        <w:t>aquél</w:t>
      </w:r>
      <w:r w:rsidR="3DF64327" w:rsidRPr="7BB8B405">
        <w:rPr>
          <w:rFonts w:ascii="Bookman Old Style" w:hAnsi="Bookman Old Style"/>
          <w:i/>
          <w:iCs/>
          <w:sz w:val="22"/>
          <w:szCs w:val="22"/>
          <w:lang w:val="es-CO"/>
        </w:rPr>
        <w:t xml:space="preserve"> y del principio de </w:t>
      </w:r>
      <w:r w:rsidR="3DF64327" w:rsidRPr="11065099">
        <w:rPr>
          <w:rFonts w:ascii="Bookman Old Style" w:hAnsi="Bookman Old Style"/>
          <w:i/>
          <w:iCs/>
          <w:sz w:val="22"/>
          <w:szCs w:val="22"/>
          <w:lang w:val="es-CO"/>
        </w:rPr>
        <w:t>congruencia.”</w:t>
      </w:r>
      <w:r w:rsidR="3E2C350B" w:rsidRPr="4014B2B6">
        <w:rPr>
          <w:rFonts w:ascii="Bookman Old Style" w:hAnsi="Bookman Old Style"/>
          <w:i/>
          <w:iCs/>
          <w:sz w:val="22"/>
          <w:szCs w:val="22"/>
          <w:lang w:val="es-CO"/>
        </w:rPr>
        <w:t xml:space="preserve"> </w:t>
      </w:r>
      <w:r w:rsidR="3E2C350B" w:rsidRPr="38A671A7">
        <w:rPr>
          <w:rFonts w:ascii="Bookman Old Style" w:hAnsi="Bookman Old Style"/>
          <w:sz w:val="22"/>
          <w:szCs w:val="22"/>
          <w:lang w:val="es-CO"/>
        </w:rPr>
        <w:t xml:space="preserve">(Énfasis </w:t>
      </w:r>
      <w:r w:rsidR="3E2C350B" w:rsidRPr="4014B2B6">
        <w:rPr>
          <w:rFonts w:ascii="Bookman Old Style" w:hAnsi="Bookman Old Style"/>
          <w:sz w:val="22"/>
          <w:szCs w:val="22"/>
          <w:lang w:val="es-CO"/>
        </w:rPr>
        <w:t>agregado).</w:t>
      </w:r>
    </w:p>
    <w:p w14:paraId="7067190C" w14:textId="1BDD010D" w:rsidR="0074435C" w:rsidRPr="00C03235" w:rsidRDefault="0074435C" w:rsidP="672BB85E">
      <w:pPr>
        <w:pStyle w:val="Textodebloque"/>
        <w:ind w:right="6"/>
        <w:contextualSpacing/>
        <w:rPr>
          <w:rFonts w:ascii="Bookman Old Style" w:hAnsi="Bookman Old Style"/>
          <w:lang w:val="es-CO"/>
        </w:rPr>
      </w:pPr>
    </w:p>
    <w:p w14:paraId="4F2E3EF0" w14:textId="61B3EC06" w:rsidR="0074435C" w:rsidRPr="00C03235" w:rsidRDefault="6BBC7C69" w:rsidP="1FC4A228">
      <w:pPr>
        <w:pStyle w:val="Textodebloque"/>
        <w:ind w:right="6"/>
        <w:contextualSpacing/>
        <w:rPr>
          <w:rFonts w:ascii="Bookman Old Style" w:hAnsi="Bookman Old Style"/>
          <w:lang w:val="es-CO"/>
        </w:rPr>
      </w:pPr>
      <w:r w:rsidRPr="1FC4A228">
        <w:rPr>
          <w:rFonts w:ascii="Bookman Old Style" w:hAnsi="Bookman Old Style"/>
          <w:lang w:val="es-CO"/>
        </w:rPr>
        <w:t>Nótese que, el Consejo de Estad</w:t>
      </w:r>
      <w:r w:rsidR="1FC4A228" w:rsidRPr="1FC4A228">
        <w:rPr>
          <w:rFonts w:ascii="Bookman Old Style" w:hAnsi="Bookman Old Style"/>
          <w:lang w:val="es-CO"/>
        </w:rPr>
        <w:t>o</w:t>
      </w:r>
      <w:r w:rsidR="3B8A479A" w:rsidRPr="1FC4A228">
        <w:rPr>
          <w:rFonts w:ascii="Bookman Old Style" w:hAnsi="Bookman Old Style"/>
          <w:lang w:val="es-CO"/>
        </w:rPr>
        <w:t xml:space="preserve"> ha sido claro en delimitar el alcance del principio del non reformatio in pejus a las actuaciones administrativas de carácter </w:t>
      </w:r>
      <w:r w:rsidR="3B8A479A" w:rsidRPr="369260A7">
        <w:rPr>
          <w:rFonts w:ascii="Bookman Old Style" w:hAnsi="Bookman Old Style"/>
          <w:b/>
          <w:lang w:val="es-CO"/>
        </w:rPr>
        <w:t>disciplinario sancionatorio</w:t>
      </w:r>
      <w:r w:rsidR="3B8A479A" w:rsidRPr="1FC4A228">
        <w:rPr>
          <w:rFonts w:ascii="Bookman Old Style" w:hAnsi="Bookman Old Style"/>
          <w:lang w:val="es-CO"/>
        </w:rPr>
        <w:t xml:space="preserve">, </w:t>
      </w:r>
      <w:r w:rsidR="3B8A479A" w:rsidRPr="6BBC354C">
        <w:rPr>
          <w:rFonts w:ascii="Bookman Old Style" w:hAnsi="Bookman Old Style"/>
          <w:lang w:val="es-CO"/>
        </w:rPr>
        <w:t>es decir, aquell</w:t>
      </w:r>
      <w:r w:rsidR="0059000A">
        <w:rPr>
          <w:rFonts w:ascii="Bookman Old Style" w:hAnsi="Bookman Old Style"/>
          <w:lang w:val="es-CO"/>
        </w:rPr>
        <w:t>a</w:t>
      </w:r>
      <w:r w:rsidR="3B8A479A" w:rsidRPr="6BBC354C">
        <w:rPr>
          <w:rFonts w:ascii="Bookman Old Style" w:hAnsi="Bookman Old Style"/>
          <w:lang w:val="es-CO"/>
        </w:rPr>
        <w:t xml:space="preserve">s cuya finalidad es imponer una sanción o una multa </w:t>
      </w:r>
      <w:r w:rsidR="3E55A824" w:rsidRPr="12465962">
        <w:rPr>
          <w:rFonts w:ascii="Bookman Old Style" w:hAnsi="Bookman Old Style"/>
          <w:lang w:val="es-CO"/>
        </w:rPr>
        <w:t>con ocasión</w:t>
      </w:r>
      <w:r w:rsidR="3B8A479A" w:rsidRPr="12465962">
        <w:rPr>
          <w:rFonts w:ascii="Bookman Old Style" w:hAnsi="Bookman Old Style"/>
          <w:lang w:val="es-CO"/>
        </w:rPr>
        <w:t xml:space="preserve"> </w:t>
      </w:r>
      <w:r w:rsidR="067ECF79" w:rsidRPr="12465962">
        <w:rPr>
          <w:rFonts w:ascii="Bookman Old Style" w:hAnsi="Bookman Old Style"/>
          <w:lang w:val="es-CO"/>
        </w:rPr>
        <w:t>de conductas contrarias al régimen</w:t>
      </w:r>
      <w:r w:rsidR="3B8A479A" w:rsidRPr="6C749896">
        <w:rPr>
          <w:rFonts w:ascii="Bookman Old Style" w:hAnsi="Bookman Old Style"/>
          <w:lang w:val="es-CO"/>
        </w:rPr>
        <w:t xml:space="preserve"> </w:t>
      </w:r>
      <w:r w:rsidR="067ECF79" w:rsidRPr="020F6C6E">
        <w:rPr>
          <w:rFonts w:ascii="Bookman Old Style" w:hAnsi="Bookman Old Style"/>
          <w:lang w:val="es-CO"/>
        </w:rPr>
        <w:t>legal aplicable</w:t>
      </w:r>
      <w:r w:rsidR="3B8A479A" w:rsidRPr="020F6C6E">
        <w:rPr>
          <w:rFonts w:ascii="Bookman Old Style" w:hAnsi="Bookman Old Style"/>
          <w:lang w:val="es-CO"/>
        </w:rPr>
        <w:t xml:space="preserve">, </w:t>
      </w:r>
      <w:r w:rsidR="1177BFE7" w:rsidRPr="020F6C6E">
        <w:rPr>
          <w:rFonts w:ascii="Bookman Old Style" w:hAnsi="Bookman Old Style"/>
          <w:lang w:val="es-CO"/>
        </w:rPr>
        <w:t>característica</w:t>
      </w:r>
      <w:r w:rsidR="3B8A479A" w:rsidRPr="6BBC354C">
        <w:rPr>
          <w:rFonts w:ascii="Bookman Old Style" w:hAnsi="Bookman Old Style"/>
          <w:lang w:val="es-CO"/>
        </w:rPr>
        <w:t xml:space="preserve"> q</w:t>
      </w:r>
      <w:r w:rsidR="07D6F7A8" w:rsidRPr="6BBC354C">
        <w:rPr>
          <w:rFonts w:ascii="Bookman Old Style" w:hAnsi="Bookman Old Style"/>
          <w:lang w:val="es-CO"/>
        </w:rPr>
        <w:t>ue difiere de las actuaciones administrativas adelantadas por esta Comisión</w:t>
      </w:r>
      <w:r w:rsidR="238046E2" w:rsidRPr="6BBC354C">
        <w:rPr>
          <w:rFonts w:ascii="Bookman Old Style" w:hAnsi="Bookman Old Style"/>
          <w:lang w:val="es-CO"/>
        </w:rPr>
        <w:t xml:space="preserve"> </w:t>
      </w:r>
      <w:r w:rsidR="07D6F7A8" w:rsidRPr="6BBC354C">
        <w:rPr>
          <w:rFonts w:ascii="Bookman Old Style" w:hAnsi="Bookman Old Style"/>
          <w:lang w:val="es-CO"/>
        </w:rPr>
        <w:t>para la definición de cargos tarifarios.</w:t>
      </w:r>
    </w:p>
    <w:p w14:paraId="33B3D07C" w14:textId="78CA5612" w:rsidR="0074435C" w:rsidRPr="00C03235" w:rsidRDefault="0074435C" w:rsidP="1FC4A228">
      <w:pPr>
        <w:pStyle w:val="Textodebloque"/>
        <w:ind w:right="6"/>
        <w:contextualSpacing/>
        <w:rPr>
          <w:rFonts w:ascii="Bookman Old Style" w:hAnsi="Bookman Old Style"/>
          <w:lang w:val="es-CO"/>
        </w:rPr>
      </w:pPr>
    </w:p>
    <w:p w14:paraId="7DEB6C9D" w14:textId="54F7880C" w:rsidR="0074435C" w:rsidRPr="00C03235" w:rsidRDefault="5795F74E" w:rsidP="672BB85E">
      <w:pPr>
        <w:pStyle w:val="Textodebloque"/>
        <w:ind w:right="6"/>
        <w:contextualSpacing/>
        <w:rPr>
          <w:rFonts w:ascii="Bookman Old Style" w:hAnsi="Bookman Old Style"/>
          <w:lang w:val="es-CO"/>
        </w:rPr>
      </w:pPr>
      <w:r w:rsidRPr="6BBC354C">
        <w:rPr>
          <w:rFonts w:ascii="Bookman Old Style" w:hAnsi="Bookman Old Style"/>
          <w:lang w:val="es-CO"/>
        </w:rPr>
        <w:t>De igual manera, cabe destacar</w:t>
      </w:r>
      <w:r w:rsidR="610BA32C" w:rsidRPr="672BB85E">
        <w:rPr>
          <w:rFonts w:ascii="Bookman Old Style" w:hAnsi="Bookman Old Style"/>
          <w:lang w:val="es-CO"/>
        </w:rPr>
        <w:t xml:space="preserve"> que </w:t>
      </w:r>
      <w:r w:rsidRPr="6BBC354C">
        <w:rPr>
          <w:rFonts w:ascii="Bookman Old Style" w:hAnsi="Bookman Old Style"/>
          <w:lang w:val="es-CO"/>
        </w:rPr>
        <w:t>es precisamente la</w:t>
      </w:r>
      <w:r w:rsidR="00923C9E">
        <w:rPr>
          <w:rFonts w:ascii="Bookman Old Style" w:hAnsi="Bookman Old Style"/>
          <w:lang w:val="es-CO"/>
        </w:rPr>
        <w:t xml:space="preserve"> presente</w:t>
      </w:r>
      <w:r w:rsidRPr="6BBC354C">
        <w:rPr>
          <w:rFonts w:ascii="Bookman Old Style" w:hAnsi="Bookman Old Style"/>
          <w:lang w:val="es-CO"/>
        </w:rPr>
        <w:t xml:space="preserve"> instancia</w:t>
      </w:r>
      <w:r w:rsidR="00923C9E">
        <w:rPr>
          <w:rFonts w:ascii="Bookman Old Style" w:hAnsi="Bookman Old Style"/>
          <w:lang w:val="es-CO"/>
        </w:rPr>
        <w:t>,</w:t>
      </w:r>
      <w:r w:rsidR="610BA32C" w:rsidRPr="672BB85E">
        <w:rPr>
          <w:rFonts w:ascii="Bookman Old Style" w:hAnsi="Bookman Old Style"/>
          <w:lang w:val="es-CO"/>
        </w:rPr>
        <w:t xml:space="preserve"> </w:t>
      </w:r>
      <w:r w:rsidRPr="6BBC354C">
        <w:rPr>
          <w:rFonts w:ascii="Bookman Old Style" w:hAnsi="Bookman Old Style"/>
          <w:lang w:val="es-CO"/>
        </w:rPr>
        <w:t xml:space="preserve">aquella en la cual </w:t>
      </w:r>
      <w:r w:rsidR="00706872">
        <w:rPr>
          <w:rFonts w:ascii="Bookman Old Style" w:hAnsi="Bookman Old Style"/>
          <w:lang w:val="es-CO"/>
        </w:rPr>
        <w:t>la</w:t>
      </w:r>
      <w:r w:rsidR="00706872" w:rsidRPr="672BB85E">
        <w:rPr>
          <w:rFonts w:ascii="Bookman Old Style" w:hAnsi="Bookman Old Style"/>
          <w:lang w:val="es-CO"/>
        </w:rPr>
        <w:t xml:space="preserve"> </w:t>
      </w:r>
      <w:r w:rsidR="610BA32C" w:rsidRPr="672BB85E">
        <w:rPr>
          <w:rFonts w:ascii="Bookman Old Style" w:hAnsi="Bookman Old Style"/>
          <w:lang w:val="es-CO"/>
        </w:rPr>
        <w:t>Comisión en cumplimiento de sus facultades legales</w:t>
      </w:r>
      <w:r w:rsidR="55A909D0" w:rsidRPr="672BB85E">
        <w:rPr>
          <w:rFonts w:ascii="Bookman Old Style" w:hAnsi="Bookman Old Style"/>
          <w:lang w:val="es-CO"/>
        </w:rPr>
        <w:t xml:space="preserve">, </w:t>
      </w:r>
      <w:r w:rsidR="00FB1190">
        <w:rPr>
          <w:rFonts w:ascii="Bookman Old Style" w:hAnsi="Bookman Old Style"/>
          <w:lang w:val="es-CO"/>
        </w:rPr>
        <w:t xml:space="preserve">procede a </w:t>
      </w:r>
      <w:r w:rsidR="00923C9E">
        <w:rPr>
          <w:rFonts w:ascii="Bookman Old Style" w:hAnsi="Bookman Old Style"/>
          <w:lang w:val="es-CO"/>
        </w:rPr>
        <w:t>realizar</w:t>
      </w:r>
      <w:r w:rsidR="00923C9E" w:rsidRPr="672BB85E">
        <w:rPr>
          <w:rFonts w:ascii="Bookman Old Style" w:hAnsi="Bookman Old Style"/>
          <w:lang w:val="es-CO"/>
        </w:rPr>
        <w:t xml:space="preserve"> </w:t>
      </w:r>
      <w:r w:rsidR="55A909D0" w:rsidRPr="672BB85E">
        <w:rPr>
          <w:rFonts w:ascii="Bookman Old Style" w:hAnsi="Bookman Old Style"/>
          <w:lang w:val="es-CO"/>
        </w:rPr>
        <w:t xml:space="preserve">la revisión y </w:t>
      </w:r>
      <w:r w:rsidR="007603D6">
        <w:rPr>
          <w:rFonts w:ascii="Bookman Old Style" w:hAnsi="Bookman Old Style"/>
          <w:lang w:val="es-CO"/>
        </w:rPr>
        <w:t xml:space="preserve">los eventuales </w:t>
      </w:r>
      <w:r w:rsidR="55A909D0" w:rsidRPr="672BB85E">
        <w:rPr>
          <w:rFonts w:ascii="Bookman Old Style" w:hAnsi="Bookman Old Style"/>
          <w:lang w:val="es-CO"/>
        </w:rPr>
        <w:t xml:space="preserve">ajustes a que haya lugar, no solo </w:t>
      </w:r>
      <w:r w:rsidR="00923C9E">
        <w:rPr>
          <w:rFonts w:ascii="Bookman Old Style" w:hAnsi="Bookman Old Style"/>
          <w:lang w:val="es-CO"/>
        </w:rPr>
        <w:t xml:space="preserve">respecto a </w:t>
      </w:r>
      <w:r w:rsidR="55A909D0" w:rsidRPr="672BB85E">
        <w:rPr>
          <w:rFonts w:ascii="Bookman Old Style" w:hAnsi="Bookman Old Style"/>
          <w:lang w:val="es-CO"/>
        </w:rPr>
        <w:t xml:space="preserve">lo </w:t>
      </w:r>
      <w:r w:rsidR="55A909D0" w:rsidRPr="672BB85E">
        <w:rPr>
          <w:rFonts w:ascii="Bookman Old Style" w:hAnsi="Bookman Old Style"/>
          <w:lang w:val="es-CO"/>
        </w:rPr>
        <w:lastRenderedPageBreak/>
        <w:t>solicitado por el recurrente, sino también haciendo una validación del cumplimiento de los criterios y principios tarifarios, la prevalencia del interés general y la cláusula del Estado Social de Derecho, con la finalidad de que las decisiones no causen un detrimento injustificado a los intereses de las empresas ni de los usuarios.</w:t>
      </w:r>
    </w:p>
    <w:p w14:paraId="74B99BED" w14:textId="62BAB3BC" w:rsidR="0074435C" w:rsidRPr="00C03235" w:rsidRDefault="0074435C" w:rsidP="672BB85E">
      <w:pPr>
        <w:pStyle w:val="Textodebloque"/>
        <w:ind w:right="6"/>
        <w:contextualSpacing/>
        <w:rPr>
          <w:rFonts w:ascii="Bookman Old Style" w:hAnsi="Bookman Old Style"/>
          <w:lang w:val="es-CO"/>
        </w:rPr>
      </w:pPr>
    </w:p>
    <w:p w14:paraId="029C8D3E" w14:textId="57E75FDD" w:rsidR="0074435C" w:rsidRPr="00C03235" w:rsidRDefault="2C691830" w:rsidP="672BB85E">
      <w:pPr>
        <w:pStyle w:val="Textodebloque"/>
        <w:spacing w:line="259" w:lineRule="auto"/>
        <w:ind w:right="6"/>
        <w:contextualSpacing/>
        <w:rPr>
          <w:rFonts w:ascii="Bookman Old Style" w:hAnsi="Bookman Old Style"/>
          <w:lang w:val="es-CO"/>
        </w:rPr>
      </w:pPr>
      <w:r w:rsidRPr="6BBC354C">
        <w:rPr>
          <w:rFonts w:ascii="Bookman Old Style" w:hAnsi="Bookman Old Style"/>
          <w:lang w:val="es-CO"/>
        </w:rPr>
        <w:t>No</w:t>
      </w:r>
      <w:r w:rsidR="48732EF0" w:rsidRPr="672BB85E">
        <w:rPr>
          <w:rFonts w:ascii="Bookman Old Style" w:hAnsi="Bookman Old Style"/>
          <w:lang w:val="es-CO"/>
        </w:rPr>
        <w:t xml:space="preserve"> debe</w:t>
      </w:r>
      <w:r w:rsidR="52CFC3BD" w:rsidRPr="672BB85E">
        <w:rPr>
          <w:rFonts w:ascii="Bookman Old Style" w:hAnsi="Bookman Old Style"/>
          <w:lang w:val="es-CO"/>
        </w:rPr>
        <w:t xml:space="preserve"> </w:t>
      </w:r>
      <w:r w:rsidRPr="6BBC354C">
        <w:rPr>
          <w:rFonts w:ascii="Bookman Old Style" w:hAnsi="Bookman Old Style"/>
          <w:lang w:val="es-CO"/>
        </w:rPr>
        <w:t>perderse</w:t>
      </w:r>
      <w:r w:rsidR="52CFC3BD" w:rsidRPr="672BB85E">
        <w:rPr>
          <w:rFonts w:ascii="Bookman Old Style" w:hAnsi="Bookman Old Style"/>
          <w:lang w:val="es-CO"/>
        </w:rPr>
        <w:t xml:space="preserve"> de </w:t>
      </w:r>
      <w:r w:rsidRPr="6BBC354C">
        <w:rPr>
          <w:rFonts w:ascii="Bookman Old Style" w:hAnsi="Bookman Old Style"/>
          <w:lang w:val="es-CO"/>
        </w:rPr>
        <w:t>vista</w:t>
      </w:r>
      <w:r w:rsidR="68C977E7" w:rsidRPr="672BB85E">
        <w:rPr>
          <w:rFonts w:ascii="Bookman Old Style" w:hAnsi="Bookman Old Style"/>
          <w:lang w:val="es-CO"/>
        </w:rPr>
        <w:t xml:space="preserve"> que</w:t>
      </w:r>
      <w:r w:rsidR="4DE867E6" w:rsidRPr="672BB85E">
        <w:rPr>
          <w:rFonts w:ascii="Bookman Old Style" w:hAnsi="Bookman Old Style"/>
          <w:lang w:val="es-CO"/>
        </w:rPr>
        <w:t xml:space="preserve">, </w:t>
      </w:r>
      <w:r w:rsidR="48732EF0" w:rsidRPr="50C981E1">
        <w:rPr>
          <w:rFonts w:ascii="Bookman Old Style" w:hAnsi="Bookman Old Style"/>
          <w:lang w:val="es-CO"/>
        </w:rPr>
        <w:t>la</w:t>
      </w:r>
      <w:r w:rsidR="48732EF0" w:rsidRPr="672BB85E">
        <w:rPr>
          <w:rFonts w:ascii="Bookman Old Style" w:hAnsi="Bookman Old Style"/>
          <w:lang w:val="es-CO"/>
        </w:rPr>
        <w:t xml:space="preserve"> Resoluci</w:t>
      </w:r>
      <w:r w:rsidR="301C5911" w:rsidRPr="672BB85E">
        <w:rPr>
          <w:rFonts w:ascii="Bookman Old Style" w:hAnsi="Bookman Old Style"/>
          <w:lang w:val="es-CO"/>
        </w:rPr>
        <w:t xml:space="preserve">ón CREG 501 004 de 2023, </w:t>
      </w:r>
      <w:r w:rsidR="00923C9E">
        <w:rPr>
          <w:rFonts w:ascii="Bookman Old Style" w:hAnsi="Bookman Old Style"/>
          <w:lang w:val="es-CO"/>
        </w:rPr>
        <w:t xml:space="preserve">al ser susceptible de recursos en vía administrativa, </w:t>
      </w:r>
      <w:r w:rsidR="00260ABB" w:rsidRPr="672BB85E">
        <w:rPr>
          <w:rFonts w:ascii="Bookman Old Style" w:hAnsi="Bookman Old Style"/>
          <w:lang w:val="es-CO"/>
        </w:rPr>
        <w:t xml:space="preserve">no se </w:t>
      </w:r>
      <w:r w:rsidR="00923C9E">
        <w:rPr>
          <w:rFonts w:ascii="Bookman Old Style" w:hAnsi="Bookman Old Style"/>
          <w:lang w:val="es-CO"/>
        </w:rPr>
        <w:t>encuentra</w:t>
      </w:r>
      <w:r w:rsidR="00260ABB" w:rsidRPr="672BB85E">
        <w:rPr>
          <w:rFonts w:ascii="Bookman Old Style" w:hAnsi="Bookman Old Style"/>
          <w:lang w:val="es-CO"/>
        </w:rPr>
        <w:t xml:space="preserve"> en firme</w:t>
      </w:r>
      <w:r w:rsidR="00923C9E">
        <w:rPr>
          <w:rFonts w:ascii="Bookman Old Style" w:hAnsi="Bookman Old Style"/>
          <w:lang w:val="es-CO"/>
        </w:rPr>
        <w:t xml:space="preserve"> hasta que los recursos </w:t>
      </w:r>
      <w:r w:rsidR="008A4BE1">
        <w:rPr>
          <w:rFonts w:ascii="Bookman Old Style" w:hAnsi="Bookman Old Style"/>
          <w:lang w:val="es-CO"/>
        </w:rPr>
        <w:t>interpuestos</w:t>
      </w:r>
      <w:r w:rsidR="00923C9E">
        <w:rPr>
          <w:rFonts w:ascii="Bookman Old Style" w:hAnsi="Bookman Old Style"/>
          <w:lang w:val="es-CO"/>
        </w:rPr>
        <w:t xml:space="preserve"> sean resueltos, y</w:t>
      </w:r>
      <w:r w:rsidR="625FC93C" w:rsidRPr="672BB85E">
        <w:rPr>
          <w:rFonts w:ascii="Bookman Old Style" w:hAnsi="Bookman Old Style"/>
          <w:lang w:val="es-CO"/>
        </w:rPr>
        <w:t xml:space="preserve"> por ende, no es dable </w:t>
      </w:r>
      <w:r w:rsidR="57CAFD4B" w:rsidRPr="672BB85E">
        <w:rPr>
          <w:rFonts w:ascii="Bookman Old Style" w:hAnsi="Bookman Old Style"/>
          <w:lang w:val="es-CO"/>
        </w:rPr>
        <w:t>predicar una situación jurídica consolidada</w:t>
      </w:r>
      <w:r w:rsidR="4577948E" w:rsidRPr="672BB85E">
        <w:rPr>
          <w:rFonts w:ascii="Bookman Old Style" w:hAnsi="Bookman Old Style"/>
          <w:lang w:val="es-CO"/>
        </w:rPr>
        <w:t xml:space="preserve"> </w:t>
      </w:r>
      <w:r w:rsidR="4061B18E" w:rsidRPr="0E2260E8">
        <w:rPr>
          <w:rFonts w:ascii="Bookman Old Style" w:hAnsi="Bookman Old Style"/>
          <w:lang w:val="es-CO"/>
        </w:rPr>
        <w:t xml:space="preserve">que impida a la </w:t>
      </w:r>
      <w:r w:rsidR="4061B18E" w:rsidRPr="703D857B">
        <w:rPr>
          <w:rFonts w:ascii="Bookman Old Style" w:hAnsi="Bookman Old Style"/>
          <w:lang w:val="es-CO"/>
        </w:rPr>
        <w:t>administración determinar las modi</w:t>
      </w:r>
      <w:r w:rsidR="4577948E" w:rsidRPr="703D857B">
        <w:rPr>
          <w:rFonts w:ascii="Bookman Old Style" w:hAnsi="Bookman Old Style"/>
          <w:lang w:val="es-CO"/>
        </w:rPr>
        <w:t>f</w:t>
      </w:r>
      <w:r w:rsidR="5949408D" w:rsidRPr="703D857B">
        <w:rPr>
          <w:rFonts w:ascii="Bookman Old Style" w:hAnsi="Bookman Old Style"/>
          <w:lang w:val="es-CO"/>
        </w:rPr>
        <w:t xml:space="preserve">icaciones a </w:t>
      </w:r>
      <w:r w:rsidR="5949408D" w:rsidRPr="3112E46A">
        <w:rPr>
          <w:rFonts w:ascii="Bookman Old Style" w:hAnsi="Bookman Old Style"/>
          <w:lang w:val="es-CO"/>
        </w:rPr>
        <w:t>que haya lugar</w:t>
      </w:r>
      <w:r w:rsidR="4577948E" w:rsidRPr="672BB85E">
        <w:rPr>
          <w:rFonts w:ascii="Bookman Old Style" w:hAnsi="Bookman Old Style"/>
          <w:lang w:val="es-CO"/>
        </w:rPr>
        <w:t>.</w:t>
      </w:r>
    </w:p>
    <w:p w14:paraId="54209F61" w14:textId="68E46A6C" w:rsidR="672BB85E" w:rsidRDefault="672BB85E" w:rsidP="672BB85E">
      <w:pPr>
        <w:pStyle w:val="Textodebloque"/>
        <w:spacing w:line="259" w:lineRule="auto"/>
        <w:ind w:right="6"/>
        <w:contextualSpacing/>
        <w:rPr>
          <w:rFonts w:ascii="Bookman Old Style" w:hAnsi="Bookman Old Style"/>
          <w:lang w:val="es-CO"/>
        </w:rPr>
      </w:pPr>
    </w:p>
    <w:p w14:paraId="56373BF1" w14:textId="4E05DDB5" w:rsidR="008B0BBF" w:rsidRPr="00C03235" w:rsidRDefault="00F94BF3" w:rsidP="00C41465">
      <w:pPr>
        <w:pStyle w:val="Textodebloque"/>
        <w:ind w:right="6"/>
        <w:contextualSpacing/>
        <w:rPr>
          <w:rFonts w:ascii="Bookman Old Style" w:hAnsi="Bookman Old Style"/>
          <w:spacing w:val="0"/>
          <w:lang w:val="es-CO"/>
        </w:rPr>
      </w:pPr>
      <w:r w:rsidRPr="6BBC354C">
        <w:rPr>
          <w:rFonts w:ascii="Bookman Old Style" w:hAnsi="Bookman Old Style"/>
          <w:spacing w:val="0"/>
          <w:lang w:val="es-CO"/>
        </w:rPr>
        <w:t>En vista de lo anterior</w:t>
      </w:r>
      <w:r w:rsidR="008A4BE1">
        <w:rPr>
          <w:rFonts w:ascii="Bookman Old Style" w:hAnsi="Bookman Old Style"/>
          <w:spacing w:val="0"/>
          <w:lang w:val="es-CO"/>
        </w:rPr>
        <w:t>,</w:t>
      </w:r>
      <w:r w:rsidRPr="6BBC354C">
        <w:rPr>
          <w:rFonts w:ascii="Bookman Old Style" w:hAnsi="Bookman Old Style"/>
          <w:spacing w:val="0"/>
          <w:lang w:val="es-CO"/>
        </w:rPr>
        <w:t xml:space="preserve"> esta Comisión no encuentra procedente el argumento expuesto por HELIOS</w:t>
      </w:r>
      <w:r w:rsidR="008A4BE1">
        <w:rPr>
          <w:rFonts w:ascii="Bookman Old Style" w:hAnsi="Bookman Old Style"/>
          <w:spacing w:val="0"/>
          <w:lang w:val="es-CO"/>
        </w:rPr>
        <w:t>, respecto a la aplicación d</w:t>
      </w:r>
      <w:r w:rsidR="00B61519" w:rsidRPr="6BBC354C">
        <w:rPr>
          <w:rFonts w:ascii="Bookman Old Style" w:hAnsi="Bookman Old Style"/>
          <w:spacing w:val="0"/>
          <w:lang w:val="es-CO"/>
        </w:rPr>
        <w:t>el principio de congruencia y de</w:t>
      </w:r>
      <w:r w:rsidR="0C937BA6" w:rsidRPr="6BBC354C">
        <w:rPr>
          <w:rFonts w:ascii="Bookman Old Style" w:hAnsi="Bookman Old Style"/>
          <w:spacing w:val="0"/>
          <w:lang w:val="es-CO"/>
        </w:rPr>
        <w:t>l</w:t>
      </w:r>
      <w:r w:rsidR="00B61519" w:rsidRPr="6BBC354C">
        <w:rPr>
          <w:rFonts w:ascii="Bookman Old Style" w:hAnsi="Bookman Old Style"/>
          <w:spacing w:val="0"/>
          <w:lang w:val="es-CO"/>
        </w:rPr>
        <w:t xml:space="preserve"> </w:t>
      </w:r>
      <w:r w:rsidR="62EA44A2" w:rsidRPr="6BBC354C">
        <w:rPr>
          <w:rFonts w:ascii="Bookman Old Style" w:hAnsi="Bookman Old Style"/>
          <w:spacing w:val="0"/>
          <w:lang w:val="es-CO"/>
        </w:rPr>
        <w:t>n</w:t>
      </w:r>
      <w:r w:rsidR="00B61519" w:rsidRPr="6BBC354C">
        <w:rPr>
          <w:rFonts w:ascii="Bookman Old Style" w:hAnsi="Bookman Old Style"/>
          <w:spacing w:val="0"/>
          <w:lang w:val="es-CO"/>
        </w:rPr>
        <w:t xml:space="preserve">on </w:t>
      </w:r>
      <w:r w:rsidR="3AFF08DD" w:rsidRPr="6BBC354C">
        <w:rPr>
          <w:rFonts w:ascii="Bookman Old Style" w:hAnsi="Bookman Old Style"/>
          <w:spacing w:val="0"/>
          <w:lang w:val="es-CO"/>
        </w:rPr>
        <w:t>r</w:t>
      </w:r>
      <w:r w:rsidR="00B61519" w:rsidRPr="6BBC354C">
        <w:rPr>
          <w:rFonts w:ascii="Bookman Old Style" w:hAnsi="Bookman Old Style"/>
          <w:spacing w:val="0"/>
          <w:lang w:val="es-CO"/>
        </w:rPr>
        <w:t xml:space="preserve">eformatio in </w:t>
      </w:r>
      <w:r w:rsidR="2E6B0A75" w:rsidRPr="6BBC354C">
        <w:rPr>
          <w:rFonts w:ascii="Bookman Old Style" w:hAnsi="Bookman Old Style"/>
          <w:spacing w:val="0"/>
          <w:lang w:val="es-CO"/>
        </w:rPr>
        <w:t>p</w:t>
      </w:r>
      <w:r w:rsidR="00B61519" w:rsidRPr="6BBC354C">
        <w:rPr>
          <w:rFonts w:ascii="Bookman Old Style" w:hAnsi="Bookman Old Style"/>
          <w:spacing w:val="0"/>
          <w:lang w:val="es-CO"/>
        </w:rPr>
        <w:t>ejus</w:t>
      </w:r>
      <w:r w:rsidR="00972994" w:rsidRPr="6BBC354C">
        <w:rPr>
          <w:rFonts w:ascii="Bookman Old Style" w:hAnsi="Bookman Old Style"/>
          <w:spacing w:val="0"/>
          <w:lang w:val="es-CO"/>
        </w:rPr>
        <w:t>.</w:t>
      </w:r>
    </w:p>
    <w:p w14:paraId="02EFB866" w14:textId="77777777" w:rsidR="001F29B8" w:rsidRPr="00C03235" w:rsidRDefault="001F29B8" w:rsidP="00C41465">
      <w:pPr>
        <w:pStyle w:val="Textodebloque"/>
        <w:ind w:right="6"/>
        <w:contextualSpacing/>
        <w:rPr>
          <w:rFonts w:ascii="Bookman Old Style" w:hAnsi="Bookman Old Style"/>
          <w:spacing w:val="0"/>
          <w:szCs w:val="24"/>
          <w:lang w:val="es-CO"/>
        </w:rPr>
      </w:pPr>
    </w:p>
    <w:p w14:paraId="5EDE6F4E" w14:textId="57D03D55" w:rsidR="00CC606A" w:rsidRPr="00C03235" w:rsidRDefault="00CC606A" w:rsidP="005937C1">
      <w:pPr>
        <w:pStyle w:val="Prrafodelista"/>
        <w:numPr>
          <w:ilvl w:val="1"/>
          <w:numId w:val="16"/>
        </w:numPr>
        <w:jc w:val="both"/>
        <w:rPr>
          <w:bCs/>
          <w:sz w:val="24"/>
          <w:szCs w:val="24"/>
        </w:rPr>
      </w:pPr>
      <w:r w:rsidRPr="00C03235">
        <w:rPr>
          <w:b/>
          <w:bCs/>
          <w:i/>
          <w:iCs/>
          <w:sz w:val="24"/>
          <w:szCs w:val="24"/>
        </w:rPr>
        <w:t>Se evidencia un número importante de factores económicos, operativos y de seguridad inherentes a la prestación del servicio en el municipio de Nazareth, que no pueden ser extrapolados, pari passu, con referencia a los cargos máximos para Unguía.</w:t>
      </w:r>
    </w:p>
    <w:p w14:paraId="1660F322" w14:textId="77777777" w:rsidR="00CC606A" w:rsidRPr="00C03235" w:rsidRDefault="00CC606A" w:rsidP="00CC606A">
      <w:pPr>
        <w:pStyle w:val="Prrafodelista"/>
        <w:ind w:left="1068"/>
        <w:jc w:val="both"/>
        <w:rPr>
          <w:i/>
          <w:iCs/>
          <w:sz w:val="24"/>
          <w:szCs w:val="24"/>
        </w:rPr>
      </w:pPr>
    </w:p>
    <w:p w14:paraId="205C20C4" w14:textId="6BDF79CD" w:rsidR="00CC606A" w:rsidRPr="00C03235" w:rsidRDefault="00CC606A" w:rsidP="00ED4091">
      <w:pPr>
        <w:pStyle w:val="Prrafodelista"/>
        <w:numPr>
          <w:ilvl w:val="2"/>
          <w:numId w:val="16"/>
        </w:numPr>
        <w:jc w:val="both"/>
        <w:rPr>
          <w:b/>
          <w:bCs/>
          <w:i/>
          <w:iCs/>
          <w:sz w:val="24"/>
          <w:szCs w:val="24"/>
        </w:rPr>
      </w:pPr>
      <w:r w:rsidRPr="00C03235">
        <w:rPr>
          <w:b/>
          <w:bCs/>
          <w:i/>
          <w:iCs/>
          <w:sz w:val="24"/>
          <w:szCs w:val="24"/>
        </w:rPr>
        <w:t>Nazareth y Puerto Estrella carecen de las mismas condiciones de acceso logístico y de transporte en comparación con el caso de Unguía, siendo condiciones mucho más precarias para el caso de Nazareth, aumentando los costos eficientes de operación de la infraestructura.</w:t>
      </w:r>
    </w:p>
    <w:p w14:paraId="0961C8A3" w14:textId="77777777" w:rsidR="00CC606A" w:rsidRPr="00C03235" w:rsidRDefault="00CC606A" w:rsidP="00CC606A">
      <w:pPr>
        <w:jc w:val="both"/>
        <w:rPr>
          <w:i/>
          <w:iCs/>
        </w:rPr>
      </w:pPr>
    </w:p>
    <w:p w14:paraId="69B1BB62" w14:textId="534075D4" w:rsidR="008A4BE1" w:rsidRDefault="346F27ED" w:rsidP="004406D6">
      <w:pPr>
        <w:spacing w:line="259" w:lineRule="auto"/>
        <w:jc w:val="both"/>
      </w:pPr>
      <w:r w:rsidRPr="00C03235">
        <w:t>La Comisión no desconoce la dificultad existente</w:t>
      </w:r>
      <w:r w:rsidR="054A9FE8" w:rsidRPr="00C03235">
        <w:t xml:space="preserve"> en relación</w:t>
      </w:r>
      <w:r w:rsidRPr="00C03235">
        <w:t xml:space="preserve"> </w:t>
      </w:r>
      <w:r w:rsidR="701C3D63" w:rsidRPr="00C03235">
        <w:t xml:space="preserve">con las condiciones de </w:t>
      </w:r>
      <w:r w:rsidRPr="00C03235">
        <w:t>acceso logístico y de transporte</w:t>
      </w:r>
      <w:r w:rsidR="242980E1" w:rsidRPr="00C03235">
        <w:t xml:space="preserve"> en </w:t>
      </w:r>
      <w:r w:rsidR="00824A7A" w:rsidRPr="00C03235">
        <w:t xml:space="preserve">el departamento de </w:t>
      </w:r>
      <w:r w:rsidR="242980E1" w:rsidRPr="00C03235">
        <w:t xml:space="preserve">la </w:t>
      </w:r>
      <w:r w:rsidR="00824A7A" w:rsidRPr="00C03235">
        <w:t>Guajira</w:t>
      </w:r>
      <w:r w:rsidR="00B739CB" w:rsidRPr="00C03235">
        <w:t xml:space="preserve"> </w:t>
      </w:r>
      <w:r w:rsidR="00A766B4" w:rsidRPr="00C03235">
        <w:t>para</w:t>
      </w:r>
      <w:r w:rsidR="242980E1" w:rsidRPr="00C03235">
        <w:t xml:space="preserve"> </w:t>
      </w:r>
      <w:r w:rsidR="00A8722F" w:rsidRPr="00C03235">
        <w:t>la</w:t>
      </w:r>
      <w:r w:rsidR="005C0FEF" w:rsidRPr="00C03235">
        <w:t xml:space="preserve"> prestación del servicio </w:t>
      </w:r>
      <w:r w:rsidR="00E94CD7" w:rsidRPr="00C03235">
        <w:t xml:space="preserve">de energía eléctrica </w:t>
      </w:r>
      <w:r w:rsidR="00520C53" w:rsidRPr="00C03235">
        <w:t>en el mercado conformado por los centros poblados de Nazareth y Puerto Estrella</w:t>
      </w:r>
      <w:r w:rsidRPr="00C03235">
        <w:t>,</w:t>
      </w:r>
      <w:r w:rsidR="5F941CB8" w:rsidRPr="00C03235">
        <w:t xml:space="preserve"> razón</w:t>
      </w:r>
      <w:r w:rsidRPr="00C03235">
        <w:t xml:space="preserve"> </w:t>
      </w:r>
      <w:r w:rsidR="7B26ED50" w:rsidRPr="00C03235">
        <w:t>por la cual,</w:t>
      </w:r>
      <w:r w:rsidRPr="00C03235">
        <w:t xml:space="preserve"> para </w:t>
      </w:r>
      <w:r w:rsidR="00AD4025" w:rsidRPr="00C03235">
        <w:t>la estimación del cargo de generación</w:t>
      </w:r>
      <w:r w:rsidR="04B2F166" w:rsidRPr="00C03235">
        <w:t xml:space="preserve"> con </w:t>
      </w:r>
      <w:r w:rsidR="006B37EC" w:rsidRPr="00C03235">
        <w:t>base en la solicitud realizada por HELIOS</w:t>
      </w:r>
      <w:r w:rsidRPr="00C03235">
        <w:t>, la Comisión utiliz</w:t>
      </w:r>
      <w:r w:rsidR="12F1C387" w:rsidRPr="00C03235">
        <w:t>ó</w:t>
      </w:r>
      <w:r w:rsidRPr="00C03235">
        <w:t xml:space="preserve"> la metodología descrita en el numeral 3.2 inciso a) de</w:t>
      </w:r>
      <w:r w:rsidR="00A81B31" w:rsidRPr="00C03235">
        <w:t xml:space="preserve"> </w:t>
      </w:r>
      <w:r w:rsidR="009E5E16" w:rsidRPr="00C03235">
        <w:t xml:space="preserve">la parte considerativa </w:t>
      </w:r>
      <w:r w:rsidR="007836C4" w:rsidRPr="00C03235">
        <w:t xml:space="preserve">de la </w:t>
      </w:r>
      <w:r w:rsidRPr="00C03235">
        <w:t xml:space="preserve">presente </w:t>
      </w:r>
      <w:r w:rsidR="007836C4" w:rsidRPr="00C03235">
        <w:t>resolución</w:t>
      </w:r>
      <w:r w:rsidR="008A4BE1">
        <w:t xml:space="preserve">. </w:t>
      </w:r>
    </w:p>
    <w:p w14:paraId="7E481E58" w14:textId="77777777" w:rsidR="008A4BE1" w:rsidRDefault="008A4BE1" w:rsidP="004406D6">
      <w:pPr>
        <w:spacing w:line="259" w:lineRule="auto"/>
        <w:jc w:val="both"/>
      </w:pPr>
    </w:p>
    <w:p w14:paraId="0C6F746A" w14:textId="59DE2B87" w:rsidR="00CC606A" w:rsidRPr="00C03235" w:rsidRDefault="008A4BE1" w:rsidP="004406D6">
      <w:pPr>
        <w:spacing w:line="259" w:lineRule="auto"/>
        <w:jc w:val="both"/>
      </w:pPr>
      <w:r>
        <w:t>E</w:t>
      </w:r>
      <w:r w:rsidR="346F27ED" w:rsidRPr="00C03235">
        <w:t xml:space="preserve">n </w:t>
      </w:r>
      <w:r>
        <w:t xml:space="preserve">los cálculos realizados </w:t>
      </w:r>
      <w:r w:rsidR="346F27ED" w:rsidRPr="00C03235">
        <w:t xml:space="preserve">se </w:t>
      </w:r>
      <w:r w:rsidR="007836C4" w:rsidRPr="00C03235">
        <w:t>utiliz</w:t>
      </w:r>
      <w:r>
        <w:t>ó</w:t>
      </w:r>
      <w:r w:rsidR="007836C4" w:rsidRPr="00C03235">
        <w:t xml:space="preserve"> </w:t>
      </w:r>
      <w:r w:rsidR="346F27ED" w:rsidRPr="00C03235">
        <w:t>no solo funciones financieras sino también un modelo de cálculo de costo de transporte</w:t>
      </w:r>
      <w:r w:rsidR="3D3514B4" w:rsidRPr="00C03235">
        <w:t>,</w:t>
      </w:r>
      <w:r w:rsidR="346F27ED" w:rsidRPr="00C03235">
        <w:t xml:space="preserve"> el cual se desarrolló considerando distancias entre puntos geográficos (origen y destino) vinculando cuatro modalidades de transporte empleadas en el territorio nacional, como lo son el transporte terrestre, transporte fluvial, transporte marítimo y transporte aéreo. El modelo de transporte se construyó utilizando la información </w:t>
      </w:r>
      <w:r w:rsidR="004406D6" w:rsidRPr="00C03235">
        <w:t>de diversas fuentes</w:t>
      </w:r>
      <w:r w:rsidR="346F27ED" w:rsidRPr="00C03235">
        <w:t>, y por medio de técnicas de regresión múltiple se obtiene</w:t>
      </w:r>
      <w:r w:rsidR="008362FA" w:rsidRPr="00C03235">
        <w:t xml:space="preserve">n las funciones de </w:t>
      </w:r>
      <w:r w:rsidR="346F27ED" w:rsidRPr="00C03235">
        <w:t>costos de transporte de divers</w:t>
      </w:r>
      <w:r w:rsidR="008362FA" w:rsidRPr="00C03235">
        <w:t>as modalidades</w:t>
      </w:r>
      <w:r w:rsidR="346F27ED" w:rsidRPr="00C03235">
        <w:t>.</w:t>
      </w:r>
    </w:p>
    <w:p w14:paraId="5936C6A6" w14:textId="77777777" w:rsidR="001C62DD" w:rsidRPr="00C03235" w:rsidRDefault="001C62DD" w:rsidP="004406D6">
      <w:pPr>
        <w:spacing w:line="259" w:lineRule="auto"/>
        <w:jc w:val="both"/>
      </w:pPr>
    </w:p>
    <w:p w14:paraId="53004CF7" w14:textId="0338FBC3" w:rsidR="00F06A8B" w:rsidRPr="00C03235" w:rsidRDefault="00E51EFC" w:rsidP="00400122">
      <w:pPr>
        <w:jc w:val="both"/>
      </w:pPr>
      <w:r w:rsidRPr="00C03235">
        <w:t>En ese orden de ideas, si bien es cierto que las condiciones de acceso logístico y de transporte son diferentes en comparación con las condiciones de Unguía, esta Comisión utiliz</w:t>
      </w:r>
      <w:r w:rsidR="0012348F">
        <w:t xml:space="preserve">ó </w:t>
      </w:r>
      <w:r w:rsidRPr="00C03235">
        <w:t>en la estimación del cargo de generación el modelo descrito previamente</w:t>
      </w:r>
      <w:r w:rsidR="00CE6720" w:rsidRPr="00C03235">
        <w:t>,</w:t>
      </w:r>
      <w:r w:rsidRPr="00C03235">
        <w:t xml:space="preserve"> </w:t>
      </w:r>
      <w:r w:rsidR="00400122" w:rsidRPr="00C03235">
        <w:t xml:space="preserve">diversos análisis y estudios realizados </w:t>
      </w:r>
      <w:r w:rsidR="00602E0B" w:rsidRPr="00C03235">
        <w:t>en el desarrollo de la</w:t>
      </w:r>
      <w:r w:rsidR="00F06A8B" w:rsidRPr="00C03235">
        <w:t xml:space="preserve"> consultoría con la empresa HART Energy &amp; Control Consulting S.A.S.</w:t>
      </w:r>
      <w:r w:rsidR="00064CF5">
        <w:t>,</w:t>
      </w:r>
      <w:r w:rsidR="00F06A8B" w:rsidRPr="00C03235">
        <w:t xml:space="preserve"> que </w:t>
      </w:r>
      <w:r w:rsidR="00152522" w:rsidRPr="00C03235">
        <w:lastRenderedPageBreak/>
        <w:t xml:space="preserve">posteriormente </w:t>
      </w:r>
      <w:r w:rsidR="00F06A8B" w:rsidRPr="00C03235">
        <w:t>fue</w:t>
      </w:r>
      <w:r w:rsidR="00AD0C64">
        <w:t>ron</w:t>
      </w:r>
      <w:r w:rsidR="00F06A8B" w:rsidRPr="00C03235">
        <w:t xml:space="preserve"> </w:t>
      </w:r>
      <w:r w:rsidR="00152522" w:rsidRPr="00C03235">
        <w:t>puesto</w:t>
      </w:r>
      <w:r w:rsidR="00AD0C64">
        <w:t>s</w:t>
      </w:r>
      <w:r w:rsidR="00152522" w:rsidRPr="00C03235">
        <w:t xml:space="preserve"> en</w:t>
      </w:r>
      <w:r w:rsidR="00F06A8B" w:rsidRPr="00C03235">
        <w:t xml:space="preserve"> consulta pública a través de la</w:t>
      </w:r>
      <w:r w:rsidR="002B3FFE" w:rsidRPr="00C03235">
        <w:t xml:space="preserve"> </w:t>
      </w:r>
      <w:r w:rsidR="00F06A8B" w:rsidRPr="00C03235">
        <w:t>Circular CREG 040 del 2021</w:t>
      </w:r>
      <w:r w:rsidR="00E64F8C" w:rsidRPr="00C03235">
        <w:t>, modelo que permite incorporar en el ejercicio de cálculo condiciones particulares del mercado de Nazareth y Puerto Estrella.</w:t>
      </w:r>
    </w:p>
    <w:p w14:paraId="504927CD" w14:textId="77777777" w:rsidR="00F06A8B" w:rsidRPr="00C03235" w:rsidRDefault="00F06A8B" w:rsidP="00CC606A">
      <w:pPr>
        <w:jc w:val="both"/>
      </w:pPr>
    </w:p>
    <w:p w14:paraId="01F1D28B" w14:textId="77777777" w:rsidR="00CC606A" w:rsidRPr="00C03235" w:rsidRDefault="00CC606A" w:rsidP="0059000A">
      <w:pPr>
        <w:pStyle w:val="Prrafodelista"/>
        <w:numPr>
          <w:ilvl w:val="2"/>
          <w:numId w:val="16"/>
        </w:numPr>
        <w:tabs>
          <w:tab w:val="left" w:pos="1134"/>
        </w:tabs>
        <w:jc w:val="both"/>
        <w:rPr>
          <w:b/>
          <w:bCs/>
          <w:i/>
          <w:iCs/>
          <w:sz w:val="24"/>
          <w:szCs w:val="24"/>
        </w:rPr>
      </w:pPr>
      <w:r w:rsidRPr="00C03235">
        <w:rPr>
          <w:b/>
          <w:bCs/>
          <w:i/>
          <w:iCs/>
          <w:sz w:val="24"/>
          <w:szCs w:val="24"/>
        </w:rPr>
        <w:t>No existe en el mercado de transporte de combustible nacional una empresa con interés comercial en proveer el servicio hasta la subestación de Nazareth. El operador debe asumir el costo y los riesgos de transportar el combustible con personas particulares que presta el servicio en condiciones que no son enteramente compatibles con el cumplimiento de las normas regulatorias y de seguridad en transporte de este tipo de fluidos.</w:t>
      </w:r>
    </w:p>
    <w:p w14:paraId="52B0C87E" w14:textId="77777777" w:rsidR="00CC606A" w:rsidRPr="00C03235" w:rsidRDefault="00CC606A" w:rsidP="00CC606A">
      <w:pPr>
        <w:jc w:val="both"/>
      </w:pPr>
    </w:p>
    <w:p w14:paraId="63087226" w14:textId="3AF96CE8" w:rsidR="00CC606A" w:rsidRPr="00C03235" w:rsidRDefault="4EAA915E" w:rsidP="00CC606A">
      <w:pPr>
        <w:jc w:val="both"/>
      </w:pPr>
      <w:r w:rsidRPr="00C03235">
        <w:t xml:space="preserve">De conformidad con la </w:t>
      </w:r>
      <w:r w:rsidR="346F27ED" w:rsidRPr="00C03235">
        <w:t>Resolución 31909 de 2018</w:t>
      </w:r>
      <w:r w:rsidR="4C70BE58" w:rsidRPr="00C03235">
        <w:t xml:space="preserve"> del Ministerio de Minas y Energía, </w:t>
      </w:r>
      <w:r w:rsidR="346F27ED" w:rsidRPr="00C03235">
        <w:t>el abastecimiento de combustible se realiza desde la planta Petromil La Candelaria en la ciudad de Cartagena</w:t>
      </w:r>
      <w:r w:rsidR="56FA612A" w:rsidRPr="00C03235">
        <w:t>,</w:t>
      </w:r>
      <w:r w:rsidR="346F27ED" w:rsidRPr="00C03235">
        <w:t xml:space="preserve"> hasta </w:t>
      </w:r>
      <w:r w:rsidR="5F7AB706" w:rsidRPr="00C03235">
        <w:t>l</w:t>
      </w:r>
      <w:r w:rsidR="346F27ED" w:rsidRPr="00C03235">
        <w:t xml:space="preserve">a planta del consorcio Guajira Jaidis Oriana ubicada en Maicao, en el departamento de Guajira. En el plan de abastecimiento para distribución de combustibles líquidos a estaciones de servicio </w:t>
      </w:r>
      <w:r w:rsidR="3DBA925D" w:rsidRPr="00C03235">
        <w:t xml:space="preserve">ubicadas </w:t>
      </w:r>
      <w:r w:rsidR="346F27ED" w:rsidRPr="00C03235">
        <w:t xml:space="preserve">en los municipios </w:t>
      </w:r>
      <w:r w:rsidR="05262F32" w:rsidRPr="00C03235">
        <w:t>fr</w:t>
      </w:r>
      <w:r w:rsidR="00FD0253" w:rsidRPr="00C03235">
        <w:t>o</w:t>
      </w:r>
      <w:r w:rsidR="05262F32" w:rsidRPr="00C03235">
        <w:t xml:space="preserve">nterizos </w:t>
      </w:r>
      <w:r w:rsidR="346F27ED" w:rsidRPr="00C03235">
        <w:t>en el departamento de la Guajira, se incluye a la Sociedad P&amp;B Petrolera y Biocombustibles S.A.S. Lo anterior</w:t>
      </w:r>
      <w:r w:rsidR="0012348F">
        <w:t>,</w:t>
      </w:r>
      <w:r w:rsidR="346F27ED" w:rsidRPr="00C03235">
        <w:t xml:space="preserve"> representa la cobertura total de transporte de combustible hasta Uribia en el departamento de la Guajira.</w:t>
      </w:r>
    </w:p>
    <w:p w14:paraId="2F82E943" w14:textId="77777777" w:rsidR="00AB1227" w:rsidRPr="00C03235" w:rsidRDefault="00AB1227" w:rsidP="00CC606A">
      <w:pPr>
        <w:jc w:val="both"/>
      </w:pPr>
    </w:p>
    <w:p w14:paraId="3D74EAEF" w14:textId="2169C5E0" w:rsidR="00CC606A" w:rsidRPr="00C03235" w:rsidRDefault="738F7858" w:rsidP="333A38D3">
      <w:pPr>
        <w:spacing w:line="259" w:lineRule="auto"/>
        <w:jc w:val="both"/>
      </w:pPr>
      <w:r w:rsidRPr="00C03235">
        <w:t>Adicionalmente,</w:t>
      </w:r>
      <w:r w:rsidR="00B80DE5" w:rsidRPr="00C03235">
        <w:t xml:space="preserve"> </w:t>
      </w:r>
      <w:r w:rsidR="00165890" w:rsidRPr="00C03235">
        <w:t xml:space="preserve">en </w:t>
      </w:r>
      <w:r w:rsidR="346F27ED" w:rsidRPr="00C03235">
        <w:t xml:space="preserve">la información </w:t>
      </w:r>
      <w:r w:rsidR="00B80DE5" w:rsidRPr="00C03235">
        <w:t xml:space="preserve">aportada </w:t>
      </w:r>
      <w:r w:rsidR="346F27ED" w:rsidRPr="00C03235">
        <w:t>por el recurrente en el radicado CREG E2023011007</w:t>
      </w:r>
      <w:r w:rsidR="00140FD8" w:rsidRPr="00C03235">
        <w:t>,</w:t>
      </w:r>
      <w:r w:rsidR="346F27ED" w:rsidRPr="00C03235">
        <w:t xml:space="preserve"> </w:t>
      </w:r>
      <w:r w:rsidR="00140FD8" w:rsidRPr="00C03235">
        <w:t xml:space="preserve">en </w:t>
      </w:r>
      <w:r w:rsidR="346F27ED" w:rsidRPr="00C03235">
        <w:t xml:space="preserve">respuesta al Auto 035 del 2023 </w:t>
      </w:r>
      <w:r w:rsidR="346F27ED" w:rsidRPr="00C03235">
        <w:rPr>
          <w:i/>
          <w:iCs/>
        </w:rPr>
        <w:t>“por el cual se decreta la práctica de pruebas de oficio dentro del trámite del recurso de reposición interpuesto contra la resolución CREG 501 004 del 03 de febrero del 2023”</w:t>
      </w:r>
      <w:r w:rsidR="004A018F" w:rsidRPr="00C03235">
        <w:t xml:space="preserve">, particularmente </w:t>
      </w:r>
      <w:r w:rsidR="00203270" w:rsidRPr="00C03235">
        <w:t xml:space="preserve">en la </w:t>
      </w:r>
      <w:r w:rsidR="346F27ED" w:rsidRPr="00C03235">
        <w:t xml:space="preserve">carpeta con nombre </w:t>
      </w:r>
      <w:r w:rsidR="346F27ED" w:rsidRPr="00C03235">
        <w:rPr>
          <w:i/>
          <w:iCs/>
        </w:rPr>
        <w:t>“11. TRANSPORTE DE COMBUSTIBLE”</w:t>
      </w:r>
      <w:r w:rsidR="346F27ED" w:rsidRPr="00C03235">
        <w:t xml:space="preserve">, </w:t>
      </w:r>
      <w:r w:rsidR="00203270" w:rsidRPr="00C03235">
        <w:t xml:space="preserve">se aportan </w:t>
      </w:r>
      <w:r w:rsidR="346F27ED" w:rsidRPr="00C03235">
        <w:t xml:space="preserve">dos cotizaciones, una de la empresa ALASKA DE COLOMBIA y otra de la empresa JAIMES Y JAIMES, que cubren el transporte de combustible desde Uribia hasta Nazareth. De acuerdo con lo anterior y basado en </w:t>
      </w:r>
      <w:r w:rsidR="7704CDFF" w:rsidRPr="00C03235">
        <w:t xml:space="preserve">lo informado por </w:t>
      </w:r>
      <w:r w:rsidR="3532F5DA" w:rsidRPr="00C03235">
        <w:t>el</w:t>
      </w:r>
      <w:r w:rsidR="346F27ED" w:rsidRPr="00C03235">
        <w:t xml:space="preserve"> recurrente, HELIOS ya tendría </w:t>
      </w:r>
      <w:r w:rsidR="00137CD7" w:rsidRPr="00C03235">
        <w:t xml:space="preserve">por lo menos </w:t>
      </w:r>
      <w:r w:rsidR="346F27ED" w:rsidRPr="00C03235">
        <w:t>dos opciones para cubrir el trasporte de combustible desde Uribia hasta Nazareth.</w:t>
      </w:r>
    </w:p>
    <w:p w14:paraId="13C2CE91" w14:textId="77777777" w:rsidR="00105050" w:rsidRPr="00C03235" w:rsidRDefault="00105050" w:rsidP="333A38D3">
      <w:pPr>
        <w:spacing w:line="259" w:lineRule="auto"/>
        <w:jc w:val="both"/>
      </w:pPr>
    </w:p>
    <w:p w14:paraId="5A450275" w14:textId="79BB1F7C" w:rsidR="00CC606A" w:rsidRPr="00C03235" w:rsidRDefault="00CC606A" w:rsidP="0059000A">
      <w:pPr>
        <w:pStyle w:val="Prrafodelista"/>
        <w:numPr>
          <w:ilvl w:val="2"/>
          <w:numId w:val="16"/>
        </w:numPr>
        <w:tabs>
          <w:tab w:val="left" w:pos="1134"/>
        </w:tabs>
        <w:jc w:val="both"/>
        <w:rPr>
          <w:bCs/>
          <w:sz w:val="24"/>
          <w:szCs w:val="24"/>
        </w:rPr>
      </w:pPr>
      <w:r w:rsidRPr="00C03235">
        <w:rPr>
          <w:b/>
          <w:bCs/>
          <w:i/>
          <w:iCs/>
          <w:sz w:val="24"/>
          <w:szCs w:val="24"/>
        </w:rPr>
        <w:t xml:space="preserve">La cantidad de usuarios que demandan energía tiene una gran diferencia entre las localidades de Unguía y Nazareth, por lo que se hace indispensable analizar la demanda de cada mercado. </w:t>
      </w:r>
    </w:p>
    <w:p w14:paraId="1143D3F7" w14:textId="77777777" w:rsidR="00690BAE" w:rsidRPr="00C03235" w:rsidRDefault="00690BAE" w:rsidP="333A38D3">
      <w:pPr>
        <w:spacing w:line="259" w:lineRule="auto"/>
        <w:jc w:val="both"/>
      </w:pPr>
    </w:p>
    <w:p w14:paraId="4ADEF08B" w14:textId="62830FA3" w:rsidR="00CC606A" w:rsidRDefault="346F27ED" w:rsidP="333A38D3">
      <w:pPr>
        <w:spacing w:line="259" w:lineRule="auto"/>
        <w:jc w:val="both"/>
      </w:pPr>
      <w:r w:rsidRPr="00C03235">
        <w:t xml:space="preserve">Si bien lo argumentado sobre la diferencia de la demanda de los mercados de Unguía y Nazareth es cierta, también es cierto que se deben garantizar los principios de eficiencia económica y suficiencia financiera del artículo 87 de la ley 142 de 1994. En aras de cumplir con estos dos criterios, esta Comisión optó en su momento por tomar como referencia los </w:t>
      </w:r>
      <w:r w:rsidR="005A0BEA">
        <w:t xml:space="preserve">cargos de generación </w:t>
      </w:r>
      <w:r w:rsidRPr="00C03235">
        <w:t xml:space="preserve">del mercado de </w:t>
      </w:r>
      <w:r w:rsidR="003E1B41" w:rsidRPr="00C03235">
        <w:t>Unguía</w:t>
      </w:r>
      <w:r w:rsidRPr="00C03235">
        <w:t xml:space="preserve">, los cuales gozan de legalidad y cumplen con los criterios para definir el régimen </w:t>
      </w:r>
      <w:r w:rsidR="41743C6A" w:rsidRPr="00C03235">
        <w:t>tarifario</w:t>
      </w:r>
      <w:r w:rsidRPr="00C03235">
        <w:t>.</w:t>
      </w:r>
    </w:p>
    <w:p w14:paraId="13CD51B0" w14:textId="77777777" w:rsidR="00872AE4" w:rsidRDefault="00872AE4" w:rsidP="333A38D3">
      <w:pPr>
        <w:spacing w:line="259" w:lineRule="auto"/>
        <w:jc w:val="both"/>
      </w:pPr>
    </w:p>
    <w:p w14:paraId="0B6818F7" w14:textId="5C9C7F71" w:rsidR="00872AE4" w:rsidRPr="00C03235" w:rsidRDefault="00872AE4" w:rsidP="001F698B">
      <w:pPr>
        <w:spacing w:line="259" w:lineRule="auto"/>
        <w:jc w:val="both"/>
      </w:pPr>
      <w:r>
        <w:t xml:space="preserve">Como se </w:t>
      </w:r>
      <w:r w:rsidR="000B2839">
        <w:t xml:space="preserve">demuestra </w:t>
      </w:r>
      <w:r>
        <w:t>en el numeral</w:t>
      </w:r>
      <w:r w:rsidR="006B53BE">
        <w:t xml:space="preserve"> 3.2.6</w:t>
      </w:r>
      <w:r w:rsidR="006C2F40">
        <w:t xml:space="preserve"> de la parte considerativa de esta resolución</w:t>
      </w:r>
      <w:r w:rsidR="00487F6C">
        <w:t xml:space="preserve">, </w:t>
      </w:r>
      <w:r w:rsidR="000B2839">
        <w:t>al considerar la demanda para determinar el cargo de generación</w:t>
      </w:r>
      <w:r w:rsidR="0089164E">
        <w:t xml:space="preserve">, pudiera caerse en la definición de un cargo ineficiente, mediante el cual se termine remunerando </w:t>
      </w:r>
      <w:r w:rsidR="00EB2676">
        <w:t>capacidad ociosa de los sistemas de generación</w:t>
      </w:r>
      <w:r w:rsidR="008A6901">
        <w:t xml:space="preserve">. Para </w:t>
      </w:r>
      <w:r w:rsidR="0012348F">
        <w:t xml:space="preserve">mayor </w:t>
      </w:r>
      <w:r w:rsidR="008A6901">
        <w:t xml:space="preserve">ilustración se </w:t>
      </w:r>
      <w:r w:rsidR="0012348F">
        <w:t xml:space="preserve">indicó </w:t>
      </w:r>
      <w:r w:rsidR="005D3272">
        <w:t xml:space="preserve">que, aunque </w:t>
      </w:r>
      <w:r w:rsidR="001F698B">
        <w:t xml:space="preserve">la demanda de Unguía es </w:t>
      </w:r>
      <w:r w:rsidRPr="00C03235">
        <w:t xml:space="preserve">múltiplo </w:t>
      </w:r>
      <w:r w:rsidRPr="00C03235">
        <w:lastRenderedPageBreak/>
        <w:t xml:space="preserve">varias veces </w:t>
      </w:r>
      <w:r w:rsidR="001F698B">
        <w:t xml:space="preserve">la de </w:t>
      </w:r>
      <w:r w:rsidRPr="00C03235">
        <w:t>Nazareth</w:t>
      </w:r>
      <w:r w:rsidR="0085097A">
        <w:t>, la situación contraria se observa sobre la infraestructura de almacenamiento</w:t>
      </w:r>
      <w:r w:rsidR="00F3382D">
        <w:t xml:space="preserve">, </w:t>
      </w:r>
      <w:r w:rsidRPr="00C03235">
        <w:t>en donde en Nazareth tiene una capacidad de almacenamiento que es 3.2 veces la capacidad de Unguía.</w:t>
      </w:r>
      <w:r w:rsidR="00F97DE3">
        <w:t xml:space="preserve"> </w:t>
      </w:r>
      <w:r w:rsidR="000D1BCD">
        <w:t>Explicado de otra forma</w:t>
      </w:r>
      <w:r w:rsidR="00F97DE3">
        <w:t xml:space="preserve">, si se considera solo la demanda, se tendría </w:t>
      </w:r>
      <w:r w:rsidR="0026072B">
        <w:t xml:space="preserve">en Nazareth </w:t>
      </w:r>
      <w:r w:rsidR="00F97DE3">
        <w:t xml:space="preserve">a menos usuarios, que demandan </w:t>
      </w:r>
      <w:r w:rsidR="008727A2">
        <w:t>menos energía</w:t>
      </w:r>
      <w:r w:rsidR="00AF2D35">
        <w:t xml:space="preserve"> </w:t>
      </w:r>
      <w:r w:rsidR="000810A7">
        <w:t>al comparar</w:t>
      </w:r>
      <w:r w:rsidR="00833C45">
        <w:t>los</w:t>
      </w:r>
      <w:r w:rsidR="000810A7">
        <w:t xml:space="preserve"> con el mercado de </w:t>
      </w:r>
      <w:r w:rsidR="00ED2B27">
        <w:t>Unguía,</w:t>
      </w:r>
      <w:r w:rsidR="000810A7">
        <w:t xml:space="preserve"> pero pagando </w:t>
      </w:r>
      <w:r w:rsidR="00CD57F4">
        <w:t xml:space="preserve">un </w:t>
      </w:r>
      <w:r w:rsidR="008727A2">
        <w:t>sistema</w:t>
      </w:r>
      <w:r w:rsidR="000810A7">
        <w:t xml:space="preserve"> de almacenamiento 3.2 veces más grande, de mayor capacidad, que el que pagan los usuarios</w:t>
      </w:r>
      <w:r w:rsidR="00A91D05">
        <w:t>, nuevamente, de Unguía.</w:t>
      </w:r>
    </w:p>
    <w:p w14:paraId="33927427" w14:textId="77777777" w:rsidR="00872AE4" w:rsidRPr="00C03235" w:rsidRDefault="00872AE4" w:rsidP="00872AE4">
      <w:pPr>
        <w:jc w:val="both"/>
      </w:pPr>
    </w:p>
    <w:p w14:paraId="147ECD65" w14:textId="240A3BF4" w:rsidR="00872AE4" w:rsidRPr="00C03235" w:rsidRDefault="00872AE4" w:rsidP="00872AE4">
      <w:pPr>
        <w:jc w:val="both"/>
      </w:pPr>
      <w:r w:rsidRPr="00C03235">
        <w:t>Esta situación</w:t>
      </w:r>
      <w:r w:rsidR="0012348F">
        <w:t>,</w:t>
      </w:r>
      <w:r w:rsidRPr="00C03235">
        <w:t xml:space="preserve"> </w:t>
      </w:r>
      <w:r w:rsidR="0012348F">
        <w:t>reafirma lo</w:t>
      </w:r>
      <w:r w:rsidRPr="00C03235">
        <w:t xml:space="preserve"> planteado anteriormente sobre considerar en el análisis de forma exclusiva la demanda o generación de un mercado para determinar su cargo. La Comisión efectúa un ejercicio en donde revisa el potencial de generación de los sistemas que son presentados como referencia para determinar los cargos de un mercado en particular para evitar que se terminen reconociendo costos ineficientes. Por ejemplo, determinar un cargo de almacenamiento para Nazareth, que tiene un décimo de la generación de Unguía, con el costo de una infraestructura en Nazareth que cuenta con una capacidad de 3.2 veces la del mercado usado como referencia.</w:t>
      </w:r>
    </w:p>
    <w:p w14:paraId="236C2491" w14:textId="77777777" w:rsidR="00CC606A" w:rsidRPr="00C03235" w:rsidRDefault="00CC606A" w:rsidP="00CC606A">
      <w:pPr>
        <w:jc w:val="both"/>
      </w:pPr>
    </w:p>
    <w:p w14:paraId="06C3A06D" w14:textId="72EAA243" w:rsidR="00CC606A" w:rsidRPr="00C03235" w:rsidRDefault="00CC606A" w:rsidP="00A91630">
      <w:pPr>
        <w:pStyle w:val="Prrafodelista"/>
        <w:numPr>
          <w:ilvl w:val="2"/>
          <w:numId w:val="16"/>
        </w:numPr>
        <w:tabs>
          <w:tab w:val="left" w:pos="1134"/>
        </w:tabs>
        <w:jc w:val="both"/>
        <w:rPr>
          <w:bCs/>
          <w:sz w:val="24"/>
          <w:szCs w:val="24"/>
        </w:rPr>
      </w:pPr>
      <w:r w:rsidRPr="00C03235">
        <w:rPr>
          <w:b/>
          <w:bCs/>
          <w:i/>
          <w:iCs/>
          <w:sz w:val="24"/>
          <w:szCs w:val="24"/>
        </w:rPr>
        <w:t>La CREG no envió los anexos correspondientes con el documento CREG 092 del 2019 para poder analizar y comparar los valores que involucra directamente el cálculo de generación.</w:t>
      </w:r>
    </w:p>
    <w:p w14:paraId="19EE2F98" w14:textId="77777777" w:rsidR="00CC606A" w:rsidRPr="00D25DDF" w:rsidRDefault="00CC606A" w:rsidP="00CC606A">
      <w:pPr>
        <w:jc w:val="both"/>
        <w:rPr>
          <w:i/>
          <w:iCs/>
        </w:rPr>
      </w:pPr>
    </w:p>
    <w:p w14:paraId="46397AC8" w14:textId="7FFCCA6B" w:rsidR="00405342" w:rsidRDefault="00405342" w:rsidP="00CC606A">
      <w:pPr>
        <w:jc w:val="both"/>
      </w:pPr>
      <w:r w:rsidRPr="00D25DDF">
        <w:t>La información aportada por la empresa para la determinación del cargo</w:t>
      </w:r>
      <w:r w:rsidR="00C12CF4" w:rsidRPr="00D25DDF">
        <w:t xml:space="preserve"> de generación del mercado de</w:t>
      </w:r>
      <w:r w:rsidRPr="00D25DDF">
        <w:t xml:space="preserve"> Unguía contine información </w:t>
      </w:r>
      <w:r w:rsidR="00084169" w:rsidRPr="00D25DDF">
        <w:t xml:space="preserve">clasificada </w:t>
      </w:r>
      <w:r w:rsidRPr="00D25DDF">
        <w:t xml:space="preserve">como </w:t>
      </w:r>
      <w:r w:rsidR="00084169" w:rsidRPr="00D25DDF">
        <w:t xml:space="preserve">reservada, toda vez que contiene información catalogada como </w:t>
      </w:r>
      <w:r w:rsidRPr="00D25DDF">
        <w:t>secretos industriales y comerciales. La información que puede ser compartida</w:t>
      </w:r>
      <w:r w:rsidR="006C41AC">
        <w:t>,</w:t>
      </w:r>
      <w:r w:rsidRPr="00D25DDF">
        <w:t xml:space="preserve"> ya fue debidamente incorporada al expediente de esta actuación administrativa.</w:t>
      </w:r>
    </w:p>
    <w:p w14:paraId="7B001243" w14:textId="77777777" w:rsidR="00B05586" w:rsidRDefault="00B05586" w:rsidP="00CC606A">
      <w:pPr>
        <w:jc w:val="both"/>
        <w:rPr>
          <w:highlight w:val="yellow"/>
        </w:rPr>
      </w:pPr>
    </w:p>
    <w:p w14:paraId="3526DFE9" w14:textId="77777777" w:rsidR="00CC606A" w:rsidRPr="00C03235" w:rsidRDefault="00CC606A" w:rsidP="00A91630">
      <w:pPr>
        <w:pStyle w:val="Prrafodelista"/>
        <w:numPr>
          <w:ilvl w:val="2"/>
          <w:numId w:val="16"/>
        </w:numPr>
        <w:tabs>
          <w:tab w:val="left" w:pos="1134"/>
        </w:tabs>
        <w:jc w:val="both"/>
        <w:rPr>
          <w:b/>
          <w:bCs/>
          <w:i/>
          <w:iCs/>
          <w:sz w:val="24"/>
          <w:szCs w:val="24"/>
        </w:rPr>
      </w:pPr>
      <w:r w:rsidRPr="00C03235">
        <w:rPr>
          <w:b/>
          <w:bCs/>
          <w:i/>
          <w:iCs/>
          <w:sz w:val="24"/>
          <w:szCs w:val="24"/>
        </w:rPr>
        <w:t>Las características técnicas de Unguía superan la capacidad del sistema de generación que atiende el mercado de Nazareth y Puerto Estrella, esa desproporcionalidad no permite realizar una comparación muy acertada para dimensionar la tarifa.</w:t>
      </w:r>
    </w:p>
    <w:p w14:paraId="52D3AD50" w14:textId="77777777" w:rsidR="00CC606A" w:rsidRPr="00C03235" w:rsidRDefault="00CC606A" w:rsidP="00CC606A">
      <w:pPr>
        <w:jc w:val="both"/>
        <w:rPr>
          <w:bCs/>
          <w:highlight w:val="yellow"/>
        </w:rPr>
      </w:pPr>
    </w:p>
    <w:p w14:paraId="0460C88B" w14:textId="44644788" w:rsidR="00CC606A" w:rsidRDefault="6744073C" w:rsidP="333A38D3">
      <w:pPr>
        <w:spacing w:line="259" w:lineRule="auto"/>
        <w:jc w:val="both"/>
      </w:pPr>
      <w:r w:rsidRPr="00C03235">
        <w:t>En efecto, tal y como lo afirma el recurrente, l</w:t>
      </w:r>
      <w:r w:rsidR="346F27ED" w:rsidRPr="00C03235">
        <w:t xml:space="preserve">a potencia del sistema de generación solar fotovoltaico que atiende el mercado de Unguía es mayor que la del sistema que atiende los mercados de Nazareth y Puerto Estrella, sin embargo, el sistema de almacenamiento que atiende el mercado de Nazareth y Puerto Estrella </w:t>
      </w:r>
      <w:r w:rsidR="257E67F1" w:rsidRPr="00C03235">
        <w:t>cuenta con una</w:t>
      </w:r>
      <w:r w:rsidR="346F27ED" w:rsidRPr="00C03235">
        <w:t xml:space="preserve"> mayor capacidad que el que atien</w:t>
      </w:r>
      <w:r w:rsidR="00A91630">
        <w:t>d</w:t>
      </w:r>
      <w:r w:rsidR="346F27ED" w:rsidRPr="00C03235">
        <w:t xml:space="preserve">e el mercado de Unguía, a pesar de atender menos usuarios. </w:t>
      </w:r>
      <w:r w:rsidR="007E79D0">
        <w:t xml:space="preserve">El </w:t>
      </w:r>
      <w:r w:rsidR="346F27ED" w:rsidRPr="00C03235">
        <w:t xml:space="preserve">sistema de Unguía supera en potencia </w:t>
      </w:r>
      <w:r w:rsidR="1FD9D44B" w:rsidRPr="00C03235">
        <w:t>el</w:t>
      </w:r>
      <w:r w:rsidR="346F27ED" w:rsidRPr="00C03235">
        <w:t xml:space="preserve"> sistema </w:t>
      </w:r>
      <w:r w:rsidR="0163E512" w:rsidRPr="00C03235">
        <w:t xml:space="preserve">de generación </w:t>
      </w:r>
      <w:r w:rsidR="346F27ED" w:rsidRPr="00C03235">
        <w:t>solar que atiende Nazareth y Puerto Estrella</w:t>
      </w:r>
      <w:r w:rsidR="000F593A">
        <w:t>, mientras que</w:t>
      </w:r>
      <w:r w:rsidR="006A42AE">
        <w:t xml:space="preserve"> </w:t>
      </w:r>
      <w:r w:rsidR="346F27ED" w:rsidRPr="00C03235">
        <w:t xml:space="preserve">sucede lo </w:t>
      </w:r>
      <w:r w:rsidR="008E39D9">
        <w:t xml:space="preserve">contrario </w:t>
      </w:r>
      <w:r w:rsidR="346F27ED" w:rsidRPr="00C03235">
        <w:t xml:space="preserve">con </w:t>
      </w:r>
      <w:r w:rsidR="008E39D9">
        <w:t>los</w:t>
      </w:r>
      <w:r w:rsidR="346F27ED" w:rsidRPr="00C03235">
        <w:t xml:space="preserve"> sistema</w:t>
      </w:r>
      <w:r w:rsidR="008E39D9">
        <w:t>s</w:t>
      </w:r>
      <w:r w:rsidR="346F27ED" w:rsidRPr="00C03235">
        <w:t xml:space="preserve"> de almacenamiento.</w:t>
      </w:r>
    </w:p>
    <w:p w14:paraId="16C70AF2" w14:textId="77777777" w:rsidR="00E26717" w:rsidRPr="00C03235" w:rsidRDefault="00E26717" w:rsidP="333A38D3">
      <w:pPr>
        <w:spacing w:line="259" w:lineRule="auto"/>
        <w:jc w:val="both"/>
      </w:pPr>
    </w:p>
    <w:p w14:paraId="2F4C2ABE" w14:textId="5D2F5426" w:rsidR="00117EE3" w:rsidRPr="00C03235" w:rsidRDefault="00117EE3" w:rsidP="00117EE3">
      <w:pPr>
        <w:jc w:val="both"/>
      </w:pPr>
      <w:r w:rsidRPr="00C03235">
        <w:t>Esta situación</w:t>
      </w:r>
      <w:r w:rsidR="0050446A" w:rsidRPr="00C03235">
        <w:t>, entre otras mencionadas anteriormente que surgen de hacer la comparación entre estos dos mercados desde la capacidad instalada y la respectiva generación,</w:t>
      </w:r>
      <w:r w:rsidRPr="00C03235">
        <w:t xml:space="preserve"> </w:t>
      </w:r>
      <w:r w:rsidR="00AD5474">
        <w:t>reafirma el</w:t>
      </w:r>
      <w:r w:rsidRPr="00C03235">
        <w:t xml:space="preserve"> argumento </w:t>
      </w:r>
      <w:r w:rsidR="00D62A0B" w:rsidRPr="00C03235">
        <w:t xml:space="preserve">de </w:t>
      </w:r>
      <w:r w:rsidR="00584D21" w:rsidRPr="00C03235">
        <w:t xml:space="preserve">no </w:t>
      </w:r>
      <w:r w:rsidR="009F13EA" w:rsidRPr="00C03235">
        <w:t>tomar</w:t>
      </w:r>
      <w:r w:rsidRPr="00C03235">
        <w:t xml:space="preserve"> la demanda o generación de un mercado para determinar </w:t>
      </w:r>
      <w:r w:rsidR="0036023C" w:rsidRPr="00C03235">
        <w:t xml:space="preserve">los respectivos </w:t>
      </w:r>
      <w:r w:rsidRPr="00C03235">
        <w:t>cargo</w:t>
      </w:r>
      <w:r w:rsidR="0036023C" w:rsidRPr="00C03235">
        <w:t>s</w:t>
      </w:r>
      <w:r w:rsidRPr="00C03235">
        <w:t xml:space="preserve">. </w:t>
      </w:r>
      <w:r w:rsidR="0008378E" w:rsidRPr="00C03235">
        <w:t xml:space="preserve">En ese sentido, </w:t>
      </w:r>
      <w:r w:rsidR="006C41AC">
        <w:t>l</w:t>
      </w:r>
      <w:r w:rsidRPr="00C03235">
        <w:t xml:space="preserve">a Comisión efectúa un ejercicio en </w:t>
      </w:r>
      <w:r w:rsidR="006C41AC">
        <w:t>el cual</w:t>
      </w:r>
      <w:r w:rsidR="006C41AC" w:rsidRPr="00C03235">
        <w:t xml:space="preserve"> </w:t>
      </w:r>
      <w:r w:rsidRPr="00C03235">
        <w:t xml:space="preserve">revisa el potencial de generación de los sistemas que son presentados como referencia para determinar los cargos de un mercado en particular </w:t>
      </w:r>
      <w:r w:rsidR="006C41AC">
        <w:t>y</w:t>
      </w:r>
      <w:r w:rsidR="006C41AC" w:rsidRPr="00C03235">
        <w:t xml:space="preserve"> </w:t>
      </w:r>
      <w:r w:rsidRPr="00C03235">
        <w:t xml:space="preserve">evitar </w:t>
      </w:r>
      <w:r w:rsidR="001A6763">
        <w:t xml:space="preserve">el </w:t>
      </w:r>
      <w:r w:rsidR="006C41AC">
        <w:t>reconoc</w:t>
      </w:r>
      <w:r w:rsidR="00DF065F">
        <w:t>imiento de</w:t>
      </w:r>
      <w:r w:rsidRPr="00C03235">
        <w:t xml:space="preserve"> costos ineficientes.</w:t>
      </w:r>
    </w:p>
    <w:p w14:paraId="181081D5" w14:textId="77777777" w:rsidR="00117EE3" w:rsidRPr="00C03235" w:rsidRDefault="00117EE3" w:rsidP="00117EE3">
      <w:pPr>
        <w:jc w:val="both"/>
      </w:pPr>
    </w:p>
    <w:p w14:paraId="67F0071C" w14:textId="0AF94FA1" w:rsidR="007A4C06" w:rsidRPr="00C03235" w:rsidRDefault="00D211AB" w:rsidP="00117EE3">
      <w:pPr>
        <w:jc w:val="both"/>
      </w:pPr>
      <w:r w:rsidRPr="00C03235">
        <w:t>No obstante</w:t>
      </w:r>
      <w:r w:rsidR="00117EE3" w:rsidRPr="00C03235">
        <w:t xml:space="preserve">, HELIOS </w:t>
      </w:r>
      <w:r w:rsidR="009E2302">
        <w:t>acertadamente</w:t>
      </w:r>
      <w:r w:rsidR="00117EE3" w:rsidRPr="00C03235">
        <w:t xml:space="preserve"> indica la relación que existe entre costo eficiente y la escala de la prestación del servicio</w:t>
      </w:r>
      <w:r w:rsidR="007A4C06" w:rsidRPr="00C03235">
        <w:t xml:space="preserve">, </w:t>
      </w:r>
      <w:r w:rsidR="00117EE3" w:rsidRPr="00C03235">
        <w:t xml:space="preserve">siendo estos mercados de escala distintas, </w:t>
      </w:r>
      <w:r w:rsidR="00001BAA" w:rsidRPr="00C03235">
        <w:t xml:space="preserve">dando lugar a </w:t>
      </w:r>
      <w:r w:rsidR="007405A4" w:rsidRPr="00C03235">
        <w:t>posibles</w:t>
      </w:r>
      <w:r w:rsidR="00117EE3" w:rsidRPr="00C03235">
        <w:t xml:space="preserve"> reducciones en costos </w:t>
      </w:r>
      <w:r w:rsidR="009B3252" w:rsidRPr="00C03235">
        <w:t>de operación del</w:t>
      </w:r>
      <w:r w:rsidR="00117EE3" w:rsidRPr="00C03235">
        <w:t xml:space="preserve"> mercado de Nazareth.</w:t>
      </w:r>
    </w:p>
    <w:p w14:paraId="03CC2710" w14:textId="77777777" w:rsidR="007A4C06" w:rsidRPr="00C03235" w:rsidRDefault="007A4C06" w:rsidP="00117EE3">
      <w:pPr>
        <w:jc w:val="both"/>
      </w:pPr>
    </w:p>
    <w:p w14:paraId="0B3C386B" w14:textId="246E00C5" w:rsidR="00117EE3" w:rsidRPr="00C03235" w:rsidRDefault="00117EE3" w:rsidP="00117EE3">
      <w:pPr>
        <w:jc w:val="both"/>
      </w:pPr>
      <w:r w:rsidRPr="00C03235">
        <w:t>La Comisión, de acuerdo con los argumentos presentados en el recurso de reposición interpuesto por HELIOS, decide utilizar una aproximación distinta para determinar el cargo del mercado de Nazareth y Puerto Estrella, ya no desde los cargos aprobados para un mercado de referencia, sino toma</w:t>
      </w:r>
      <w:r w:rsidR="006C41AC">
        <w:t>ndo</w:t>
      </w:r>
      <w:r w:rsidRPr="00C03235">
        <w:t xml:space="preserve"> un caso tipo de menor escala con sus respectivos costos y considerar las particularidades que aplican para resolver esta solicitud, principalmente las condiciones de disponibilidad del recurso solar de la zona, los costos de transporte e instalación respectivos y las vidas útiles de este tipo de tecnologías, ya soportadas en estudios con los que cuenta la Comisión y son de conocimiento público.</w:t>
      </w:r>
    </w:p>
    <w:p w14:paraId="213C67D3" w14:textId="77777777" w:rsidR="00117EE3" w:rsidRPr="00C03235" w:rsidRDefault="00117EE3" w:rsidP="00CC606A">
      <w:pPr>
        <w:jc w:val="both"/>
      </w:pPr>
    </w:p>
    <w:p w14:paraId="39E45EB3" w14:textId="768141A1" w:rsidR="00CC606A" w:rsidRPr="00C03235" w:rsidRDefault="00CC606A" w:rsidP="00A91630">
      <w:pPr>
        <w:pStyle w:val="Prrafodelista"/>
        <w:numPr>
          <w:ilvl w:val="2"/>
          <w:numId w:val="16"/>
        </w:numPr>
        <w:tabs>
          <w:tab w:val="left" w:pos="1134"/>
        </w:tabs>
        <w:jc w:val="both"/>
        <w:rPr>
          <w:bCs/>
          <w:sz w:val="24"/>
          <w:szCs w:val="24"/>
        </w:rPr>
      </w:pPr>
      <w:r w:rsidRPr="00C03235">
        <w:rPr>
          <w:b/>
          <w:bCs/>
          <w:i/>
          <w:iCs/>
          <w:sz w:val="24"/>
          <w:szCs w:val="24"/>
        </w:rPr>
        <w:t>No existen elementos que permiten definir la idoneidad del documento CREG 092 de 2019 para ser utilizado como base metodológica de cálculo de los cargos máximos en la prestación del servicio.</w:t>
      </w:r>
    </w:p>
    <w:p w14:paraId="55E0AD7B" w14:textId="77777777" w:rsidR="00B810D5" w:rsidRPr="00C03235" w:rsidRDefault="00B810D5" w:rsidP="00CC606A">
      <w:pPr>
        <w:jc w:val="both"/>
      </w:pPr>
    </w:p>
    <w:p w14:paraId="78AB8AE6" w14:textId="064D3705" w:rsidR="00A91630" w:rsidRDefault="00A53CA5" w:rsidP="0016145A">
      <w:pPr>
        <w:spacing w:line="259" w:lineRule="auto"/>
        <w:jc w:val="both"/>
      </w:pPr>
      <w:r w:rsidRPr="00C03235">
        <w:t xml:space="preserve">Tal como se ha </w:t>
      </w:r>
      <w:r w:rsidR="0052747F" w:rsidRPr="00C03235">
        <w:t>indicado anteriormente</w:t>
      </w:r>
      <w:r w:rsidRPr="00C03235">
        <w:t>, e</w:t>
      </w:r>
      <w:r w:rsidR="0016145A" w:rsidRPr="00C03235">
        <w:t>l cargo</w:t>
      </w:r>
      <w:r w:rsidRPr="00C03235">
        <w:t xml:space="preserve"> de generación del mercado de Unguía y los corregimientos de Gilgal, Santa María y Tanela</w:t>
      </w:r>
      <w:r w:rsidR="0016145A" w:rsidRPr="00C03235">
        <w:t xml:space="preserve"> utilizado como referencia </w:t>
      </w:r>
      <w:r w:rsidR="003D7912" w:rsidRPr="00C03235">
        <w:t xml:space="preserve">para la determinación del </w:t>
      </w:r>
      <w:r w:rsidR="0016145A" w:rsidRPr="00C03235">
        <w:t xml:space="preserve">cargo de generación </w:t>
      </w:r>
      <w:r w:rsidR="003D7912" w:rsidRPr="00C03235">
        <w:t>de Nazareth y Puerto Estrell</w:t>
      </w:r>
      <w:r w:rsidR="00AF16D2" w:rsidRPr="00C03235">
        <w:t>a</w:t>
      </w:r>
      <w:r w:rsidR="002C1610" w:rsidRPr="00C03235">
        <w:t xml:space="preserve">, </w:t>
      </w:r>
      <w:r w:rsidR="0016145A" w:rsidRPr="00C03235">
        <w:t>goza de legalidad</w:t>
      </w:r>
      <w:r w:rsidR="005A0CBC" w:rsidRPr="00C03235">
        <w:t>,</w:t>
      </w:r>
      <w:r w:rsidR="0016145A" w:rsidRPr="00C03235">
        <w:t xml:space="preserve"> cumple con los criterios para definir el régimen tarifario, entre otros, los de eficiencia economía y suficiencia financiera</w:t>
      </w:r>
      <w:r w:rsidR="00432DEE" w:rsidRPr="00C03235">
        <w:t>, y</w:t>
      </w:r>
      <w:r w:rsidR="0016145A" w:rsidRPr="00C03235">
        <w:t xml:space="preserve"> fue aprobado por la Comisión mediante </w:t>
      </w:r>
      <w:r w:rsidR="006C41AC">
        <w:t>R</w:t>
      </w:r>
      <w:r w:rsidR="0016145A" w:rsidRPr="00C03235">
        <w:t>esolución CREG 136 del 2019.</w:t>
      </w:r>
      <w:r w:rsidR="00B77C76" w:rsidRPr="00C03235">
        <w:t xml:space="preserve"> </w:t>
      </w:r>
      <w:r w:rsidR="00A23FDB" w:rsidRPr="00C03235">
        <w:t>Así mismo</w:t>
      </w:r>
      <w:r w:rsidR="00C46C23" w:rsidRPr="00C03235">
        <w:t>, e</w:t>
      </w:r>
      <w:r w:rsidR="003B74F1" w:rsidRPr="00C03235">
        <w:t xml:space="preserve">l cargo de Unguía se soportó mediante información </w:t>
      </w:r>
      <w:r w:rsidR="00787641" w:rsidRPr="00C03235">
        <w:t xml:space="preserve">allegada a esta Comisión </w:t>
      </w:r>
      <w:r w:rsidR="00CD63E7" w:rsidRPr="00C03235">
        <w:t xml:space="preserve">en calidad de estudios suficientes de acuerdo con el </w:t>
      </w:r>
      <w:r w:rsidR="0004737A" w:rsidRPr="00C03235">
        <w:t>artículo 124, numeral 124.2, de la Ley 142 de 1994</w:t>
      </w:r>
      <w:r w:rsidR="00DB10FD" w:rsidRPr="00C03235">
        <w:t>.</w:t>
      </w:r>
    </w:p>
    <w:p w14:paraId="5D39A089" w14:textId="77777777" w:rsidR="00A91630" w:rsidRDefault="00A91630" w:rsidP="0016145A">
      <w:pPr>
        <w:spacing w:line="259" w:lineRule="auto"/>
        <w:jc w:val="both"/>
      </w:pPr>
    </w:p>
    <w:p w14:paraId="49C2E165" w14:textId="06D0A14F" w:rsidR="0016145A" w:rsidRPr="00C03235" w:rsidRDefault="00601BE4" w:rsidP="0016145A">
      <w:pPr>
        <w:spacing w:line="259" w:lineRule="auto"/>
        <w:jc w:val="both"/>
      </w:pPr>
      <w:r w:rsidRPr="00C03235">
        <w:t>No obstante</w:t>
      </w:r>
      <w:r w:rsidR="00D3008A" w:rsidRPr="00C03235">
        <w:t>,</w:t>
      </w:r>
      <w:r w:rsidR="00D82B23" w:rsidRPr="00C03235">
        <w:t xml:space="preserve"> la información aportada por la empresa para la determinación del cargo de </w:t>
      </w:r>
      <w:r w:rsidR="00F42347" w:rsidRPr="00C03235">
        <w:t>Unguía</w:t>
      </w:r>
      <w:r w:rsidR="00D82B23" w:rsidRPr="00C03235">
        <w:t xml:space="preserve"> y </w:t>
      </w:r>
      <w:r w:rsidR="00F42347" w:rsidRPr="00C03235">
        <w:t xml:space="preserve">de </w:t>
      </w:r>
      <w:r w:rsidR="00D82B23" w:rsidRPr="00C03235">
        <w:t>lo</w:t>
      </w:r>
      <w:r w:rsidR="001F50F5" w:rsidRPr="00C03235">
        <w:t>s</w:t>
      </w:r>
      <w:r w:rsidR="00D82B23" w:rsidRPr="00C03235">
        <w:t xml:space="preserve"> demás corregimientos </w:t>
      </w:r>
      <w:r w:rsidR="00BA6CDC" w:rsidRPr="00C03235">
        <w:t xml:space="preserve">contine </w:t>
      </w:r>
      <w:r w:rsidR="000667C0" w:rsidRPr="00C03235">
        <w:t>información catalogada como secretos industriales y comerciales</w:t>
      </w:r>
      <w:r w:rsidR="0067159C" w:rsidRPr="00C03235">
        <w:t xml:space="preserve">, por lo que se maneja bajo </w:t>
      </w:r>
      <w:r w:rsidR="00D82B23" w:rsidRPr="00C03235">
        <w:t>reserva</w:t>
      </w:r>
      <w:r w:rsidR="00F42347" w:rsidRPr="00C03235">
        <w:t>.</w:t>
      </w:r>
      <w:r w:rsidR="00C04D2E" w:rsidRPr="00C03235">
        <w:t xml:space="preserve"> La información que puede ser compartida ya fue debidamente incorporada a</w:t>
      </w:r>
      <w:r w:rsidR="00F636F4" w:rsidRPr="00C03235">
        <w:t>l</w:t>
      </w:r>
      <w:r w:rsidR="00C04D2E" w:rsidRPr="00C03235">
        <w:t xml:space="preserve"> expediente de esta actuación administra</w:t>
      </w:r>
      <w:r w:rsidR="006142F7" w:rsidRPr="00C03235">
        <w:t>tiva.</w:t>
      </w:r>
    </w:p>
    <w:p w14:paraId="0B0420C2" w14:textId="77777777" w:rsidR="00D42050" w:rsidRPr="00C03235" w:rsidRDefault="00D42050" w:rsidP="00CC606A">
      <w:pPr>
        <w:jc w:val="both"/>
      </w:pPr>
    </w:p>
    <w:p w14:paraId="7A5DB74C" w14:textId="0AB4A274" w:rsidR="00CC606A" w:rsidRPr="00C03235" w:rsidRDefault="00CC606A" w:rsidP="00A91630">
      <w:pPr>
        <w:pStyle w:val="Prrafodelista"/>
        <w:numPr>
          <w:ilvl w:val="2"/>
          <w:numId w:val="16"/>
        </w:numPr>
        <w:tabs>
          <w:tab w:val="left" w:pos="1134"/>
        </w:tabs>
        <w:jc w:val="both"/>
        <w:rPr>
          <w:bCs/>
          <w:sz w:val="24"/>
          <w:szCs w:val="24"/>
        </w:rPr>
      </w:pPr>
      <w:r w:rsidRPr="00C03235">
        <w:rPr>
          <w:b/>
          <w:bCs/>
          <w:i/>
          <w:iCs/>
          <w:sz w:val="24"/>
          <w:szCs w:val="24"/>
        </w:rPr>
        <w:t>Recordar a la CREG lo dispuesto en el artículo 87 de la ley 142 de 1994 relacionado con el criterio de suficiencia financiera el cual toma base en el precepto constitucional para garantizar que exista una relación directa entre las tarifas y los costos relacionados a la prestación de un servicio domiciliario.</w:t>
      </w:r>
    </w:p>
    <w:p w14:paraId="65231782" w14:textId="77777777" w:rsidR="00F61891" w:rsidRPr="00C03235" w:rsidRDefault="00F61891" w:rsidP="00F61891">
      <w:pPr>
        <w:spacing w:line="259" w:lineRule="auto"/>
        <w:jc w:val="both"/>
      </w:pPr>
    </w:p>
    <w:p w14:paraId="3EF2BEB6" w14:textId="1CA65A60" w:rsidR="00F4253D" w:rsidRPr="00C03235" w:rsidRDefault="00F4253D" w:rsidP="00F61891">
      <w:pPr>
        <w:spacing w:line="259" w:lineRule="auto"/>
        <w:jc w:val="both"/>
      </w:pPr>
      <w:r w:rsidRPr="00C03235">
        <w:t>L</w:t>
      </w:r>
      <w:r w:rsidR="346F27ED" w:rsidRPr="00C03235">
        <w:t xml:space="preserve">a Comisión no desconoce el criterio de suficiencia financiera definido en el artículo 87 de la Ley 142 de 1994, </w:t>
      </w:r>
      <w:r w:rsidR="00137A4D">
        <w:t>pues se</w:t>
      </w:r>
      <w:r w:rsidR="00137A4D" w:rsidRPr="00C03235">
        <w:t xml:space="preserve"> </w:t>
      </w:r>
      <w:r w:rsidR="004B4752" w:rsidRPr="00C03235">
        <w:t>tom</w:t>
      </w:r>
      <w:r w:rsidR="00137A4D">
        <w:t>ó</w:t>
      </w:r>
      <w:r w:rsidR="004B4752" w:rsidRPr="00C03235">
        <w:t xml:space="preserve"> como referencia un cargo que goza de legalidad y cumple con los criterios tarifarios, entre estos con l</w:t>
      </w:r>
      <w:r w:rsidR="00AC6106" w:rsidRPr="00C03235">
        <w:t>os</w:t>
      </w:r>
      <w:r w:rsidR="004B4752" w:rsidRPr="00C03235">
        <w:t xml:space="preserve"> de suficiencia financiera</w:t>
      </w:r>
      <w:r w:rsidR="00AC6106" w:rsidRPr="00C03235">
        <w:t xml:space="preserve"> y eficiencia económica. Adicionalmente</w:t>
      </w:r>
      <w:r w:rsidR="00137A4D">
        <w:t>,</w:t>
      </w:r>
      <w:r w:rsidR="00AC6106" w:rsidRPr="00C03235">
        <w:t xml:space="preserve"> se considera</w:t>
      </w:r>
      <w:r w:rsidR="00137A4D">
        <w:t>ron</w:t>
      </w:r>
      <w:r w:rsidR="00AC6106" w:rsidRPr="00C03235">
        <w:t xml:space="preserve"> las condiciones particulares de la disponibilidad del recurso solar de Nazareth</w:t>
      </w:r>
      <w:r w:rsidR="00CB7EA2" w:rsidRPr="00C03235">
        <w:t xml:space="preserve"> y los respectivos costos de transporte de la infraestructura, como componente del </w:t>
      </w:r>
      <w:r w:rsidR="00CB7EA2" w:rsidRPr="00C03235">
        <w:lastRenderedPageBreak/>
        <w:t>valor de las inversiones, garantizando que existe relación directa entre el cargo definido y los costos relacionados con la prestación del servicio domiciliario.</w:t>
      </w:r>
    </w:p>
    <w:p w14:paraId="1A03442F" w14:textId="77777777" w:rsidR="00F94C08" w:rsidRPr="00C03235" w:rsidRDefault="00F94C08" w:rsidP="00F61891">
      <w:pPr>
        <w:spacing w:line="259" w:lineRule="auto"/>
        <w:jc w:val="both"/>
      </w:pPr>
    </w:p>
    <w:p w14:paraId="223CE745" w14:textId="0B0A8F04" w:rsidR="00CC606A" w:rsidRPr="00C03235" w:rsidRDefault="00CC606A" w:rsidP="009B6A6C">
      <w:pPr>
        <w:pStyle w:val="Prrafodelista"/>
        <w:numPr>
          <w:ilvl w:val="2"/>
          <w:numId w:val="16"/>
        </w:numPr>
        <w:jc w:val="both"/>
        <w:rPr>
          <w:bCs/>
          <w:sz w:val="24"/>
          <w:szCs w:val="24"/>
        </w:rPr>
      </w:pPr>
      <w:r w:rsidRPr="00C03235">
        <w:rPr>
          <w:b/>
          <w:bCs/>
          <w:i/>
          <w:iCs/>
          <w:sz w:val="24"/>
          <w:szCs w:val="24"/>
        </w:rPr>
        <w:t>La regulación tiene la obligación de diseñar el sistema tarifario atendiendo a la relación directa que este debe tener con los costos asociados a la prestación y operación de los servicios públicos domiciliarios.</w:t>
      </w:r>
    </w:p>
    <w:p w14:paraId="71FB86BE" w14:textId="77777777" w:rsidR="00EB465D" w:rsidRPr="00C03235" w:rsidRDefault="00EB465D" w:rsidP="00CC606A">
      <w:pPr>
        <w:jc w:val="both"/>
      </w:pPr>
    </w:p>
    <w:p w14:paraId="665FFBC0" w14:textId="77777777" w:rsidR="00B82BA2" w:rsidRPr="00C03235" w:rsidRDefault="00B97CE9" w:rsidP="00B97CE9">
      <w:pPr>
        <w:jc w:val="both"/>
      </w:pPr>
      <w:r w:rsidRPr="00C03235">
        <w:t xml:space="preserve">Con el fin de cumplir con el régimen tarifario, esta Comisión se </w:t>
      </w:r>
      <w:r w:rsidR="00762344" w:rsidRPr="00C03235">
        <w:t>ciñe</w:t>
      </w:r>
      <w:r w:rsidRPr="00C03235">
        <w:t xml:space="preserve"> a lo establecido en la Ley 142 de 1994, teniendo en cuenta que para la determinación de los cargos tarifarios se incluye la información aportada por los peticionarios en calidad de estudios suficientes de acuerdo con el artículo 124, numeral 124.2 de dicha Ley</w:t>
      </w:r>
      <w:r w:rsidR="00BF1576" w:rsidRPr="00C03235">
        <w:t>.</w:t>
      </w:r>
    </w:p>
    <w:p w14:paraId="2F162883" w14:textId="77777777" w:rsidR="00B82BA2" w:rsidRPr="00C03235" w:rsidRDefault="00B82BA2" w:rsidP="00B97CE9">
      <w:pPr>
        <w:jc w:val="both"/>
      </w:pPr>
    </w:p>
    <w:p w14:paraId="3B33A26F" w14:textId="7C16766A" w:rsidR="00C75045" w:rsidRPr="00C03235" w:rsidRDefault="00BF1576" w:rsidP="00B97CE9">
      <w:pPr>
        <w:jc w:val="both"/>
      </w:pPr>
      <w:r w:rsidRPr="00C03235">
        <w:t xml:space="preserve">De igual manera, con el propósito </w:t>
      </w:r>
      <w:r w:rsidR="00861441" w:rsidRPr="00C03235">
        <w:t xml:space="preserve">ampliar la información </w:t>
      </w:r>
      <w:r w:rsidRPr="00C03235">
        <w:t xml:space="preserve">con </w:t>
      </w:r>
      <w:r w:rsidR="00861441" w:rsidRPr="00C03235">
        <w:t>la que cuenta la Comisión</w:t>
      </w:r>
      <w:r w:rsidR="009D436C">
        <w:t>,</w:t>
      </w:r>
      <w:r w:rsidR="00B97CE9" w:rsidRPr="00C03235">
        <w:t xml:space="preserve"> se han realizado estudios </w:t>
      </w:r>
      <w:r w:rsidR="005D1000" w:rsidRPr="00C03235">
        <w:t xml:space="preserve">para determinar </w:t>
      </w:r>
      <w:r w:rsidR="00C75045" w:rsidRPr="00C03235">
        <w:t xml:space="preserve">los costos eficientes de la prestación del servicio. </w:t>
      </w:r>
      <w:r w:rsidR="00A91312" w:rsidRPr="00C03235">
        <w:t>Sobre est</w:t>
      </w:r>
      <w:r w:rsidR="009D436C">
        <w:t>e</w:t>
      </w:r>
      <w:r w:rsidR="00A91312" w:rsidRPr="00C03235">
        <w:t xml:space="preserve"> particular </w:t>
      </w:r>
      <w:r w:rsidR="004D7C73" w:rsidRPr="00C03235">
        <w:t xml:space="preserve">se tienen los resultados </w:t>
      </w:r>
      <w:r w:rsidR="00C75045" w:rsidRPr="00C03235">
        <w:t>de la “Consultoría para el desarrollo de un modelo de cálculo para la determinación del costo eficiente de la prestación del servicio de energía eléctrica a través de la atención a usuarios mediante soluciones aisladas centralizadas o individuales”</w:t>
      </w:r>
      <w:r w:rsidR="00A9154C" w:rsidRPr="00C03235">
        <w:t>. Los informes</w:t>
      </w:r>
      <w:r w:rsidR="003E0735" w:rsidRPr="00C03235">
        <w:t xml:space="preserve">, modelos y demás productos de esta consultoría fueron puestos en </w:t>
      </w:r>
      <w:r w:rsidR="008525E4" w:rsidRPr="00C03235">
        <w:t xml:space="preserve">conocimiento del público mediante </w:t>
      </w:r>
      <w:r w:rsidR="004163F6" w:rsidRPr="00C03235">
        <w:t xml:space="preserve">Circular </w:t>
      </w:r>
      <w:r w:rsidR="000D24DD" w:rsidRPr="00C03235">
        <w:t xml:space="preserve">CREG </w:t>
      </w:r>
      <w:r w:rsidR="004163F6" w:rsidRPr="00C03235">
        <w:t>040 de 20</w:t>
      </w:r>
      <w:r w:rsidR="00DB7505" w:rsidRPr="00C03235">
        <w:t>21.</w:t>
      </w:r>
    </w:p>
    <w:p w14:paraId="659D589E" w14:textId="77777777" w:rsidR="00B82BA2" w:rsidRPr="00C03235" w:rsidRDefault="00B82BA2" w:rsidP="00B97CE9">
      <w:pPr>
        <w:jc w:val="both"/>
      </w:pPr>
    </w:p>
    <w:p w14:paraId="51F2A4E4" w14:textId="4B995EB5" w:rsidR="00B97CE9" w:rsidRPr="00C03235" w:rsidRDefault="00F67993" w:rsidP="00B97CE9">
      <w:pPr>
        <w:jc w:val="both"/>
      </w:pPr>
      <w:r w:rsidRPr="00C03235">
        <w:t xml:space="preserve">En ese sentido, </w:t>
      </w:r>
      <w:r w:rsidR="004B6C04" w:rsidRPr="00C03235">
        <w:t>la Comisión cuenta con las herramientas suficientes para determinar cargos tarifarios</w:t>
      </w:r>
      <w:r w:rsidRPr="00C03235">
        <w:t xml:space="preserve">, </w:t>
      </w:r>
      <w:r w:rsidR="00E30C4D" w:rsidRPr="00C03235">
        <w:t>garantizando el cumplimiento de</w:t>
      </w:r>
      <w:r w:rsidR="00B97CE9" w:rsidRPr="00C03235">
        <w:t xml:space="preserve"> los criterios del régimen tarifario</w:t>
      </w:r>
      <w:r w:rsidR="00543FE0" w:rsidRPr="00C03235">
        <w:t xml:space="preserve"> previstos en la Ley</w:t>
      </w:r>
      <w:r w:rsidR="00B97CE9" w:rsidRPr="00C03235">
        <w:t xml:space="preserve">, </w:t>
      </w:r>
      <w:r w:rsidR="00F1020D" w:rsidRPr="00C03235">
        <w:t xml:space="preserve">entre otros, los de </w:t>
      </w:r>
      <w:r w:rsidR="00B97CE9" w:rsidRPr="00C03235">
        <w:t>suficiencia financiera y eficiencia económica.</w:t>
      </w:r>
    </w:p>
    <w:p w14:paraId="4BF9BEDF" w14:textId="77777777" w:rsidR="0084647D" w:rsidRPr="00C03235" w:rsidRDefault="0084647D" w:rsidP="00CC606A">
      <w:pPr>
        <w:jc w:val="both"/>
      </w:pPr>
    </w:p>
    <w:p w14:paraId="3867E41C" w14:textId="5E37A87C" w:rsidR="00CC606A" w:rsidRPr="00C03235" w:rsidRDefault="346F27ED" w:rsidP="004C3F5E">
      <w:pPr>
        <w:pStyle w:val="Prrafodelista"/>
        <w:numPr>
          <w:ilvl w:val="2"/>
          <w:numId w:val="16"/>
        </w:numPr>
        <w:tabs>
          <w:tab w:val="left" w:pos="1134"/>
        </w:tabs>
        <w:jc w:val="both"/>
        <w:rPr>
          <w:b/>
          <w:bCs/>
          <w:i/>
          <w:iCs/>
          <w:sz w:val="24"/>
          <w:szCs w:val="24"/>
        </w:rPr>
      </w:pPr>
      <w:r w:rsidRPr="00C03235">
        <w:rPr>
          <w:b/>
          <w:bCs/>
          <w:i/>
          <w:iCs/>
          <w:sz w:val="24"/>
          <w:szCs w:val="24"/>
        </w:rPr>
        <w:t>Como hemos demostrado en este escrito, y según las pruebas que obran en el ex</w:t>
      </w:r>
      <w:r w:rsidR="00C5085F" w:rsidRPr="00C03235">
        <w:rPr>
          <w:b/>
          <w:bCs/>
          <w:i/>
          <w:iCs/>
          <w:sz w:val="24"/>
          <w:szCs w:val="24"/>
        </w:rPr>
        <w:t>p</w:t>
      </w:r>
      <w:r w:rsidRPr="00C03235">
        <w:rPr>
          <w:b/>
          <w:bCs/>
          <w:i/>
          <w:iCs/>
          <w:sz w:val="24"/>
          <w:szCs w:val="24"/>
        </w:rPr>
        <w:t>ed</w:t>
      </w:r>
      <w:r w:rsidR="00C5085F" w:rsidRPr="00C03235">
        <w:rPr>
          <w:b/>
          <w:bCs/>
          <w:i/>
          <w:iCs/>
          <w:sz w:val="24"/>
          <w:szCs w:val="24"/>
        </w:rPr>
        <w:t>i</w:t>
      </w:r>
      <w:r w:rsidRPr="00C03235">
        <w:rPr>
          <w:b/>
          <w:bCs/>
          <w:i/>
          <w:iCs/>
          <w:sz w:val="24"/>
          <w:szCs w:val="24"/>
        </w:rPr>
        <w:t>ente tarifario de la actuación administrativa en referencia, la definición de los cargos máximos en la resolución impugnada no atiende a criterios específicos y relevantes para la prestación del servicio en Nazareth y Puerto Estrella, puesto que exclusivamente pretende la extensión de otros cargos tarifarios, para la prestación del servicio en otro departamento del país, al caso de Nazareth y Puerto Estrella</w:t>
      </w:r>
    </w:p>
    <w:p w14:paraId="4F103F44" w14:textId="77777777" w:rsidR="00CC606A" w:rsidRPr="00C03235" w:rsidRDefault="00CC606A" w:rsidP="00CC606A">
      <w:pPr>
        <w:jc w:val="both"/>
      </w:pPr>
    </w:p>
    <w:p w14:paraId="146C9A17" w14:textId="03944212" w:rsidR="007A6CCC" w:rsidRPr="00C03235" w:rsidRDefault="00F37376" w:rsidP="00AF4EAB">
      <w:pPr>
        <w:spacing w:line="259" w:lineRule="auto"/>
        <w:jc w:val="both"/>
      </w:pPr>
      <w:r w:rsidRPr="00C03235">
        <w:t xml:space="preserve">Partiendo de </w:t>
      </w:r>
      <w:r w:rsidR="00831D64" w:rsidRPr="00C03235">
        <w:t xml:space="preserve">lo </w:t>
      </w:r>
      <w:r w:rsidR="00BD3471" w:rsidRPr="00C03235">
        <w:t>ya men</w:t>
      </w:r>
      <w:r w:rsidR="0098094E" w:rsidRPr="00C03235">
        <w:t xml:space="preserve">cionado </w:t>
      </w:r>
      <w:r w:rsidR="00831D64" w:rsidRPr="00C03235">
        <w:t xml:space="preserve">en el numeral </w:t>
      </w:r>
      <w:r w:rsidR="009E2CC3" w:rsidRPr="00C03235">
        <w:t>3.</w:t>
      </w:r>
      <w:r w:rsidR="009F424E" w:rsidRPr="00C03235">
        <w:t>3.1 de la parte considerativa de la presente resolución</w:t>
      </w:r>
      <w:r w:rsidR="00831D64" w:rsidRPr="00C03235">
        <w:t>,</w:t>
      </w:r>
      <w:r w:rsidR="009F424E" w:rsidRPr="00C03235">
        <w:t xml:space="preserve"> </w:t>
      </w:r>
      <w:r w:rsidR="00831D64" w:rsidRPr="00C03235">
        <w:t>esta Comisión</w:t>
      </w:r>
      <w:r w:rsidR="00045C62" w:rsidRPr="00C03235">
        <w:t xml:space="preserve"> </w:t>
      </w:r>
      <w:r w:rsidR="007A6CCC" w:rsidRPr="00C03235">
        <w:t xml:space="preserve">demuestra </w:t>
      </w:r>
      <w:r w:rsidR="00AF4EAB" w:rsidRPr="00C03235">
        <w:t xml:space="preserve">que </w:t>
      </w:r>
      <w:r w:rsidR="00DE605B" w:rsidRPr="00C03235">
        <w:t xml:space="preserve">la metodología utilizada para determinar los cargos </w:t>
      </w:r>
      <w:r w:rsidR="0026572C">
        <w:t xml:space="preserve">de generación </w:t>
      </w:r>
      <w:r w:rsidR="009C3292" w:rsidRPr="00C03235">
        <w:t>de la</w:t>
      </w:r>
      <w:r w:rsidR="009C3292" w:rsidRPr="00C03235">
        <w:rPr>
          <w:b/>
          <w:bCs/>
          <w:color w:val="FF0000"/>
        </w:rPr>
        <w:t xml:space="preserve"> </w:t>
      </w:r>
      <w:r w:rsidR="009C3292" w:rsidRPr="00C872BE">
        <w:t>Resolución CREG 501 004 de 2023</w:t>
      </w:r>
      <w:r w:rsidR="00DE605B" w:rsidRPr="00C872BE">
        <w:t xml:space="preserve"> atiende a criterios específicos y relevantes para la </w:t>
      </w:r>
      <w:r w:rsidR="00DE605B" w:rsidRPr="00C03235">
        <w:t>prestación del servicio en Nazareth y Puerto Estrella</w:t>
      </w:r>
      <w:r w:rsidR="00051DC1" w:rsidRPr="00C03235">
        <w:t>.</w:t>
      </w:r>
    </w:p>
    <w:p w14:paraId="528192CC" w14:textId="77777777" w:rsidR="007A6CCC" w:rsidRPr="00C03235" w:rsidRDefault="007A6CCC" w:rsidP="00AF4EAB">
      <w:pPr>
        <w:spacing w:line="259" w:lineRule="auto"/>
        <w:jc w:val="both"/>
      </w:pPr>
    </w:p>
    <w:p w14:paraId="1981C2A5" w14:textId="0A191076" w:rsidR="005F1A45" w:rsidRPr="00C03235" w:rsidRDefault="004C2202" w:rsidP="00AF4EAB">
      <w:pPr>
        <w:spacing w:line="259" w:lineRule="auto"/>
        <w:jc w:val="both"/>
      </w:pPr>
      <w:r w:rsidRPr="00C03235">
        <w:t xml:space="preserve">Aunque </w:t>
      </w:r>
      <w:r w:rsidR="00AF4EAB" w:rsidRPr="00C03235">
        <w:t xml:space="preserve">se </w:t>
      </w:r>
      <w:r w:rsidR="00831D64" w:rsidRPr="00C03235">
        <w:t>tom</w:t>
      </w:r>
      <w:r w:rsidR="007077A9" w:rsidRPr="00C03235">
        <w:t>aron</w:t>
      </w:r>
      <w:r w:rsidR="00831D64" w:rsidRPr="00C03235">
        <w:t xml:space="preserve"> como referencia los cargos de generación del mercado de Unguía</w:t>
      </w:r>
      <w:r w:rsidR="007D68A0" w:rsidRPr="00C03235">
        <w:t xml:space="preserve">, </w:t>
      </w:r>
      <w:r w:rsidR="00904C46" w:rsidRPr="00C03235">
        <w:t>cargos</w:t>
      </w:r>
      <w:r w:rsidR="00231A70" w:rsidRPr="00C03235">
        <w:t xml:space="preserve"> que gozan de legalidad que cumplen con todos los criterios tarifarios que establece la Ley, </w:t>
      </w:r>
      <w:r w:rsidR="007D68A0" w:rsidRPr="00C03235">
        <w:t xml:space="preserve">con el fin de </w:t>
      </w:r>
      <w:r w:rsidR="00831D64" w:rsidRPr="00C03235">
        <w:t>determina</w:t>
      </w:r>
      <w:r w:rsidR="007D68A0" w:rsidRPr="00C03235">
        <w:t xml:space="preserve">r </w:t>
      </w:r>
      <w:r w:rsidR="00AF4EAB" w:rsidRPr="00C03235">
        <w:t>l</w:t>
      </w:r>
      <w:r w:rsidR="004C5E45" w:rsidRPr="00C03235">
        <w:t>os</w:t>
      </w:r>
      <w:r w:rsidR="00831D64" w:rsidRPr="00C03235">
        <w:t xml:space="preserve"> cargo</w:t>
      </w:r>
      <w:r w:rsidR="004C5E45" w:rsidRPr="00C03235">
        <w:t>s</w:t>
      </w:r>
      <w:r w:rsidR="00831D64" w:rsidRPr="00C03235">
        <w:t xml:space="preserve"> de generación del mercado de Nazareth </w:t>
      </w:r>
      <w:r w:rsidR="00AF4EAB" w:rsidRPr="00C03235">
        <w:t>y Puerto Estrella</w:t>
      </w:r>
      <w:r w:rsidR="00160931" w:rsidRPr="00C03235">
        <w:t>,</w:t>
      </w:r>
      <w:r w:rsidR="009D3126" w:rsidRPr="00C03235">
        <w:t xml:space="preserve"> se</w:t>
      </w:r>
      <w:r w:rsidR="00831D64" w:rsidRPr="00C03235">
        <w:t xml:space="preserve"> incorpora</w:t>
      </w:r>
      <w:r w:rsidR="006766B9" w:rsidRPr="00C03235">
        <w:t>n</w:t>
      </w:r>
      <w:r w:rsidR="00831D64" w:rsidRPr="00C03235">
        <w:t xml:space="preserve"> las condiciones particulares </w:t>
      </w:r>
      <w:r w:rsidR="00160931" w:rsidRPr="00C03235">
        <w:t xml:space="preserve">de operación </w:t>
      </w:r>
      <w:r w:rsidR="00831D64" w:rsidRPr="00C03235">
        <w:t xml:space="preserve">del mercado de Nazareth </w:t>
      </w:r>
      <w:r w:rsidR="00DE6D96" w:rsidRPr="00C03235">
        <w:t xml:space="preserve">lo </w:t>
      </w:r>
      <w:r w:rsidR="00815556" w:rsidRPr="00C03235">
        <w:t xml:space="preserve">que </w:t>
      </w:r>
      <w:r w:rsidR="00A10956" w:rsidRPr="00C03235">
        <w:t>garantiza que se está</w:t>
      </w:r>
      <w:r w:rsidR="00781348" w:rsidRPr="00C03235">
        <w:t>n</w:t>
      </w:r>
      <w:r w:rsidR="00A10956" w:rsidRPr="00C03235">
        <w:t xml:space="preserve"> </w:t>
      </w:r>
      <w:r w:rsidR="00A97558" w:rsidRPr="00C03235">
        <w:t>atendiendo</w:t>
      </w:r>
      <w:r w:rsidR="002B3C4D" w:rsidRPr="00C03235">
        <w:t xml:space="preserve"> </w:t>
      </w:r>
      <w:r w:rsidR="00A97558" w:rsidRPr="00C03235">
        <w:t>los</w:t>
      </w:r>
      <w:r w:rsidR="002B3C4D" w:rsidRPr="00C03235">
        <w:t xml:space="preserve"> criterios específicos y relevantes para la prestación del servicio en </w:t>
      </w:r>
      <w:r w:rsidR="00F61C75" w:rsidRPr="00C03235">
        <w:t>dicho mercado</w:t>
      </w:r>
      <w:r w:rsidR="00A97558" w:rsidRPr="00C03235">
        <w:t>.</w:t>
      </w:r>
      <w:r w:rsidR="0065757C" w:rsidRPr="00C03235">
        <w:t xml:space="preserve"> </w:t>
      </w:r>
    </w:p>
    <w:p w14:paraId="19630A00" w14:textId="77777777" w:rsidR="005F1A45" w:rsidRPr="00C03235" w:rsidRDefault="005F1A45" w:rsidP="00AF4EAB">
      <w:pPr>
        <w:spacing w:line="259" w:lineRule="auto"/>
        <w:jc w:val="both"/>
      </w:pPr>
    </w:p>
    <w:p w14:paraId="36E2ED4F" w14:textId="303F0DD1" w:rsidR="000F2B82" w:rsidRPr="00C03235" w:rsidRDefault="6748E1AF" w:rsidP="001D1FB1">
      <w:pPr>
        <w:pStyle w:val="Textodebloque"/>
        <w:spacing w:after="0"/>
        <w:ind w:right="6"/>
        <w:rPr>
          <w:rFonts w:ascii="Bookman Old Style" w:hAnsi="Bookman Old Style"/>
          <w:lang w:val="es-CO"/>
        </w:rPr>
      </w:pPr>
      <w:r w:rsidRPr="00C03235">
        <w:rPr>
          <w:rFonts w:ascii="Bookman Old Style" w:hAnsi="Bookman Old Style"/>
          <w:lang w:val="es-CO"/>
        </w:rPr>
        <w:t xml:space="preserve">De acuerdo con lo anteriormente expuesto, la </w:t>
      </w:r>
      <w:r w:rsidR="00CD396A" w:rsidRPr="00C03235">
        <w:rPr>
          <w:rFonts w:ascii="Bookman Old Style" w:hAnsi="Bookman Old Style"/>
          <w:lang w:val="es-CO"/>
        </w:rPr>
        <w:t>C</w:t>
      </w:r>
      <w:r w:rsidRPr="00C03235">
        <w:rPr>
          <w:rFonts w:ascii="Bookman Old Style" w:hAnsi="Bookman Old Style"/>
          <w:lang w:val="es-CO"/>
        </w:rPr>
        <w:t xml:space="preserve">omisión repone parcialmente </w:t>
      </w:r>
      <w:r w:rsidR="1120FBE6" w:rsidRPr="00C03235">
        <w:rPr>
          <w:rFonts w:ascii="Bookman Old Style" w:hAnsi="Bookman Old Style"/>
          <w:lang w:val="es-CO"/>
        </w:rPr>
        <w:t xml:space="preserve">la </w:t>
      </w:r>
      <w:r w:rsidR="009D436C">
        <w:rPr>
          <w:rFonts w:ascii="Bookman Old Style" w:hAnsi="Bookman Old Style"/>
          <w:lang w:val="es-CO"/>
        </w:rPr>
        <w:t>R</w:t>
      </w:r>
      <w:r w:rsidR="1120FBE6" w:rsidRPr="00C03235">
        <w:rPr>
          <w:rFonts w:ascii="Bookman Old Style" w:hAnsi="Bookman Old Style"/>
          <w:lang w:val="es-CO"/>
        </w:rPr>
        <w:t>esolución CREG 501 004 del 2023,</w:t>
      </w:r>
      <w:r w:rsidR="4F61A502" w:rsidRPr="00C03235">
        <w:rPr>
          <w:rFonts w:ascii="Bookman Old Style" w:hAnsi="Bookman Old Style"/>
          <w:lang w:val="es-CO"/>
        </w:rPr>
        <w:t xml:space="preserve"> en los siguientes términos:</w:t>
      </w:r>
    </w:p>
    <w:p w14:paraId="535F38DB" w14:textId="27BD530D" w:rsidR="000F2B82" w:rsidRPr="00C03235" w:rsidRDefault="000F2B82" w:rsidP="001D1FB1">
      <w:pPr>
        <w:pStyle w:val="Textodebloque"/>
        <w:spacing w:after="0"/>
        <w:ind w:right="6"/>
        <w:rPr>
          <w:rFonts w:ascii="Bookman Old Style" w:hAnsi="Bookman Old Style"/>
          <w:lang w:val="es-CO"/>
        </w:rPr>
      </w:pPr>
    </w:p>
    <w:p w14:paraId="3A88A25A" w14:textId="3A31F418" w:rsidR="000F2B82" w:rsidRPr="00C03235" w:rsidRDefault="007874B8" w:rsidP="001D1FB1">
      <w:pPr>
        <w:pStyle w:val="Textodebloque"/>
        <w:numPr>
          <w:ilvl w:val="0"/>
          <w:numId w:val="1"/>
        </w:numPr>
        <w:spacing w:after="0"/>
        <w:ind w:right="6"/>
        <w:rPr>
          <w:rFonts w:ascii="Bookman Old Style" w:hAnsi="Bookman Old Style"/>
          <w:lang w:val="es-CO"/>
        </w:rPr>
      </w:pPr>
      <w:r w:rsidRPr="00C03235">
        <w:rPr>
          <w:rFonts w:ascii="Bookman Old Style" w:hAnsi="Bookman Old Style"/>
          <w:lang w:val="es-CO"/>
        </w:rPr>
        <w:t xml:space="preserve">Determinar el cargo de generación del </w:t>
      </w:r>
      <w:r w:rsidR="00662E6D" w:rsidRPr="00C03235">
        <w:rPr>
          <w:rFonts w:ascii="Bookman Old Style" w:hAnsi="Bookman Old Style"/>
          <w:lang w:val="es-CO"/>
        </w:rPr>
        <w:t>mercado de Nazareth y Puerto Estrella, ya no desde los cargos aprobados para un mercado de referencia, sino a través de tomar un caso tipo de menor escala con sus respectivos costos</w:t>
      </w:r>
      <w:r w:rsidR="007C23A8" w:rsidRPr="00C03235">
        <w:rPr>
          <w:rFonts w:ascii="Bookman Old Style" w:hAnsi="Bookman Old Style"/>
          <w:lang w:val="es-CO"/>
        </w:rPr>
        <w:t xml:space="preserve">, </w:t>
      </w:r>
      <w:r w:rsidR="00662E6D" w:rsidRPr="00C03235">
        <w:rPr>
          <w:rFonts w:ascii="Bookman Old Style" w:hAnsi="Bookman Old Style"/>
          <w:lang w:val="es-CO"/>
        </w:rPr>
        <w:t>considera</w:t>
      </w:r>
      <w:r w:rsidR="007C23A8" w:rsidRPr="00C03235">
        <w:rPr>
          <w:rFonts w:ascii="Bookman Old Style" w:hAnsi="Bookman Old Style"/>
          <w:lang w:val="es-CO"/>
        </w:rPr>
        <w:t>ndo</w:t>
      </w:r>
      <w:r w:rsidR="00662E6D" w:rsidRPr="00C03235">
        <w:rPr>
          <w:rFonts w:ascii="Bookman Old Style" w:hAnsi="Bookman Old Style"/>
          <w:lang w:val="es-CO"/>
        </w:rPr>
        <w:t xml:space="preserve"> las particularidades que aplican para resolver esta solicitud, principalmente las condiciones de disponibilidad del recurso solar de la zona, los costos de transporte e instalación respectivos y las vidas útiles de este tipo de tecnologías, ya soportadas en estudios con los que cuenta la Comisión y son de conocimiento público</w:t>
      </w:r>
      <w:r w:rsidR="00F95CA0" w:rsidRPr="00C03235">
        <w:rPr>
          <w:rFonts w:ascii="Bookman Old Style" w:hAnsi="Bookman Old Style"/>
          <w:lang w:val="es-CO"/>
        </w:rPr>
        <w:t>.</w:t>
      </w:r>
      <w:r w:rsidR="00F95CA0" w:rsidRPr="00C03235">
        <w:rPr>
          <w:lang w:val="es-CO"/>
        </w:rPr>
        <w:t xml:space="preserve"> </w:t>
      </w:r>
      <w:r w:rsidR="00F95CA0" w:rsidRPr="00C03235">
        <w:rPr>
          <w:rFonts w:ascii="Bookman Old Style" w:hAnsi="Bookman Old Style"/>
          <w:lang w:val="es-CO"/>
        </w:rPr>
        <w:t xml:space="preserve">El detalle de la metodología empleada se encuentra </w:t>
      </w:r>
      <w:r w:rsidR="00F95CA0" w:rsidRPr="00DB55D9">
        <w:rPr>
          <w:rFonts w:ascii="Bookman Old Style" w:hAnsi="Bookman Old Style"/>
          <w:lang w:val="es-CO"/>
        </w:rPr>
        <w:t>en el documento CREG</w:t>
      </w:r>
      <w:r w:rsidR="00DB55D9" w:rsidRPr="00DB55D9">
        <w:rPr>
          <w:rFonts w:ascii="Bookman Old Style" w:hAnsi="Bookman Old Style"/>
          <w:lang w:val="es-CO"/>
        </w:rPr>
        <w:t xml:space="preserve"> 901 154</w:t>
      </w:r>
      <w:r w:rsidR="00F95CA0" w:rsidRPr="00DB55D9">
        <w:rPr>
          <w:rFonts w:ascii="Bookman Old Style" w:hAnsi="Bookman Old Style"/>
          <w:lang w:val="es-CO"/>
        </w:rPr>
        <w:t xml:space="preserve"> de 2024</w:t>
      </w:r>
      <w:r w:rsidR="77BB486E" w:rsidRPr="00DB55D9">
        <w:rPr>
          <w:rFonts w:ascii="Bookman Old Style" w:hAnsi="Bookman Old Style"/>
          <w:lang w:val="es-CO"/>
        </w:rPr>
        <w:t>.</w:t>
      </w:r>
    </w:p>
    <w:p w14:paraId="72111FC4" w14:textId="4715E561" w:rsidR="000F2B82" w:rsidRPr="00C03235" w:rsidRDefault="000F2B82" w:rsidP="001D1FB1">
      <w:pPr>
        <w:pStyle w:val="Textodebloque"/>
        <w:spacing w:after="0"/>
        <w:ind w:left="720" w:right="6"/>
        <w:rPr>
          <w:rFonts w:ascii="Bookman Old Style" w:hAnsi="Bookman Old Style"/>
          <w:lang w:val="es-CO"/>
        </w:rPr>
      </w:pPr>
    </w:p>
    <w:p w14:paraId="3AC66597" w14:textId="2300E699" w:rsidR="000F2B82" w:rsidRPr="00C03235" w:rsidRDefault="120A4900" w:rsidP="001D1FB1">
      <w:pPr>
        <w:pStyle w:val="Textodebloque"/>
        <w:numPr>
          <w:ilvl w:val="0"/>
          <w:numId w:val="1"/>
        </w:numPr>
        <w:spacing w:after="0"/>
        <w:ind w:right="6"/>
        <w:rPr>
          <w:rFonts w:ascii="Bookman Old Style" w:hAnsi="Bookman Old Style"/>
          <w:lang w:val="es-CO"/>
        </w:rPr>
      </w:pPr>
      <w:r w:rsidRPr="00C03235">
        <w:rPr>
          <w:rFonts w:ascii="Bookman Old Style" w:hAnsi="Bookman Old Style"/>
          <w:lang w:val="es-CO"/>
        </w:rPr>
        <w:t>Definir el valor de</w:t>
      </w:r>
      <w:r w:rsidR="00CF00CC">
        <w:rPr>
          <w:rFonts w:ascii="Bookman Old Style" w:hAnsi="Bookman Old Style"/>
          <w:lang w:val="es-CO"/>
        </w:rPr>
        <w:t xml:space="preserve"> la variable</w:t>
      </w:r>
      <w:r w:rsidRPr="00C03235">
        <w:rPr>
          <w:rFonts w:ascii="Bookman Old Style" w:hAnsi="Bookman Old Style"/>
          <w:lang w:val="es-CO"/>
        </w:rPr>
        <w:t xml:space="preserve"> </w:t>
      </w:r>
      <w:r w:rsidRPr="00CF00CC">
        <w:rPr>
          <w:rFonts w:ascii="Bookman Old Style" w:hAnsi="Bookman Old Style"/>
          <w:i/>
          <w:iCs/>
          <w:lang w:val="es-CO"/>
        </w:rPr>
        <w:t>Tmi</w:t>
      </w:r>
      <w:r w:rsidRPr="00C03235">
        <w:rPr>
          <w:rFonts w:ascii="Bookman Old Style" w:hAnsi="Bookman Old Style"/>
          <w:lang w:val="es-CO"/>
        </w:rPr>
        <w:t xml:space="preserve"> </w:t>
      </w:r>
      <w:r w:rsidR="005A6B5D" w:rsidRPr="00C03235">
        <w:rPr>
          <w:rFonts w:ascii="Bookman Old Style" w:hAnsi="Bookman Old Style"/>
          <w:lang w:val="es-CO"/>
        </w:rPr>
        <w:t>p</w:t>
      </w:r>
      <w:r w:rsidRPr="00C03235">
        <w:rPr>
          <w:rFonts w:ascii="Bookman Old Style" w:hAnsi="Bookman Old Style"/>
          <w:lang w:val="es-CO"/>
        </w:rPr>
        <w:t>ara el cálculo de costo de generación con Di</w:t>
      </w:r>
      <w:r w:rsidR="00B71F51" w:rsidRPr="00C03235">
        <w:rPr>
          <w:rFonts w:ascii="Bookman Old Style" w:hAnsi="Bookman Old Style"/>
          <w:lang w:val="es-CO"/>
        </w:rPr>
        <w:t>é</w:t>
      </w:r>
      <w:r w:rsidRPr="00C03235">
        <w:rPr>
          <w:rFonts w:ascii="Bookman Old Style" w:hAnsi="Bookman Old Style"/>
          <w:lang w:val="es-CO"/>
        </w:rPr>
        <w:t>sel para el mercado de Nazareth y Puerto Estrella, con atención a la información remitida por el recurrente.</w:t>
      </w:r>
    </w:p>
    <w:p w14:paraId="211C6E73" w14:textId="77777777" w:rsidR="001D1FB1" w:rsidRPr="00C03235" w:rsidRDefault="001D1FB1" w:rsidP="001D1FB1">
      <w:pPr>
        <w:jc w:val="both"/>
      </w:pPr>
    </w:p>
    <w:p w14:paraId="6905BED6" w14:textId="7A649749" w:rsidR="00A82F36" w:rsidRPr="00C03235" w:rsidRDefault="00A82F36" w:rsidP="001D1FB1">
      <w:pPr>
        <w:jc w:val="both"/>
      </w:pPr>
      <w:r w:rsidRPr="00C03235">
        <w:t xml:space="preserve">La Comisión de Regulación de Energía y Gas, en su </w:t>
      </w:r>
      <w:r w:rsidR="00B86C41" w:rsidRPr="00C03235">
        <w:t>s</w:t>
      </w:r>
      <w:r w:rsidRPr="00C03235">
        <w:t xml:space="preserve">esión </w:t>
      </w:r>
      <w:r w:rsidR="004320CA" w:rsidRPr="00C03235">
        <w:t xml:space="preserve">1353 </w:t>
      </w:r>
      <w:r w:rsidRPr="00C03235">
        <w:t xml:space="preserve">del </w:t>
      </w:r>
      <w:r w:rsidR="004320CA" w:rsidRPr="00C03235">
        <w:t xml:space="preserve">31 </w:t>
      </w:r>
      <w:r w:rsidRPr="00C03235">
        <w:t xml:space="preserve">de </w:t>
      </w:r>
      <w:r w:rsidR="004320CA" w:rsidRPr="00C03235">
        <w:t xml:space="preserve">octubre </w:t>
      </w:r>
      <w:r w:rsidRPr="00C03235">
        <w:t>de 20</w:t>
      </w:r>
      <w:r w:rsidR="004320CA" w:rsidRPr="00C03235">
        <w:t>24</w:t>
      </w:r>
      <w:r w:rsidRPr="00C03235">
        <w:t>, acordó expedir esta resolución.</w:t>
      </w:r>
    </w:p>
    <w:p w14:paraId="0722009D" w14:textId="77777777" w:rsidR="008B0BBF" w:rsidRPr="00C03235" w:rsidRDefault="008B0BBF" w:rsidP="001D1FB1">
      <w:pPr>
        <w:jc w:val="both"/>
      </w:pPr>
    </w:p>
    <w:p w14:paraId="63FD7E5E" w14:textId="77777777" w:rsidR="00E92CC1" w:rsidRPr="00C03235" w:rsidRDefault="00E92CC1" w:rsidP="001D1FB1">
      <w:pPr>
        <w:jc w:val="both"/>
      </w:pPr>
    </w:p>
    <w:p w14:paraId="0E0CC591" w14:textId="1E108162" w:rsidR="007B4EFB" w:rsidRPr="00F67DDB" w:rsidRDefault="50F44BC7" w:rsidP="00045D3D">
      <w:pPr>
        <w:suppressAutoHyphens/>
        <w:jc w:val="center"/>
        <w:rPr>
          <w:b/>
          <w:bCs/>
          <w:spacing w:val="-3"/>
          <w:lang w:val="pt-PT"/>
        </w:rPr>
      </w:pPr>
      <w:r w:rsidRPr="00F67DDB">
        <w:rPr>
          <w:b/>
          <w:bCs/>
          <w:spacing w:val="-3"/>
          <w:lang w:val="pt-PT"/>
        </w:rPr>
        <w:t>R E S U E L V E:</w:t>
      </w:r>
    </w:p>
    <w:p w14:paraId="5F0892D0" w14:textId="77777777" w:rsidR="00E92CC1" w:rsidRPr="00F67DDB" w:rsidRDefault="00E92CC1" w:rsidP="00E92CC1">
      <w:pPr>
        <w:suppressAutoHyphens/>
        <w:rPr>
          <w:bCs/>
          <w:spacing w:val="-3"/>
          <w:lang w:val="pt-PT"/>
        </w:rPr>
      </w:pPr>
    </w:p>
    <w:p w14:paraId="22522DD5" w14:textId="77777777" w:rsidR="00E92CC1" w:rsidRPr="00F67DDB" w:rsidRDefault="00E92CC1" w:rsidP="00E92CC1">
      <w:pPr>
        <w:suppressAutoHyphens/>
        <w:rPr>
          <w:bCs/>
          <w:spacing w:val="-3"/>
          <w:lang w:val="pt-PT"/>
        </w:rPr>
      </w:pPr>
    </w:p>
    <w:p w14:paraId="4B8DEE7E" w14:textId="1056BF21" w:rsidR="00045D3D" w:rsidRPr="00C03235" w:rsidRDefault="50F44BC7" w:rsidP="00DF3CA2">
      <w:pPr>
        <w:jc w:val="both"/>
      </w:pPr>
      <w:r w:rsidRPr="00F67DDB">
        <w:rPr>
          <w:b/>
          <w:bCs/>
          <w:lang w:val="pt-PT"/>
        </w:rPr>
        <w:t xml:space="preserve">ARTÍCULO </w:t>
      </w:r>
      <w:r w:rsidR="32520602" w:rsidRPr="00F67DDB">
        <w:rPr>
          <w:b/>
          <w:bCs/>
          <w:lang w:val="pt-PT"/>
        </w:rPr>
        <w:t>1</w:t>
      </w:r>
      <w:r w:rsidRPr="00F67DDB">
        <w:rPr>
          <w:b/>
          <w:bCs/>
          <w:lang w:val="pt-PT"/>
        </w:rPr>
        <w:t xml:space="preserve">. </w:t>
      </w:r>
      <w:r w:rsidR="1B1AD851" w:rsidRPr="00C03235">
        <w:t>Reponer</w:t>
      </w:r>
      <w:r w:rsidR="495F17B5" w:rsidRPr="00C03235">
        <w:t xml:space="preserve"> parcialmente</w:t>
      </w:r>
      <w:r w:rsidR="1B1AD851" w:rsidRPr="00C03235">
        <w:t xml:space="preserve"> la Resolución CREG 501 </w:t>
      </w:r>
      <w:r w:rsidR="6A96AF85" w:rsidRPr="00C03235">
        <w:t>004</w:t>
      </w:r>
      <w:r w:rsidR="1B1AD851" w:rsidRPr="00C03235">
        <w:t xml:space="preserve"> de 2023, de acuerdo con lo expuesto en la parte motiva de la presente resolución, </w:t>
      </w:r>
      <w:r w:rsidR="76D76075" w:rsidRPr="00C03235">
        <w:t xml:space="preserve">en el sentido de modificar el artículo 1, </w:t>
      </w:r>
      <w:r w:rsidR="1B1AD851" w:rsidRPr="00C03235">
        <w:t>el cual quedará así:</w:t>
      </w:r>
    </w:p>
    <w:p w14:paraId="4695C7A7" w14:textId="77777777" w:rsidR="000B2436" w:rsidRPr="00C03235" w:rsidRDefault="000B2436" w:rsidP="00DF3CA2">
      <w:pPr>
        <w:jc w:val="both"/>
        <w:rPr>
          <w:bCs/>
        </w:rPr>
      </w:pPr>
    </w:p>
    <w:p w14:paraId="25AF2944" w14:textId="5490EC46" w:rsidR="000B2436" w:rsidRPr="00C03235" w:rsidRDefault="005609EE" w:rsidP="0056727C">
      <w:pPr>
        <w:ind w:left="284"/>
        <w:jc w:val="both"/>
        <w:rPr>
          <w:bCs/>
        </w:rPr>
      </w:pPr>
      <w:r w:rsidRPr="00C03235">
        <w:rPr>
          <w:b/>
        </w:rPr>
        <w:t>ARTÍCULO 1. Remuneración de las componentes de inversión, de administración, operación y mantenimiento para sistemas híbridos diésel solar fotovoltaicos con acumulación en el mercado relevante de comercialización de Nazareth y Puerto Estrella del Municipio de Uribia en el Departamento de La Guajira.</w:t>
      </w:r>
      <w:r w:rsidRPr="00C03235">
        <w:rPr>
          <w:bCs/>
        </w:rPr>
        <w:t xml:space="preserve"> Las componentes que remuneran los costos de inversión y de administración, operación y mantenimiento para sistemas híbridos diésel solar fotovoltaicos con acumulación en el mercado relevante de comercialización que atiende los centros poblados de Nazareth y Puerto Estrella del Municipio de Uribia en el Departamento de La Guajira son las siguientes:</w:t>
      </w:r>
    </w:p>
    <w:p w14:paraId="10ED015E" w14:textId="77777777" w:rsidR="00D21FCE" w:rsidRPr="00C03235" w:rsidRDefault="00D21FCE" w:rsidP="0056727C">
      <w:pPr>
        <w:ind w:left="284"/>
        <w:jc w:val="both"/>
        <w:rPr>
          <w:bCs/>
        </w:rPr>
      </w:pPr>
    </w:p>
    <w:p w14:paraId="5DBD05A1" w14:textId="77777777" w:rsidR="0012317E" w:rsidRPr="00C03235" w:rsidRDefault="0012317E" w:rsidP="0056727C">
      <w:pPr>
        <w:pStyle w:val="Piedepgina"/>
        <w:tabs>
          <w:tab w:val="clear" w:pos="4252"/>
          <w:tab w:val="clear" w:pos="8504"/>
          <w:tab w:val="center" w:pos="4845"/>
        </w:tabs>
        <w:ind w:left="284" w:right="142"/>
        <w:contextualSpacing/>
        <w:jc w:val="center"/>
        <w:rPr>
          <w:rFonts w:cs="Arial"/>
          <w:b/>
        </w:rPr>
      </w:pPr>
      <w:r w:rsidRPr="00C03235">
        <w:rPr>
          <w:rFonts w:cs="Arial"/>
          <w:b/>
        </w:rPr>
        <w:t>Tabla 1. Componentes de remuneración de costos de inversión y de administración,</w:t>
      </w:r>
      <w:r w:rsidRPr="00C03235">
        <w:rPr>
          <w:rFonts w:cs="Arial"/>
          <w:b/>
          <w:bCs/>
        </w:rPr>
        <w:t xml:space="preserve"> operación y mantenimiento para sistemas híbridos diésel - </w:t>
      </w:r>
      <w:r w:rsidRPr="00C03235">
        <w:rPr>
          <w:rFonts w:cs="Arial"/>
          <w:b/>
        </w:rPr>
        <w:t>solar fotovoltaico con acumulación</w:t>
      </w:r>
    </w:p>
    <w:p w14:paraId="378DD36C" w14:textId="77777777" w:rsidR="0012317E" w:rsidRPr="00C03235" w:rsidRDefault="0012317E" w:rsidP="0056727C">
      <w:pPr>
        <w:pStyle w:val="Piedepgina"/>
        <w:tabs>
          <w:tab w:val="clear" w:pos="4252"/>
          <w:tab w:val="clear" w:pos="8504"/>
          <w:tab w:val="center" w:pos="4845"/>
        </w:tabs>
        <w:ind w:left="284" w:right="142"/>
        <w:contextualSpacing/>
        <w:jc w:val="center"/>
        <w:rPr>
          <w:rFonts w:cs="Arial"/>
          <w:b/>
        </w:rPr>
      </w:pPr>
      <w:r w:rsidRPr="00C03235">
        <w:rPr>
          <w:rFonts w:cs="Arial"/>
          <w:b/>
        </w:rPr>
        <w:t>(pesos de diciembre de 2006)</w:t>
      </w:r>
    </w:p>
    <w:p w14:paraId="3C0D1956" w14:textId="77777777" w:rsidR="0056727C" w:rsidRPr="00C03235" w:rsidRDefault="0056727C" w:rsidP="0056727C">
      <w:pPr>
        <w:pStyle w:val="Piedepgina"/>
        <w:tabs>
          <w:tab w:val="clear" w:pos="4252"/>
          <w:tab w:val="clear" w:pos="8504"/>
          <w:tab w:val="center" w:pos="4845"/>
        </w:tabs>
        <w:ind w:left="284" w:right="142"/>
        <w:contextualSpacing/>
        <w:jc w:val="center"/>
        <w:rPr>
          <w:rFonts w:cs="Arial"/>
          <w:b/>
        </w:rPr>
      </w:pPr>
    </w:p>
    <w:tbl>
      <w:tblPr>
        <w:tblStyle w:val="Tablaconcuadrcula"/>
        <w:tblW w:w="8075" w:type="dxa"/>
        <w:jc w:val="center"/>
        <w:tblLayout w:type="fixed"/>
        <w:tblLook w:val="04A0" w:firstRow="1" w:lastRow="0" w:firstColumn="1" w:lastColumn="0" w:noHBand="0" w:noVBand="1"/>
      </w:tblPr>
      <w:tblGrid>
        <w:gridCol w:w="2263"/>
        <w:gridCol w:w="2127"/>
        <w:gridCol w:w="3685"/>
      </w:tblGrid>
      <w:tr w:rsidR="0012317E" w:rsidRPr="00C03235" w14:paraId="284A5899" w14:textId="77777777" w:rsidTr="00C41465">
        <w:trPr>
          <w:trHeight w:val="274"/>
          <w:jc w:val="center"/>
        </w:trPr>
        <w:tc>
          <w:tcPr>
            <w:tcW w:w="2263" w:type="dxa"/>
            <w:vAlign w:val="center"/>
          </w:tcPr>
          <w:p w14:paraId="1D39AA24" w14:textId="77777777" w:rsidR="0012317E" w:rsidRPr="00C03235" w:rsidRDefault="0012317E" w:rsidP="004762A0">
            <w:pPr>
              <w:pStyle w:val="Piedepgina"/>
              <w:tabs>
                <w:tab w:val="clear" w:pos="4252"/>
                <w:tab w:val="clear" w:pos="8504"/>
                <w:tab w:val="center" w:pos="4845"/>
              </w:tabs>
              <w:ind w:right="142" w:firstLine="22"/>
              <w:contextualSpacing/>
              <w:jc w:val="center"/>
              <w:rPr>
                <w:rFonts w:cs="Arial"/>
                <w:b/>
                <w:sz w:val="22"/>
                <w:szCs w:val="22"/>
              </w:rPr>
            </w:pPr>
            <w:r w:rsidRPr="00C03235">
              <w:rPr>
                <w:rFonts w:cs="Arial"/>
                <w:b/>
                <w:sz w:val="22"/>
                <w:szCs w:val="22"/>
              </w:rPr>
              <w:t>Tipo de recurso energético</w:t>
            </w:r>
          </w:p>
        </w:tc>
        <w:tc>
          <w:tcPr>
            <w:tcW w:w="2127" w:type="dxa"/>
            <w:vAlign w:val="center"/>
          </w:tcPr>
          <w:p w14:paraId="4840F621" w14:textId="77777777" w:rsidR="0012317E" w:rsidRPr="00C03235" w:rsidRDefault="0012317E" w:rsidP="004762A0">
            <w:pPr>
              <w:pStyle w:val="Piedepgina"/>
              <w:tabs>
                <w:tab w:val="clear" w:pos="4252"/>
                <w:tab w:val="clear" w:pos="8504"/>
                <w:tab w:val="center" w:pos="4845"/>
              </w:tabs>
              <w:ind w:right="142" w:firstLine="22"/>
              <w:contextualSpacing/>
              <w:jc w:val="center"/>
              <w:rPr>
                <w:rFonts w:cs="Arial"/>
                <w:b/>
                <w:sz w:val="22"/>
                <w:szCs w:val="22"/>
                <w:vertAlign w:val="subscript"/>
              </w:rPr>
            </w:pPr>
            <w:r w:rsidRPr="00C03235">
              <w:rPr>
                <w:rFonts w:cs="Arial"/>
                <w:b/>
                <w:sz w:val="22"/>
                <w:szCs w:val="22"/>
              </w:rPr>
              <w:t xml:space="preserve">Costo de inversión, </w:t>
            </w:r>
            <w:r w:rsidRPr="00C03235">
              <w:rPr>
                <w:rFonts w:cs="Arial"/>
                <w:b/>
                <w:i/>
                <w:sz w:val="22"/>
                <w:szCs w:val="22"/>
              </w:rPr>
              <w:t>CI</w:t>
            </w:r>
            <w:r w:rsidRPr="00C03235">
              <w:rPr>
                <w:rFonts w:cs="Arial"/>
                <w:b/>
                <w:i/>
                <w:sz w:val="22"/>
                <w:szCs w:val="22"/>
                <w:vertAlign w:val="subscript"/>
              </w:rPr>
              <w:t>j,0</w:t>
            </w:r>
          </w:p>
          <w:p w14:paraId="7F2F272A" w14:textId="77777777" w:rsidR="0012317E" w:rsidRPr="00C03235" w:rsidRDefault="0012317E" w:rsidP="004762A0">
            <w:pPr>
              <w:pStyle w:val="Piedepgina"/>
              <w:tabs>
                <w:tab w:val="clear" w:pos="4252"/>
                <w:tab w:val="clear" w:pos="8504"/>
                <w:tab w:val="center" w:pos="4845"/>
              </w:tabs>
              <w:ind w:right="142" w:firstLine="22"/>
              <w:contextualSpacing/>
              <w:jc w:val="center"/>
              <w:rPr>
                <w:rFonts w:cs="Arial"/>
                <w:b/>
                <w:sz w:val="22"/>
                <w:szCs w:val="22"/>
              </w:rPr>
            </w:pPr>
            <w:r w:rsidRPr="00C03235">
              <w:rPr>
                <w:rFonts w:cs="Arial"/>
                <w:b/>
                <w:sz w:val="22"/>
                <w:szCs w:val="22"/>
              </w:rPr>
              <w:t>($/kWh)</w:t>
            </w:r>
          </w:p>
        </w:tc>
        <w:tc>
          <w:tcPr>
            <w:tcW w:w="3685" w:type="dxa"/>
            <w:vAlign w:val="center"/>
          </w:tcPr>
          <w:p w14:paraId="4EFE703E" w14:textId="77777777" w:rsidR="0012317E" w:rsidRPr="00C03235" w:rsidRDefault="0012317E" w:rsidP="004762A0">
            <w:pPr>
              <w:pStyle w:val="Piedepgina"/>
              <w:tabs>
                <w:tab w:val="clear" w:pos="4252"/>
                <w:tab w:val="clear" w:pos="8504"/>
                <w:tab w:val="center" w:pos="4845"/>
              </w:tabs>
              <w:ind w:left="58" w:right="142"/>
              <w:contextualSpacing/>
              <w:jc w:val="center"/>
              <w:rPr>
                <w:rFonts w:cs="Arial"/>
                <w:b/>
                <w:sz w:val="22"/>
                <w:szCs w:val="22"/>
              </w:rPr>
            </w:pPr>
            <w:r w:rsidRPr="00C03235">
              <w:rPr>
                <w:rFonts w:cs="Arial"/>
                <w:b/>
                <w:sz w:val="22"/>
                <w:szCs w:val="22"/>
              </w:rPr>
              <w:t>Costos de administración, operación y mantenimiento,</w:t>
            </w:r>
          </w:p>
          <w:p w14:paraId="1224C947" w14:textId="77777777" w:rsidR="0012317E" w:rsidRPr="00C03235" w:rsidRDefault="0012317E" w:rsidP="004762A0">
            <w:pPr>
              <w:pStyle w:val="Piedepgina"/>
              <w:tabs>
                <w:tab w:val="clear" w:pos="4252"/>
                <w:tab w:val="clear" w:pos="8504"/>
                <w:tab w:val="center" w:pos="4845"/>
              </w:tabs>
              <w:ind w:left="58" w:right="142"/>
              <w:contextualSpacing/>
              <w:jc w:val="center"/>
              <w:rPr>
                <w:rFonts w:cs="Arial"/>
                <w:b/>
                <w:sz w:val="22"/>
                <w:szCs w:val="22"/>
              </w:rPr>
            </w:pPr>
            <w:r w:rsidRPr="00C03235">
              <w:rPr>
                <w:rFonts w:cs="Arial"/>
                <w:b/>
                <w:i/>
                <w:sz w:val="22"/>
                <w:szCs w:val="22"/>
              </w:rPr>
              <w:t>CM</w:t>
            </w:r>
            <w:r w:rsidRPr="00C03235">
              <w:rPr>
                <w:rFonts w:cs="Arial"/>
                <w:b/>
                <w:i/>
                <w:sz w:val="22"/>
                <w:szCs w:val="22"/>
                <w:vertAlign w:val="subscript"/>
              </w:rPr>
              <w:t>j,0</w:t>
            </w:r>
            <w:r w:rsidRPr="00C03235">
              <w:rPr>
                <w:rFonts w:cs="Arial"/>
                <w:b/>
                <w:sz w:val="22"/>
                <w:szCs w:val="22"/>
              </w:rPr>
              <w:t xml:space="preserve"> ($/kWh)</w:t>
            </w:r>
          </w:p>
        </w:tc>
      </w:tr>
      <w:tr w:rsidR="0012317E" w:rsidRPr="00C03235" w14:paraId="4E802D06" w14:textId="77777777" w:rsidTr="00C41465">
        <w:trPr>
          <w:trHeight w:val="846"/>
          <w:jc w:val="center"/>
        </w:trPr>
        <w:tc>
          <w:tcPr>
            <w:tcW w:w="2263" w:type="dxa"/>
            <w:vAlign w:val="center"/>
          </w:tcPr>
          <w:p w14:paraId="4735BB13" w14:textId="77777777" w:rsidR="0012317E" w:rsidRPr="00C03235" w:rsidRDefault="0012317E" w:rsidP="004762A0">
            <w:pPr>
              <w:pStyle w:val="Piedepgina"/>
              <w:tabs>
                <w:tab w:val="clear" w:pos="4252"/>
                <w:tab w:val="clear" w:pos="8504"/>
                <w:tab w:val="center" w:pos="4845"/>
              </w:tabs>
              <w:ind w:right="142" w:firstLine="22"/>
              <w:contextualSpacing/>
              <w:rPr>
                <w:rFonts w:cs="Arial"/>
                <w:sz w:val="22"/>
                <w:szCs w:val="22"/>
              </w:rPr>
            </w:pPr>
            <w:r w:rsidRPr="00C03235">
              <w:rPr>
                <w:rFonts w:cs="Arial"/>
                <w:sz w:val="22"/>
                <w:szCs w:val="22"/>
              </w:rPr>
              <w:t>Solar fotovoltaico con alimentación directa a red.</w:t>
            </w:r>
          </w:p>
        </w:tc>
        <w:tc>
          <w:tcPr>
            <w:tcW w:w="2127" w:type="dxa"/>
            <w:vAlign w:val="center"/>
          </w:tcPr>
          <w:p w14:paraId="7356AB68" w14:textId="2F8553C2" w:rsidR="0012317E" w:rsidRPr="00C03235" w:rsidRDefault="003F423F" w:rsidP="004762A0">
            <w:pPr>
              <w:pStyle w:val="Piedepgina"/>
              <w:tabs>
                <w:tab w:val="center" w:pos="4845"/>
              </w:tabs>
              <w:ind w:right="142" w:firstLine="22"/>
              <w:contextualSpacing/>
              <w:jc w:val="center"/>
              <w:rPr>
                <w:rFonts w:cs="Arial"/>
                <w:sz w:val="22"/>
                <w:szCs w:val="22"/>
              </w:rPr>
            </w:pPr>
            <w:r w:rsidRPr="00C03235">
              <w:rPr>
                <w:rFonts w:cs="Arial"/>
                <w:sz w:val="22"/>
                <w:szCs w:val="22"/>
              </w:rPr>
              <w:t>383</w:t>
            </w:r>
            <w:r w:rsidR="000548D5" w:rsidRPr="00C03235">
              <w:rPr>
                <w:rFonts w:cs="Arial"/>
                <w:sz w:val="22"/>
                <w:szCs w:val="22"/>
              </w:rPr>
              <w:t>,</w:t>
            </w:r>
            <w:r w:rsidRPr="00C03235">
              <w:rPr>
                <w:rFonts w:cs="Arial"/>
                <w:sz w:val="22"/>
                <w:szCs w:val="22"/>
              </w:rPr>
              <w:t>45</w:t>
            </w:r>
          </w:p>
        </w:tc>
        <w:tc>
          <w:tcPr>
            <w:tcW w:w="3685" w:type="dxa"/>
            <w:vAlign w:val="center"/>
          </w:tcPr>
          <w:p w14:paraId="5EFA9703" w14:textId="780CF168" w:rsidR="0012317E" w:rsidRPr="00C03235" w:rsidRDefault="003F423F" w:rsidP="004762A0">
            <w:pPr>
              <w:pStyle w:val="Piedepgina"/>
              <w:tabs>
                <w:tab w:val="clear" w:pos="4252"/>
                <w:tab w:val="clear" w:pos="8504"/>
                <w:tab w:val="center" w:pos="4845"/>
              </w:tabs>
              <w:ind w:left="58" w:right="142"/>
              <w:contextualSpacing/>
              <w:jc w:val="center"/>
              <w:rPr>
                <w:rFonts w:cs="Arial"/>
                <w:sz w:val="22"/>
                <w:szCs w:val="22"/>
              </w:rPr>
            </w:pPr>
            <w:r w:rsidRPr="00C03235">
              <w:rPr>
                <w:rFonts w:cs="Arial"/>
                <w:sz w:val="22"/>
                <w:szCs w:val="22"/>
              </w:rPr>
              <w:t>77,17</w:t>
            </w:r>
          </w:p>
        </w:tc>
      </w:tr>
      <w:tr w:rsidR="0012317E" w:rsidRPr="00C03235" w14:paraId="4E7EDF18" w14:textId="77777777" w:rsidTr="00C41465">
        <w:trPr>
          <w:trHeight w:val="846"/>
          <w:jc w:val="center"/>
        </w:trPr>
        <w:tc>
          <w:tcPr>
            <w:tcW w:w="2263" w:type="dxa"/>
            <w:vAlign w:val="center"/>
          </w:tcPr>
          <w:p w14:paraId="264C1E57" w14:textId="77777777" w:rsidR="0012317E" w:rsidRPr="00C03235" w:rsidRDefault="0012317E" w:rsidP="004762A0">
            <w:pPr>
              <w:pStyle w:val="Piedepgina"/>
              <w:tabs>
                <w:tab w:val="clear" w:pos="4252"/>
                <w:tab w:val="clear" w:pos="8504"/>
                <w:tab w:val="center" w:pos="4845"/>
              </w:tabs>
              <w:ind w:right="142" w:firstLine="22"/>
              <w:contextualSpacing/>
              <w:jc w:val="both"/>
              <w:rPr>
                <w:rFonts w:cs="Arial"/>
                <w:sz w:val="22"/>
                <w:szCs w:val="22"/>
              </w:rPr>
            </w:pPr>
            <w:r w:rsidRPr="00C03235">
              <w:rPr>
                <w:rFonts w:cs="Arial"/>
                <w:sz w:val="22"/>
                <w:szCs w:val="22"/>
              </w:rPr>
              <w:lastRenderedPageBreak/>
              <w:t>Acumulación de recurso solar fotovoltaico.</w:t>
            </w:r>
          </w:p>
        </w:tc>
        <w:tc>
          <w:tcPr>
            <w:tcW w:w="2127" w:type="dxa"/>
            <w:vAlign w:val="center"/>
          </w:tcPr>
          <w:p w14:paraId="5134BD4E" w14:textId="3D2B59AF" w:rsidR="0012317E" w:rsidRPr="00C03235" w:rsidRDefault="003F423F" w:rsidP="004762A0">
            <w:pPr>
              <w:pStyle w:val="Piedepgina"/>
              <w:tabs>
                <w:tab w:val="clear" w:pos="4252"/>
                <w:tab w:val="clear" w:pos="8504"/>
                <w:tab w:val="center" w:pos="4845"/>
              </w:tabs>
              <w:ind w:right="142" w:firstLine="22"/>
              <w:contextualSpacing/>
              <w:jc w:val="center"/>
              <w:rPr>
                <w:rFonts w:cs="Arial"/>
                <w:sz w:val="22"/>
                <w:szCs w:val="22"/>
              </w:rPr>
            </w:pPr>
            <w:r w:rsidRPr="00C03235">
              <w:rPr>
                <w:rFonts w:cs="Arial"/>
                <w:sz w:val="22"/>
                <w:szCs w:val="22"/>
              </w:rPr>
              <w:t>1.022,98</w:t>
            </w:r>
          </w:p>
        </w:tc>
        <w:tc>
          <w:tcPr>
            <w:tcW w:w="3685" w:type="dxa"/>
            <w:vAlign w:val="center"/>
          </w:tcPr>
          <w:p w14:paraId="6F4F4109" w14:textId="56B4946C" w:rsidR="0012317E" w:rsidRPr="00C03235" w:rsidRDefault="00C2003A" w:rsidP="004762A0">
            <w:pPr>
              <w:pStyle w:val="Piedepgina"/>
              <w:tabs>
                <w:tab w:val="clear" w:pos="4252"/>
                <w:tab w:val="clear" w:pos="8504"/>
                <w:tab w:val="center" w:pos="4845"/>
              </w:tabs>
              <w:ind w:left="58" w:right="142"/>
              <w:contextualSpacing/>
              <w:jc w:val="center"/>
              <w:rPr>
                <w:rFonts w:cs="Arial"/>
                <w:sz w:val="22"/>
                <w:szCs w:val="22"/>
              </w:rPr>
            </w:pPr>
            <w:r w:rsidRPr="00C03235">
              <w:rPr>
                <w:rFonts w:cs="Arial"/>
                <w:sz w:val="22"/>
                <w:szCs w:val="22"/>
              </w:rPr>
              <w:t>137,94</w:t>
            </w:r>
          </w:p>
        </w:tc>
      </w:tr>
      <w:tr w:rsidR="0012317E" w:rsidRPr="00C03235" w14:paraId="4A363EBE" w14:textId="77777777" w:rsidTr="00C41465">
        <w:trPr>
          <w:trHeight w:val="846"/>
          <w:jc w:val="center"/>
        </w:trPr>
        <w:tc>
          <w:tcPr>
            <w:tcW w:w="2263" w:type="dxa"/>
            <w:vAlign w:val="center"/>
          </w:tcPr>
          <w:p w14:paraId="74417A0D" w14:textId="77777777" w:rsidR="0012317E" w:rsidRPr="00C03235" w:rsidRDefault="0012317E" w:rsidP="004762A0">
            <w:pPr>
              <w:pStyle w:val="Piedepgina"/>
              <w:tabs>
                <w:tab w:val="clear" w:pos="4252"/>
                <w:tab w:val="clear" w:pos="8504"/>
                <w:tab w:val="center" w:pos="4845"/>
              </w:tabs>
              <w:ind w:right="142" w:firstLine="22"/>
              <w:contextualSpacing/>
              <w:jc w:val="both"/>
              <w:rPr>
                <w:rFonts w:cs="Arial"/>
                <w:sz w:val="22"/>
                <w:szCs w:val="22"/>
              </w:rPr>
            </w:pPr>
            <w:r w:rsidRPr="00C03235">
              <w:rPr>
                <w:rFonts w:cs="Arial"/>
                <w:sz w:val="22"/>
                <w:szCs w:val="22"/>
              </w:rPr>
              <w:t>Diésel.</w:t>
            </w:r>
          </w:p>
        </w:tc>
        <w:tc>
          <w:tcPr>
            <w:tcW w:w="5812" w:type="dxa"/>
            <w:gridSpan w:val="2"/>
            <w:vAlign w:val="center"/>
          </w:tcPr>
          <w:p w14:paraId="0EF438DD" w14:textId="77777777" w:rsidR="0012317E" w:rsidRPr="00C03235" w:rsidRDefault="0012317E" w:rsidP="004762A0">
            <w:pPr>
              <w:pStyle w:val="Piedepgina"/>
              <w:tabs>
                <w:tab w:val="clear" w:pos="4252"/>
                <w:tab w:val="clear" w:pos="8504"/>
                <w:tab w:val="center" w:pos="4845"/>
              </w:tabs>
              <w:ind w:right="142" w:firstLine="22"/>
              <w:contextualSpacing/>
              <w:jc w:val="center"/>
              <w:rPr>
                <w:rFonts w:cs="Arial"/>
                <w:sz w:val="22"/>
                <w:szCs w:val="22"/>
              </w:rPr>
            </w:pPr>
            <w:r w:rsidRPr="00C03235">
              <w:rPr>
                <w:rFonts w:cs="Arial"/>
                <w:sz w:val="20"/>
                <w:szCs w:val="20"/>
              </w:rPr>
              <w:t>Según lo previsto en el literal a), del artículo 22, de la Resolución CREG 091 de 2007, modificada mediante Resolución CREG 057 de 2009.</w:t>
            </w:r>
          </w:p>
        </w:tc>
      </w:tr>
    </w:tbl>
    <w:p w14:paraId="1E11CB4E" w14:textId="77777777" w:rsidR="0012317E" w:rsidRPr="00C03235" w:rsidRDefault="0012317E" w:rsidP="00C53F44">
      <w:pPr>
        <w:pStyle w:val="Piedepgina"/>
        <w:tabs>
          <w:tab w:val="clear" w:pos="4252"/>
          <w:tab w:val="clear" w:pos="8504"/>
          <w:tab w:val="center" w:pos="4845"/>
        </w:tabs>
        <w:ind w:left="284" w:right="142"/>
        <w:contextualSpacing/>
        <w:jc w:val="both"/>
        <w:rPr>
          <w:rFonts w:cs="Arial"/>
        </w:rPr>
      </w:pPr>
    </w:p>
    <w:p w14:paraId="2BB11F5E" w14:textId="77777777" w:rsidR="0012317E" w:rsidRPr="00C03235" w:rsidRDefault="0012317E" w:rsidP="00C53F44">
      <w:pPr>
        <w:pStyle w:val="Piedepgina"/>
        <w:tabs>
          <w:tab w:val="clear" w:pos="4252"/>
          <w:tab w:val="clear" w:pos="8504"/>
          <w:tab w:val="center" w:pos="4845"/>
        </w:tabs>
        <w:ind w:left="284" w:right="142"/>
        <w:contextualSpacing/>
        <w:jc w:val="both"/>
        <w:rPr>
          <w:rFonts w:cs="Arial"/>
        </w:rPr>
      </w:pPr>
      <w:r w:rsidRPr="00C03235">
        <w:rPr>
          <w:rFonts w:cs="Arial"/>
        </w:rPr>
        <w:t>En donde:</w:t>
      </w:r>
    </w:p>
    <w:p w14:paraId="450D1D2F" w14:textId="77777777" w:rsidR="0012317E" w:rsidRPr="00C03235" w:rsidRDefault="0012317E" w:rsidP="00C53F44">
      <w:pPr>
        <w:pStyle w:val="Piedepgina"/>
        <w:tabs>
          <w:tab w:val="clear" w:pos="4252"/>
          <w:tab w:val="clear" w:pos="8504"/>
          <w:tab w:val="center" w:pos="4845"/>
        </w:tabs>
        <w:ind w:left="284" w:right="142"/>
        <w:contextualSpacing/>
        <w:jc w:val="both"/>
        <w:rPr>
          <w:rFonts w:cs="Arial"/>
        </w:rPr>
      </w:pPr>
    </w:p>
    <w:tbl>
      <w:tblPr>
        <w:tblStyle w:val="Tablaconcuadrcula"/>
        <w:tblW w:w="869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
        <w:gridCol w:w="471"/>
        <w:gridCol w:w="7129"/>
      </w:tblGrid>
      <w:tr w:rsidR="0012317E" w:rsidRPr="00C03235" w14:paraId="4F4821EE" w14:textId="77777777" w:rsidTr="001E4E73">
        <w:tc>
          <w:tcPr>
            <w:tcW w:w="1095" w:type="dxa"/>
          </w:tcPr>
          <w:p w14:paraId="23256B38" w14:textId="77777777" w:rsidR="0012317E" w:rsidRPr="00C03235" w:rsidRDefault="0012317E" w:rsidP="004762A0">
            <w:pPr>
              <w:ind w:left="36" w:right="142"/>
              <w:contextualSpacing/>
              <w:rPr>
                <w:rFonts w:cs="Arial"/>
              </w:rPr>
            </w:pPr>
            <w:r w:rsidRPr="00C03235">
              <w:rPr>
                <w:rFonts w:cs="Arial"/>
                <w:i/>
              </w:rPr>
              <w:t>CI</w:t>
            </w:r>
            <w:r w:rsidRPr="00C03235">
              <w:rPr>
                <w:rFonts w:cs="Arial"/>
                <w:i/>
                <w:vertAlign w:val="subscript"/>
              </w:rPr>
              <w:t>j,0</w:t>
            </w:r>
          </w:p>
        </w:tc>
        <w:tc>
          <w:tcPr>
            <w:tcW w:w="236" w:type="dxa"/>
          </w:tcPr>
          <w:p w14:paraId="6D8F0055" w14:textId="77777777" w:rsidR="0012317E" w:rsidRPr="00C03235" w:rsidRDefault="0012317E" w:rsidP="004762A0">
            <w:pPr>
              <w:ind w:left="36" w:right="142"/>
              <w:contextualSpacing/>
              <w:jc w:val="both"/>
              <w:rPr>
                <w:rFonts w:cs="Arial"/>
              </w:rPr>
            </w:pPr>
            <w:r w:rsidRPr="00C03235">
              <w:rPr>
                <w:rFonts w:cs="Arial"/>
              </w:rPr>
              <w:t>:</w:t>
            </w:r>
          </w:p>
        </w:tc>
        <w:tc>
          <w:tcPr>
            <w:tcW w:w="7364" w:type="dxa"/>
          </w:tcPr>
          <w:p w14:paraId="220CB78A" w14:textId="77777777" w:rsidR="0012317E" w:rsidRPr="00C03235" w:rsidRDefault="0012317E" w:rsidP="004762A0">
            <w:pPr>
              <w:ind w:left="36" w:right="142"/>
              <w:contextualSpacing/>
              <w:jc w:val="both"/>
              <w:rPr>
                <w:rFonts w:cs="Arial"/>
              </w:rPr>
            </w:pPr>
            <w:r w:rsidRPr="00C03235">
              <w:rPr>
                <w:rFonts w:cs="Arial"/>
              </w:rPr>
              <w:t xml:space="preserve">Componente de remuneración de los costos de inversión del recurso energético </w:t>
            </w:r>
            <w:r w:rsidRPr="00C03235">
              <w:rPr>
                <w:rFonts w:cs="Arial"/>
                <w:i/>
              </w:rPr>
              <w:t>j</w:t>
            </w:r>
            <w:r w:rsidRPr="00C03235">
              <w:rPr>
                <w:rFonts w:cs="Arial"/>
              </w:rPr>
              <w:t>, del mercado relevante de comercialización de la cabecera municipal de Nazareth y Puerto Estrella, expresado en pesos constantes de la fecha base.</w:t>
            </w:r>
          </w:p>
          <w:p w14:paraId="5CE9E9F2" w14:textId="77777777" w:rsidR="0012317E" w:rsidRPr="00C03235" w:rsidRDefault="0012317E" w:rsidP="004762A0">
            <w:pPr>
              <w:ind w:left="36" w:right="142"/>
              <w:contextualSpacing/>
              <w:jc w:val="both"/>
              <w:rPr>
                <w:rFonts w:cs="Arial"/>
              </w:rPr>
            </w:pPr>
          </w:p>
        </w:tc>
      </w:tr>
      <w:tr w:rsidR="0012317E" w:rsidRPr="00C03235" w14:paraId="25EFA03C" w14:textId="77777777" w:rsidTr="001E4E73">
        <w:tc>
          <w:tcPr>
            <w:tcW w:w="1095" w:type="dxa"/>
          </w:tcPr>
          <w:p w14:paraId="42AB8FE5" w14:textId="77777777" w:rsidR="0012317E" w:rsidRPr="00C03235" w:rsidRDefault="0012317E" w:rsidP="004762A0">
            <w:pPr>
              <w:ind w:left="36" w:right="142"/>
              <w:contextualSpacing/>
              <w:rPr>
                <w:rFonts w:cs="Arial"/>
                <w:i/>
              </w:rPr>
            </w:pPr>
            <w:r w:rsidRPr="00C03235">
              <w:rPr>
                <w:rFonts w:cs="Arial"/>
                <w:i/>
              </w:rPr>
              <w:t>CM</w:t>
            </w:r>
            <w:r w:rsidRPr="00C03235">
              <w:rPr>
                <w:rFonts w:cs="Arial"/>
                <w:i/>
                <w:vertAlign w:val="subscript"/>
              </w:rPr>
              <w:t>j,0</w:t>
            </w:r>
          </w:p>
        </w:tc>
        <w:tc>
          <w:tcPr>
            <w:tcW w:w="236" w:type="dxa"/>
          </w:tcPr>
          <w:p w14:paraId="4ABC2EBD" w14:textId="77777777" w:rsidR="0012317E" w:rsidRPr="00C03235" w:rsidRDefault="0012317E" w:rsidP="004762A0">
            <w:pPr>
              <w:ind w:left="36" w:right="142"/>
              <w:contextualSpacing/>
              <w:jc w:val="both"/>
              <w:rPr>
                <w:rFonts w:cs="Arial"/>
              </w:rPr>
            </w:pPr>
            <w:r w:rsidRPr="00C03235">
              <w:rPr>
                <w:rFonts w:cs="Arial"/>
              </w:rPr>
              <w:t>:</w:t>
            </w:r>
          </w:p>
        </w:tc>
        <w:tc>
          <w:tcPr>
            <w:tcW w:w="7364" w:type="dxa"/>
          </w:tcPr>
          <w:p w14:paraId="3059EDBD" w14:textId="77777777" w:rsidR="0012317E" w:rsidRPr="00C03235" w:rsidRDefault="0012317E" w:rsidP="004762A0">
            <w:pPr>
              <w:ind w:left="36" w:right="142"/>
              <w:contextualSpacing/>
              <w:jc w:val="both"/>
              <w:rPr>
                <w:rFonts w:cs="Arial"/>
              </w:rPr>
            </w:pPr>
            <w:r w:rsidRPr="00C03235">
              <w:rPr>
                <w:rFonts w:cs="Arial"/>
              </w:rPr>
              <w:t xml:space="preserve">Componente de remuneración de los costos de administración operación y mantenimiento del recurso energético </w:t>
            </w:r>
            <w:r w:rsidRPr="00C03235">
              <w:rPr>
                <w:rFonts w:cs="Arial"/>
                <w:i/>
              </w:rPr>
              <w:t>j</w:t>
            </w:r>
            <w:r w:rsidRPr="00C03235">
              <w:rPr>
                <w:rFonts w:cs="Arial"/>
              </w:rPr>
              <w:t>, del mercado relevante de comercialización de la cabecera municipal de Nazareth y Puerto Estrella, expresado en pesos constantes de la fecha base.</w:t>
            </w:r>
          </w:p>
          <w:p w14:paraId="050246C7" w14:textId="77777777" w:rsidR="0012317E" w:rsidRPr="00C03235" w:rsidRDefault="0012317E" w:rsidP="004762A0">
            <w:pPr>
              <w:ind w:left="36" w:right="142"/>
              <w:contextualSpacing/>
              <w:jc w:val="both"/>
              <w:rPr>
                <w:rFonts w:cs="Arial"/>
              </w:rPr>
            </w:pPr>
          </w:p>
        </w:tc>
      </w:tr>
      <w:tr w:rsidR="0012317E" w:rsidRPr="00C03235" w14:paraId="237123EC" w14:textId="77777777" w:rsidTr="001E4E73">
        <w:tc>
          <w:tcPr>
            <w:tcW w:w="1095" w:type="dxa"/>
          </w:tcPr>
          <w:p w14:paraId="1F19A684" w14:textId="77777777" w:rsidR="0012317E" w:rsidRPr="00C03235" w:rsidRDefault="0012317E" w:rsidP="004762A0">
            <w:pPr>
              <w:ind w:left="36" w:right="142"/>
              <w:contextualSpacing/>
              <w:rPr>
                <w:rFonts w:cs="Arial"/>
              </w:rPr>
            </w:pPr>
            <w:r w:rsidRPr="00C03235">
              <w:rPr>
                <w:rFonts w:cs="Arial"/>
              </w:rPr>
              <w:t>Fecha base</w:t>
            </w:r>
          </w:p>
        </w:tc>
        <w:tc>
          <w:tcPr>
            <w:tcW w:w="236" w:type="dxa"/>
          </w:tcPr>
          <w:p w14:paraId="3615EA8C" w14:textId="77777777" w:rsidR="0012317E" w:rsidRPr="00C03235" w:rsidRDefault="0012317E" w:rsidP="004762A0">
            <w:pPr>
              <w:ind w:left="36" w:right="142"/>
              <w:contextualSpacing/>
              <w:jc w:val="both"/>
              <w:rPr>
                <w:rFonts w:cs="Arial"/>
              </w:rPr>
            </w:pPr>
            <w:r w:rsidRPr="00C03235">
              <w:rPr>
                <w:rFonts w:cs="Arial"/>
              </w:rPr>
              <w:t>:</w:t>
            </w:r>
          </w:p>
        </w:tc>
        <w:tc>
          <w:tcPr>
            <w:tcW w:w="7364" w:type="dxa"/>
          </w:tcPr>
          <w:p w14:paraId="01D3D97A" w14:textId="77777777" w:rsidR="0012317E" w:rsidRPr="00C03235" w:rsidRDefault="0012317E" w:rsidP="004762A0">
            <w:pPr>
              <w:ind w:left="36" w:right="142"/>
              <w:contextualSpacing/>
              <w:jc w:val="both"/>
              <w:rPr>
                <w:rFonts w:cs="Arial"/>
              </w:rPr>
            </w:pPr>
            <w:r w:rsidRPr="00C03235">
              <w:rPr>
                <w:rFonts w:cs="Arial"/>
              </w:rPr>
              <w:t>31 de diciembre de 2006.</w:t>
            </w:r>
          </w:p>
          <w:p w14:paraId="374ABDEA" w14:textId="77777777" w:rsidR="0012317E" w:rsidRPr="00C03235" w:rsidRDefault="0012317E" w:rsidP="004762A0">
            <w:pPr>
              <w:ind w:left="36" w:right="142"/>
              <w:contextualSpacing/>
              <w:jc w:val="both"/>
              <w:rPr>
                <w:rFonts w:cs="Arial"/>
              </w:rPr>
            </w:pPr>
          </w:p>
        </w:tc>
      </w:tr>
    </w:tbl>
    <w:p w14:paraId="3C79B819" w14:textId="77777777" w:rsidR="00536932" w:rsidRPr="00C03235" w:rsidRDefault="00536932" w:rsidP="00536932">
      <w:pPr>
        <w:jc w:val="both"/>
        <w:rPr>
          <w:bCs/>
        </w:rPr>
      </w:pPr>
    </w:p>
    <w:p w14:paraId="4D0A2F1C" w14:textId="6AA22F7A" w:rsidR="00536932" w:rsidRPr="00C03235" w:rsidRDefault="65B9E5B7" w:rsidP="00536932">
      <w:pPr>
        <w:jc w:val="both"/>
      </w:pPr>
      <w:r w:rsidRPr="00C03235">
        <w:rPr>
          <w:b/>
          <w:bCs/>
        </w:rPr>
        <w:t xml:space="preserve">ARTÍCULO </w:t>
      </w:r>
      <w:r w:rsidR="007D2274" w:rsidRPr="00C03235">
        <w:rPr>
          <w:b/>
          <w:bCs/>
        </w:rPr>
        <w:t>2</w:t>
      </w:r>
      <w:r w:rsidRPr="00C03235">
        <w:rPr>
          <w:b/>
          <w:bCs/>
        </w:rPr>
        <w:t xml:space="preserve">. </w:t>
      </w:r>
      <w:r w:rsidRPr="00C03235">
        <w:t>Reponer</w:t>
      </w:r>
      <w:r w:rsidR="084727F5" w:rsidRPr="00C03235">
        <w:t xml:space="preserve"> parcialmente</w:t>
      </w:r>
      <w:r w:rsidRPr="00C03235">
        <w:t xml:space="preserve"> </w:t>
      </w:r>
      <w:r w:rsidR="00785276" w:rsidRPr="00C03235">
        <w:t xml:space="preserve">la </w:t>
      </w:r>
      <w:r w:rsidRPr="00C03235">
        <w:t xml:space="preserve">Resolución CREG 501 004 de 2023, de acuerdo con lo expuesto en la parte motiva de la presente resolución, </w:t>
      </w:r>
      <w:r w:rsidR="616CE878" w:rsidRPr="00C03235">
        <w:t xml:space="preserve">en el sentido de modificar el </w:t>
      </w:r>
      <w:r w:rsidR="001B526B" w:rsidRPr="00C03235">
        <w:t xml:space="preserve">valor mínimo del parámetro </w:t>
      </w:r>
      <m:oMath>
        <m:r>
          <w:rPr>
            <w:rFonts w:ascii="Cambria Math" w:hAnsi="Cambria Math" w:cs="Arial"/>
          </w:rPr>
          <m:t>β</m:t>
        </m:r>
      </m:oMath>
      <w:r w:rsidR="001B526B" w:rsidRPr="00C03235">
        <w:t xml:space="preserve">, contenido en el </w:t>
      </w:r>
      <w:r w:rsidR="616CE878" w:rsidRPr="00C03235">
        <w:t xml:space="preserve">Artículo 2, </w:t>
      </w:r>
      <w:r w:rsidRPr="00C03235">
        <w:t>el cual quedará así:</w:t>
      </w:r>
    </w:p>
    <w:p w14:paraId="30D305E8" w14:textId="77777777" w:rsidR="00536932" w:rsidRPr="00C03235" w:rsidRDefault="00536932" w:rsidP="004762A0">
      <w:pPr>
        <w:jc w:val="both"/>
        <w:rPr>
          <w:bCs/>
        </w:rPr>
      </w:pPr>
    </w:p>
    <w:p w14:paraId="769DF585" w14:textId="13CD9CC6" w:rsidR="005A4030" w:rsidRPr="00C03235" w:rsidRDefault="005A4030" w:rsidP="003708AB">
      <w:pPr>
        <w:ind w:left="284"/>
        <w:jc w:val="both"/>
        <w:rPr>
          <w:bCs/>
        </w:rPr>
      </w:pPr>
      <w:r w:rsidRPr="00C03235">
        <w:rPr>
          <w:bCs/>
        </w:rPr>
        <w:t>“(…)</w:t>
      </w:r>
    </w:p>
    <w:p w14:paraId="31DF1617" w14:textId="77777777" w:rsidR="003708AB" w:rsidRPr="00C03235" w:rsidRDefault="003708AB" w:rsidP="003708AB">
      <w:pPr>
        <w:ind w:left="284"/>
        <w:jc w:val="both"/>
        <w:rPr>
          <w:bCs/>
        </w:rPr>
      </w:pPr>
    </w:p>
    <w:tbl>
      <w:tblPr>
        <w:tblStyle w:val="Tablaconcuadrcula"/>
        <w:tblW w:w="893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84"/>
        <w:gridCol w:w="8222"/>
      </w:tblGrid>
      <w:tr w:rsidR="00A3130F" w:rsidRPr="00C03235" w14:paraId="6EF17F26" w14:textId="77777777" w:rsidTr="00B86335">
        <w:trPr>
          <w:trHeight w:val="1707"/>
        </w:trPr>
        <w:tc>
          <w:tcPr>
            <w:tcW w:w="425" w:type="dxa"/>
          </w:tcPr>
          <w:p w14:paraId="15CF14BE" w14:textId="429E94D2" w:rsidR="00A3130F" w:rsidRPr="00BB19E9" w:rsidRDefault="00BB19E9">
            <w:pPr>
              <w:ind w:right="142"/>
              <w:contextualSpacing/>
              <w:rPr>
                <w:rFonts w:cs="Arial"/>
                <w:bCs/>
                <w:i/>
              </w:rPr>
            </w:pPr>
            <m:oMathPara>
              <m:oMathParaPr>
                <m:jc m:val="left"/>
              </m:oMathParaPr>
              <m:oMath>
                <m:r>
                  <w:rPr>
                    <w:rFonts w:ascii="Cambria Math" w:hAnsi="Cambria Math" w:cs="Arial"/>
                  </w:rPr>
                  <m:t>β</m:t>
                </m:r>
              </m:oMath>
            </m:oMathPara>
          </w:p>
        </w:tc>
        <w:tc>
          <w:tcPr>
            <w:tcW w:w="284" w:type="dxa"/>
          </w:tcPr>
          <w:p w14:paraId="445B7CB6" w14:textId="77777777" w:rsidR="00A3130F" w:rsidRPr="00BB19E9" w:rsidRDefault="00A3130F">
            <w:pPr>
              <w:ind w:right="142"/>
              <w:contextualSpacing/>
              <w:jc w:val="both"/>
              <w:rPr>
                <w:rFonts w:cs="Arial"/>
                <w:bCs/>
                <w:i/>
              </w:rPr>
            </w:pPr>
            <w:r w:rsidRPr="00BB19E9">
              <w:rPr>
                <w:rFonts w:cs="Arial"/>
                <w:bCs/>
                <w:i/>
              </w:rPr>
              <w:t>:</w:t>
            </w:r>
          </w:p>
        </w:tc>
        <w:tc>
          <w:tcPr>
            <w:tcW w:w="8222" w:type="dxa"/>
          </w:tcPr>
          <w:p w14:paraId="2A03CD8E" w14:textId="1570C480" w:rsidR="00A3130F" w:rsidRPr="00BB19E9" w:rsidRDefault="00A3130F">
            <w:pPr>
              <w:ind w:right="142"/>
              <w:contextualSpacing/>
              <w:jc w:val="both"/>
              <w:rPr>
                <w:rFonts w:cs="Arial"/>
                <w:i/>
              </w:rPr>
            </w:pPr>
            <w:r w:rsidRPr="00BB19E9">
              <w:rPr>
                <w:rFonts w:eastAsia="Bookman Old Style" w:cs="Bookman Old Style"/>
                <w:i/>
              </w:rPr>
              <w:t xml:space="preserve">Proporción de la generación de recursos solares fotovoltaicos con alimentación directa a red, como parte de la generación de sistemas solares fotovoltaicos con acumulación, dentro del parque de generación del mercado relevante de comercialización señalado en este artículo, para el mes m. El valor mínimo de este parámetro será de </w:t>
            </w:r>
            <w:r w:rsidRPr="00BB19E9">
              <w:rPr>
                <w:rFonts w:cs="Arial"/>
                <w:i/>
              </w:rPr>
              <w:t>0,</w:t>
            </w:r>
            <w:r w:rsidR="0045502E" w:rsidRPr="00BB19E9">
              <w:rPr>
                <w:rFonts w:cs="Arial"/>
                <w:i/>
              </w:rPr>
              <w:t>821</w:t>
            </w:r>
            <w:r w:rsidR="00C8017B" w:rsidRPr="00BB19E9">
              <w:rPr>
                <w:rFonts w:cs="Arial"/>
                <w:i/>
              </w:rPr>
              <w:t>4</w:t>
            </w:r>
            <w:r w:rsidRPr="00BB19E9">
              <w:rPr>
                <w:rFonts w:cs="Arial"/>
                <w:i/>
              </w:rPr>
              <w:t>.</w:t>
            </w:r>
          </w:p>
        </w:tc>
      </w:tr>
    </w:tbl>
    <w:p w14:paraId="635D8D1D" w14:textId="77777777" w:rsidR="003708AB" w:rsidRPr="00C03235" w:rsidRDefault="003708AB" w:rsidP="003708AB">
      <w:pPr>
        <w:ind w:left="284"/>
        <w:jc w:val="both"/>
        <w:rPr>
          <w:bCs/>
        </w:rPr>
      </w:pPr>
    </w:p>
    <w:p w14:paraId="6027A33E" w14:textId="5B922177" w:rsidR="003708AB" w:rsidRPr="00C03235" w:rsidRDefault="003708AB" w:rsidP="003708AB">
      <w:pPr>
        <w:ind w:left="284"/>
        <w:jc w:val="both"/>
        <w:rPr>
          <w:bCs/>
        </w:rPr>
      </w:pPr>
      <w:r w:rsidRPr="00C03235">
        <w:rPr>
          <w:bCs/>
        </w:rPr>
        <w:t>(…)”</w:t>
      </w:r>
    </w:p>
    <w:p w14:paraId="0A7C5DD0" w14:textId="77777777" w:rsidR="003708AB" w:rsidRPr="00C03235" w:rsidRDefault="003708AB" w:rsidP="005A4030">
      <w:pPr>
        <w:jc w:val="both"/>
        <w:rPr>
          <w:bCs/>
        </w:rPr>
      </w:pPr>
    </w:p>
    <w:p w14:paraId="13868035" w14:textId="101659E3" w:rsidR="00C03235" w:rsidRPr="00F468DE" w:rsidRDefault="6753EACB" w:rsidP="333A38D3">
      <w:pPr>
        <w:jc w:val="both"/>
        <w:rPr>
          <w:b/>
          <w:bCs/>
        </w:rPr>
      </w:pPr>
      <w:r w:rsidRPr="00F468DE">
        <w:rPr>
          <w:b/>
          <w:bCs/>
        </w:rPr>
        <w:t>ARTÍCULO 3.</w:t>
      </w:r>
      <w:r w:rsidR="00E9219D" w:rsidRPr="00F468DE">
        <w:rPr>
          <w:b/>
          <w:bCs/>
        </w:rPr>
        <w:t xml:space="preserve"> </w:t>
      </w:r>
      <w:r w:rsidR="00E9219D" w:rsidRPr="00F468DE">
        <w:t xml:space="preserve">A partir de la </w:t>
      </w:r>
      <w:r w:rsidR="00C03235" w:rsidRPr="00F468DE">
        <w:t>vigencia</w:t>
      </w:r>
      <w:r w:rsidR="00E9219D" w:rsidRPr="00F468DE">
        <w:t xml:space="preserve"> de la presente resolución, los costos de transporte de combustible desde </w:t>
      </w:r>
      <w:r w:rsidR="00390E19" w:rsidRPr="00F468DE">
        <w:t xml:space="preserve">el centro de abasto </w:t>
      </w:r>
      <w:r w:rsidR="00C03235" w:rsidRPr="00F468DE">
        <w:t>más</w:t>
      </w:r>
      <w:r w:rsidR="00063B44" w:rsidRPr="00F468DE">
        <w:t xml:space="preserve"> cercano, correspondiente a </w:t>
      </w:r>
      <w:r w:rsidR="00307101" w:rsidRPr="00F468DE">
        <w:t>Maicao</w:t>
      </w:r>
      <w:r w:rsidR="00292755" w:rsidRPr="00F468DE">
        <w:t>, hasta el centro poblado de Nazareth</w:t>
      </w:r>
      <w:r w:rsidR="00396804" w:rsidRPr="00F468DE">
        <w:t xml:space="preserve">, en el </w:t>
      </w:r>
      <w:r w:rsidR="00C03235" w:rsidRPr="00F468DE">
        <w:t>municipio</w:t>
      </w:r>
      <w:r w:rsidR="00396804" w:rsidRPr="00F468DE">
        <w:t xml:space="preserve"> de Uribia, departamento de La Guajira</w:t>
      </w:r>
      <w:r w:rsidR="007E023A" w:rsidRPr="00F468DE">
        <w:t xml:space="preserve">, aplicables para la determinación del costo de generación de </w:t>
      </w:r>
      <w:r w:rsidR="00C03235" w:rsidRPr="00F468DE">
        <w:t>energía</w:t>
      </w:r>
      <w:r w:rsidR="007E023A" w:rsidRPr="00F468DE">
        <w:t xml:space="preserve"> </w:t>
      </w:r>
      <w:r w:rsidR="00C03235" w:rsidRPr="00F468DE">
        <w:t>eléctrica, del que trata el artículo 24 de la Resolución CREG 091 de 2007, serán los siguientes:</w:t>
      </w:r>
    </w:p>
    <w:p w14:paraId="22D30ED7" w14:textId="77777777" w:rsidR="00C03235" w:rsidRPr="00F468DE" w:rsidRDefault="00C03235" w:rsidP="333A38D3">
      <w:pPr>
        <w:jc w:val="both"/>
        <w:rPr>
          <w:b/>
          <w:bCs/>
        </w:rPr>
      </w:pPr>
    </w:p>
    <w:tbl>
      <w:tblPr>
        <w:tblStyle w:val="Tablaconcuadrcula"/>
        <w:tblW w:w="0" w:type="auto"/>
        <w:jc w:val="center"/>
        <w:tblLook w:val="04A0" w:firstRow="1" w:lastRow="0" w:firstColumn="1" w:lastColumn="0" w:noHBand="0" w:noVBand="1"/>
      </w:tblPr>
      <w:tblGrid>
        <w:gridCol w:w="2126"/>
        <w:gridCol w:w="1700"/>
        <w:gridCol w:w="1560"/>
        <w:gridCol w:w="1985"/>
      </w:tblGrid>
      <w:tr w:rsidR="00846541" w:rsidRPr="00F468DE" w14:paraId="51AAECFE" w14:textId="77777777" w:rsidTr="00EC3867">
        <w:trPr>
          <w:trHeight w:val="392"/>
          <w:jc w:val="center"/>
        </w:trPr>
        <w:tc>
          <w:tcPr>
            <w:tcW w:w="2126" w:type="dxa"/>
            <w:vMerge w:val="restart"/>
            <w:vAlign w:val="center"/>
          </w:tcPr>
          <w:p w14:paraId="11874154" w14:textId="29E908B2" w:rsidR="00846541" w:rsidRPr="00F468DE" w:rsidRDefault="00846541" w:rsidP="00DF2903">
            <w:pPr>
              <w:jc w:val="center"/>
              <w:rPr>
                <w:b/>
                <w:bCs/>
              </w:rPr>
            </w:pPr>
            <w:r w:rsidRPr="00F468DE">
              <w:rPr>
                <w:b/>
                <w:bCs/>
              </w:rPr>
              <w:t>Desde centro de Abasto</w:t>
            </w:r>
          </w:p>
        </w:tc>
        <w:tc>
          <w:tcPr>
            <w:tcW w:w="3260" w:type="dxa"/>
            <w:gridSpan w:val="2"/>
            <w:vAlign w:val="center"/>
          </w:tcPr>
          <w:p w14:paraId="53F9B254" w14:textId="1BE24B1B" w:rsidR="00846541" w:rsidRPr="00F468DE" w:rsidRDefault="00846541" w:rsidP="00DF2903">
            <w:pPr>
              <w:jc w:val="center"/>
              <w:rPr>
                <w:b/>
                <w:bCs/>
              </w:rPr>
            </w:pPr>
            <w:r w:rsidRPr="00F468DE">
              <w:rPr>
                <w:b/>
                <w:bCs/>
              </w:rPr>
              <w:t>Hasta</w:t>
            </w:r>
          </w:p>
        </w:tc>
        <w:tc>
          <w:tcPr>
            <w:tcW w:w="1985" w:type="dxa"/>
            <w:vMerge w:val="restart"/>
            <w:vAlign w:val="center"/>
          </w:tcPr>
          <w:p w14:paraId="2D3B2944" w14:textId="1C338F24" w:rsidR="00846541" w:rsidRPr="00F468DE" w:rsidRDefault="00846541" w:rsidP="00DF2903">
            <w:pPr>
              <w:jc w:val="center"/>
              <w:rPr>
                <w:b/>
                <w:bCs/>
              </w:rPr>
            </w:pPr>
            <w:r w:rsidRPr="00F468DE">
              <w:rPr>
                <w:b/>
                <w:bCs/>
              </w:rPr>
              <w:t>$/galón</w:t>
            </w:r>
          </w:p>
        </w:tc>
      </w:tr>
      <w:tr w:rsidR="00846541" w:rsidRPr="00F468DE" w14:paraId="16AEDEFD" w14:textId="77777777" w:rsidTr="00EC3867">
        <w:trPr>
          <w:trHeight w:val="392"/>
          <w:jc w:val="center"/>
        </w:trPr>
        <w:tc>
          <w:tcPr>
            <w:tcW w:w="2126" w:type="dxa"/>
            <w:vMerge/>
            <w:vAlign w:val="center"/>
          </w:tcPr>
          <w:p w14:paraId="3C03459C" w14:textId="2C5D6404" w:rsidR="00846541" w:rsidRPr="00F468DE" w:rsidRDefault="00846541" w:rsidP="00DF2903">
            <w:pPr>
              <w:jc w:val="center"/>
              <w:rPr>
                <w:b/>
                <w:bCs/>
              </w:rPr>
            </w:pPr>
          </w:p>
        </w:tc>
        <w:tc>
          <w:tcPr>
            <w:tcW w:w="1700" w:type="dxa"/>
            <w:vAlign w:val="center"/>
          </w:tcPr>
          <w:p w14:paraId="64924C2F" w14:textId="127DAADE" w:rsidR="00846541" w:rsidRPr="00F468DE" w:rsidRDefault="00846541" w:rsidP="00DF2903">
            <w:pPr>
              <w:jc w:val="center"/>
              <w:rPr>
                <w:b/>
                <w:bCs/>
              </w:rPr>
            </w:pPr>
            <w:r w:rsidRPr="00F468DE">
              <w:rPr>
                <w:b/>
                <w:bCs/>
              </w:rPr>
              <w:t>Municipio</w:t>
            </w:r>
          </w:p>
        </w:tc>
        <w:tc>
          <w:tcPr>
            <w:tcW w:w="1560" w:type="dxa"/>
            <w:vAlign w:val="center"/>
          </w:tcPr>
          <w:p w14:paraId="5B819119" w14:textId="5AD1AF16" w:rsidR="00846541" w:rsidRPr="00F468DE" w:rsidRDefault="00846541" w:rsidP="00DF2903">
            <w:pPr>
              <w:jc w:val="center"/>
              <w:rPr>
                <w:b/>
                <w:bCs/>
              </w:rPr>
            </w:pPr>
            <w:r w:rsidRPr="00F468DE">
              <w:rPr>
                <w:b/>
                <w:bCs/>
              </w:rPr>
              <w:t>Población</w:t>
            </w:r>
          </w:p>
        </w:tc>
        <w:tc>
          <w:tcPr>
            <w:tcW w:w="1985" w:type="dxa"/>
            <w:vMerge/>
            <w:vAlign w:val="center"/>
          </w:tcPr>
          <w:p w14:paraId="14A846C0" w14:textId="3007569B" w:rsidR="00846541" w:rsidRPr="00F468DE" w:rsidRDefault="00846541" w:rsidP="00DF2903">
            <w:pPr>
              <w:jc w:val="center"/>
              <w:rPr>
                <w:b/>
                <w:bCs/>
              </w:rPr>
            </w:pPr>
          </w:p>
        </w:tc>
      </w:tr>
      <w:tr w:rsidR="00846541" w:rsidRPr="00F468DE" w14:paraId="1691DDFF" w14:textId="77777777" w:rsidTr="00F67121">
        <w:trPr>
          <w:trHeight w:val="472"/>
          <w:jc w:val="center"/>
        </w:trPr>
        <w:tc>
          <w:tcPr>
            <w:tcW w:w="2126" w:type="dxa"/>
            <w:vAlign w:val="center"/>
          </w:tcPr>
          <w:p w14:paraId="4DAD3BF8" w14:textId="398DDDC4" w:rsidR="00846541" w:rsidRPr="00F468DE" w:rsidRDefault="00405D49" w:rsidP="00DF2903">
            <w:pPr>
              <w:jc w:val="center"/>
            </w:pPr>
            <w:r w:rsidRPr="00F468DE">
              <w:t>Maicao</w:t>
            </w:r>
          </w:p>
        </w:tc>
        <w:tc>
          <w:tcPr>
            <w:tcW w:w="1700" w:type="dxa"/>
            <w:vAlign w:val="center"/>
          </w:tcPr>
          <w:p w14:paraId="09E26B72" w14:textId="7E15B97B" w:rsidR="00846541" w:rsidRPr="00F468DE" w:rsidRDefault="00A97A81" w:rsidP="00DF2903">
            <w:pPr>
              <w:jc w:val="center"/>
            </w:pPr>
            <w:r w:rsidRPr="00F468DE">
              <w:t>Uribia</w:t>
            </w:r>
          </w:p>
        </w:tc>
        <w:tc>
          <w:tcPr>
            <w:tcW w:w="1560" w:type="dxa"/>
            <w:vAlign w:val="center"/>
          </w:tcPr>
          <w:p w14:paraId="4E40996E" w14:textId="63FCC88E" w:rsidR="00846541" w:rsidRPr="00F468DE" w:rsidRDefault="00DF2903" w:rsidP="00DF2903">
            <w:pPr>
              <w:jc w:val="center"/>
            </w:pPr>
            <w:r w:rsidRPr="00F468DE">
              <w:t>Nazareth</w:t>
            </w:r>
          </w:p>
        </w:tc>
        <w:tc>
          <w:tcPr>
            <w:tcW w:w="1985" w:type="dxa"/>
            <w:vAlign w:val="center"/>
          </w:tcPr>
          <w:p w14:paraId="1F4AE076" w14:textId="44B28BB3" w:rsidR="00846541" w:rsidRPr="00F468DE" w:rsidRDefault="00F54B6B" w:rsidP="00DF2903">
            <w:pPr>
              <w:jc w:val="center"/>
            </w:pPr>
            <w:r w:rsidRPr="00F468DE">
              <w:t>1.015,89</w:t>
            </w:r>
          </w:p>
        </w:tc>
      </w:tr>
    </w:tbl>
    <w:p w14:paraId="04D2EC67" w14:textId="77777777" w:rsidR="00FA553D" w:rsidRPr="00F468DE" w:rsidRDefault="00FA553D" w:rsidP="00FA553D">
      <w:pPr>
        <w:rPr>
          <w:sz w:val="28"/>
          <w:szCs w:val="28"/>
        </w:rPr>
      </w:pPr>
    </w:p>
    <w:p w14:paraId="23816B8D" w14:textId="75D2403E" w:rsidR="00560E47" w:rsidRDefault="00FA553D" w:rsidP="00560E47">
      <w:pPr>
        <w:jc w:val="both"/>
        <w:rPr>
          <w:bCs/>
        </w:rPr>
      </w:pPr>
      <w:bookmarkStart w:id="5" w:name="_Hlk137807499"/>
      <w:r w:rsidRPr="00F468DE">
        <w:rPr>
          <w:b/>
        </w:rPr>
        <w:t>PARÁGRAFO</w:t>
      </w:r>
      <w:r w:rsidRPr="00FA553D">
        <w:rPr>
          <w:b/>
        </w:rPr>
        <w:t>.</w:t>
      </w:r>
      <w:r w:rsidRPr="00FA553D">
        <w:rPr>
          <w:bCs/>
        </w:rPr>
        <w:t xml:space="preserve"> Los costos de transporte de combustible aquí definidos </w:t>
      </w:r>
      <w:r>
        <w:rPr>
          <w:bCs/>
        </w:rPr>
        <w:t xml:space="preserve">se encuentran en pesos de diciembre del 2006 y </w:t>
      </w:r>
      <w:r w:rsidRPr="00FA553D">
        <w:rPr>
          <w:bCs/>
        </w:rPr>
        <w:t xml:space="preserve">serán actualizados utilizando el </w:t>
      </w:r>
      <w:r w:rsidR="00E76C58">
        <w:rPr>
          <w:bCs/>
        </w:rPr>
        <w:t>Í</w:t>
      </w:r>
      <w:r w:rsidRPr="00FA553D">
        <w:rPr>
          <w:bCs/>
        </w:rPr>
        <w:t>ndice de Precios al Productor - Oferta Interna.</w:t>
      </w:r>
    </w:p>
    <w:p w14:paraId="02199B8A" w14:textId="77777777" w:rsidR="00F468DE" w:rsidRPr="00C03235" w:rsidRDefault="00F468DE" w:rsidP="00560E47">
      <w:pPr>
        <w:jc w:val="both"/>
        <w:rPr>
          <w:bCs/>
        </w:rPr>
      </w:pPr>
    </w:p>
    <w:p w14:paraId="40A4FAD6" w14:textId="04EBF63D" w:rsidR="001D6E9F" w:rsidRPr="00C03235" w:rsidRDefault="00560E47" w:rsidP="007F3B17">
      <w:pPr>
        <w:jc w:val="both"/>
        <w:rPr>
          <w:bCs/>
        </w:rPr>
      </w:pPr>
      <w:r w:rsidRPr="00C03235">
        <w:rPr>
          <w:b/>
        </w:rPr>
        <w:t xml:space="preserve">ARTÍCULO </w:t>
      </w:r>
      <w:r w:rsidR="00E82C96" w:rsidRPr="00C03235">
        <w:rPr>
          <w:b/>
        </w:rPr>
        <w:t>4</w:t>
      </w:r>
      <w:bookmarkEnd w:id="5"/>
      <w:r w:rsidRPr="00C03235">
        <w:rPr>
          <w:b/>
        </w:rPr>
        <w:t>.</w:t>
      </w:r>
      <w:r w:rsidR="00952180" w:rsidRPr="00C03235">
        <w:rPr>
          <w:b/>
        </w:rPr>
        <w:t xml:space="preserve"> Notificación. </w:t>
      </w:r>
      <w:r w:rsidR="007F3B17" w:rsidRPr="00C03235">
        <w:rPr>
          <w:bCs/>
        </w:rPr>
        <w:t>Notificar al representante legal de la empresa HELIOS</w:t>
      </w:r>
      <w:r w:rsidR="00C9732E" w:rsidRPr="00C03235">
        <w:rPr>
          <w:bCs/>
        </w:rPr>
        <w:t xml:space="preserve"> S.A E.S.P</w:t>
      </w:r>
      <w:r w:rsidR="00923FCA" w:rsidRPr="00C03235">
        <w:rPr>
          <w:bCs/>
        </w:rPr>
        <w:t>.</w:t>
      </w:r>
      <w:r w:rsidR="007F3B17" w:rsidRPr="00C03235">
        <w:rPr>
          <w:bCs/>
        </w:rPr>
        <w:t xml:space="preserve"> el contenido de esta resolución. Contra lo aquí dispuesto no procede recurso alguno, por haber finalizado la actuación administrativa</w:t>
      </w:r>
      <w:r w:rsidR="00CA6AF9" w:rsidRPr="00C03235">
        <w:rPr>
          <w:bCs/>
        </w:rPr>
        <w:t xml:space="preserve"> y </w:t>
      </w:r>
      <w:r w:rsidR="00880FA7" w:rsidRPr="00C03235">
        <w:rPr>
          <w:bCs/>
        </w:rPr>
        <w:t xml:space="preserve">toda vez que se entienden agotados todos los recursos </w:t>
      </w:r>
      <w:r w:rsidR="00923FCA" w:rsidRPr="00C03235">
        <w:rPr>
          <w:bCs/>
        </w:rPr>
        <w:t>previstos en la ley</w:t>
      </w:r>
      <w:r w:rsidR="00880FA7" w:rsidRPr="00C03235">
        <w:rPr>
          <w:bCs/>
        </w:rPr>
        <w:t>.</w:t>
      </w:r>
    </w:p>
    <w:p w14:paraId="6037C4A0" w14:textId="77777777" w:rsidR="00880FA7" w:rsidRPr="00C03235" w:rsidRDefault="00880FA7" w:rsidP="007F3B17">
      <w:pPr>
        <w:jc w:val="both"/>
        <w:rPr>
          <w:bCs/>
        </w:rPr>
      </w:pPr>
    </w:p>
    <w:p w14:paraId="4AD00AAB" w14:textId="4CE8F3FD" w:rsidR="001D6E9F" w:rsidRPr="00C03235" w:rsidRDefault="001D6E9F" w:rsidP="001D6E9F">
      <w:pPr>
        <w:jc w:val="both"/>
      </w:pPr>
      <w:r w:rsidRPr="00C03235">
        <w:rPr>
          <w:b/>
          <w:bCs/>
        </w:rPr>
        <w:t xml:space="preserve">ARTÍCULO </w:t>
      </w:r>
      <w:r w:rsidR="00E82C96" w:rsidRPr="00C03235">
        <w:rPr>
          <w:b/>
          <w:bCs/>
        </w:rPr>
        <w:t>5</w:t>
      </w:r>
      <w:r w:rsidRPr="00C03235">
        <w:rPr>
          <w:b/>
          <w:bCs/>
        </w:rPr>
        <w:t>. Comunicación y publicación.</w:t>
      </w:r>
      <w:r w:rsidRPr="00C03235">
        <w:t xml:space="preserve"> </w:t>
      </w:r>
      <w:r w:rsidR="00D55DB2" w:rsidRPr="00C03235">
        <w:t>Una vez en fir</w:t>
      </w:r>
      <w:r w:rsidR="00EC7ED1" w:rsidRPr="00C03235">
        <w:t>me, p</w:t>
      </w:r>
      <w:r w:rsidRPr="00C03235">
        <w:t xml:space="preserve">ublicar la presente resolución en Diario Oficial y comunicar a la Superintendencia de Servicios Públicos Domiciliarios. </w:t>
      </w:r>
    </w:p>
    <w:p w14:paraId="787D0AF3" w14:textId="77777777" w:rsidR="00045D3D" w:rsidRPr="00C03235" w:rsidRDefault="00045D3D" w:rsidP="00DF3CA2">
      <w:pPr>
        <w:jc w:val="both"/>
        <w:rPr>
          <w:sz w:val="22"/>
        </w:rPr>
      </w:pPr>
    </w:p>
    <w:p w14:paraId="339F8DF2" w14:textId="77777777" w:rsidR="00045D3D" w:rsidRPr="00C03235" w:rsidRDefault="00045D3D" w:rsidP="00DF3CA2">
      <w:pPr>
        <w:jc w:val="both"/>
        <w:rPr>
          <w:sz w:val="22"/>
        </w:rPr>
      </w:pPr>
    </w:p>
    <w:p w14:paraId="292B1F06" w14:textId="77777777" w:rsidR="00045D3D" w:rsidRPr="00C03235" w:rsidRDefault="002903C0" w:rsidP="00045D3D">
      <w:pPr>
        <w:jc w:val="center"/>
        <w:rPr>
          <w:b/>
        </w:rPr>
      </w:pPr>
      <w:r w:rsidRPr="00C03235">
        <w:rPr>
          <w:b/>
        </w:rPr>
        <w:t xml:space="preserve">NOTIFÍQUESE, </w:t>
      </w:r>
      <w:r w:rsidR="00045D3D" w:rsidRPr="00C03235">
        <w:rPr>
          <w:b/>
        </w:rPr>
        <w:t>PU</w:t>
      </w:r>
      <w:r w:rsidR="00CA03C8" w:rsidRPr="00C03235">
        <w:rPr>
          <w:b/>
        </w:rPr>
        <w:t>B</w:t>
      </w:r>
      <w:r w:rsidR="00045D3D" w:rsidRPr="00C03235">
        <w:rPr>
          <w:b/>
        </w:rPr>
        <w:t>LÍQUESE Y CÚMPLASE</w:t>
      </w:r>
    </w:p>
    <w:p w14:paraId="7651F574" w14:textId="77777777" w:rsidR="00045D3D" w:rsidRPr="00C03235" w:rsidRDefault="00045D3D" w:rsidP="002149FE"/>
    <w:p w14:paraId="335AD89B" w14:textId="77777777" w:rsidR="00E36E84" w:rsidRPr="00C03235" w:rsidRDefault="00E36E84" w:rsidP="002149FE"/>
    <w:p w14:paraId="41425FE5" w14:textId="7BB42F54" w:rsidR="00045D3D" w:rsidRPr="00C03235" w:rsidRDefault="00045D3D" w:rsidP="00045D3D">
      <w:r w:rsidRPr="00C03235">
        <w:t>Dada en Bogotá, D.C.</w:t>
      </w:r>
      <w:r w:rsidR="00CA3AA6" w:rsidRPr="00C03235">
        <w:t xml:space="preserve"> a</w:t>
      </w:r>
      <w:r w:rsidR="00DB55D9">
        <w:t xml:space="preserve"> 31 días de octubre de 2024</w:t>
      </w:r>
    </w:p>
    <w:p w14:paraId="2A65BEAB" w14:textId="77777777" w:rsidR="00045D3D" w:rsidRPr="00C03235" w:rsidRDefault="00045D3D" w:rsidP="00045D3D"/>
    <w:p w14:paraId="0129F617" w14:textId="77777777" w:rsidR="00CB4490" w:rsidRPr="00C03235" w:rsidRDefault="00CB4490" w:rsidP="00045D3D"/>
    <w:p w14:paraId="440CD492" w14:textId="77777777" w:rsidR="00CB4490" w:rsidRPr="00C03235" w:rsidRDefault="00CB4490" w:rsidP="00045D3D"/>
    <w:p w14:paraId="2F5DC22A" w14:textId="77777777" w:rsidR="00CB4490" w:rsidRPr="00C03235" w:rsidRDefault="00CB4490" w:rsidP="00045D3D"/>
    <w:p w14:paraId="1C505DDF" w14:textId="77777777" w:rsidR="00045D3D" w:rsidRPr="00C03235" w:rsidRDefault="00045D3D" w:rsidP="00045D3D"/>
    <w:tbl>
      <w:tblPr>
        <w:tblW w:w="0" w:type="auto"/>
        <w:jc w:val="center"/>
        <w:tblLayout w:type="fixed"/>
        <w:tblCellMar>
          <w:left w:w="70" w:type="dxa"/>
          <w:right w:w="70" w:type="dxa"/>
        </w:tblCellMar>
        <w:tblLook w:val="0000" w:firstRow="0" w:lastRow="0" w:firstColumn="0" w:lastColumn="0" w:noHBand="0" w:noVBand="0"/>
      </w:tblPr>
      <w:tblGrid>
        <w:gridCol w:w="5067"/>
        <w:gridCol w:w="4429"/>
      </w:tblGrid>
      <w:tr w:rsidR="00F77D2D" w:rsidRPr="00C03235" w14:paraId="1893E0FE" w14:textId="77777777" w:rsidTr="00C44E5F">
        <w:trPr>
          <w:jc w:val="center"/>
        </w:trPr>
        <w:tc>
          <w:tcPr>
            <w:tcW w:w="5067" w:type="dxa"/>
          </w:tcPr>
          <w:p w14:paraId="74CB9507" w14:textId="57CEAC48" w:rsidR="003162E0" w:rsidRPr="003162E0" w:rsidRDefault="00BA45FB" w:rsidP="00C44E5F">
            <w:pPr>
              <w:tabs>
                <w:tab w:val="left" w:pos="-720"/>
              </w:tabs>
              <w:suppressAutoHyphens/>
              <w:jc w:val="center"/>
              <w:rPr>
                <w:rFonts w:cs="Arial"/>
                <w:b/>
                <w:spacing w:val="-3"/>
              </w:rPr>
            </w:pPr>
            <w:r>
              <w:rPr>
                <w:rFonts w:cs="Arial"/>
                <w:b/>
                <w:spacing w:val="-3"/>
              </w:rPr>
              <w:t>J</w:t>
            </w:r>
            <w:r w:rsidRPr="00BA45FB">
              <w:rPr>
                <w:rFonts w:cs="Arial"/>
                <w:b/>
                <w:spacing w:val="-3"/>
              </w:rPr>
              <w:t>AVIER EDUARDO CAMPILLO JIMENEZ</w:t>
            </w:r>
          </w:p>
          <w:p w14:paraId="1507DEC6" w14:textId="3ACD65EA" w:rsidR="00A37E8D" w:rsidRDefault="00F77D2D" w:rsidP="00C44E5F">
            <w:pPr>
              <w:tabs>
                <w:tab w:val="left" w:pos="-720"/>
              </w:tabs>
              <w:suppressAutoHyphens/>
              <w:jc w:val="center"/>
            </w:pPr>
            <w:r w:rsidRPr="00C03235">
              <w:t xml:space="preserve">Ministro de Minas y Energía </w:t>
            </w:r>
          </w:p>
          <w:p w14:paraId="6AD75F25" w14:textId="35B8FE7D" w:rsidR="00F77D2D" w:rsidRPr="00C03235" w:rsidRDefault="00F77D2D" w:rsidP="00C44E5F">
            <w:pPr>
              <w:tabs>
                <w:tab w:val="left" w:pos="-720"/>
              </w:tabs>
              <w:suppressAutoHyphens/>
              <w:jc w:val="center"/>
              <w:rPr>
                <w:rFonts w:cs="Arial"/>
                <w:b/>
                <w:strike/>
                <w:spacing w:val="-3"/>
              </w:rPr>
            </w:pPr>
            <w:r w:rsidRPr="00C03235">
              <w:t>Presidente</w:t>
            </w:r>
          </w:p>
        </w:tc>
        <w:tc>
          <w:tcPr>
            <w:tcW w:w="4429" w:type="dxa"/>
          </w:tcPr>
          <w:p w14:paraId="6369F7A4" w14:textId="20DE707E" w:rsidR="00F77D2D" w:rsidRPr="00C03235" w:rsidRDefault="00AC78E4" w:rsidP="00C44E5F">
            <w:pPr>
              <w:tabs>
                <w:tab w:val="left" w:pos="-720"/>
              </w:tabs>
              <w:suppressAutoHyphens/>
              <w:jc w:val="center"/>
              <w:rPr>
                <w:rFonts w:cs="Arial"/>
                <w:b/>
              </w:rPr>
            </w:pPr>
            <w:r w:rsidRPr="00C03235">
              <w:rPr>
                <w:rFonts w:cs="Arial"/>
                <w:b/>
              </w:rPr>
              <w:t>ANTONIO JIMENEZ RIVERA</w:t>
            </w:r>
          </w:p>
          <w:p w14:paraId="734E2950" w14:textId="77777777" w:rsidR="00F77D2D" w:rsidRPr="00C03235" w:rsidRDefault="00F77D2D" w:rsidP="00C44E5F">
            <w:pPr>
              <w:tabs>
                <w:tab w:val="left" w:pos="-720"/>
              </w:tabs>
              <w:suppressAutoHyphens/>
              <w:jc w:val="center"/>
              <w:rPr>
                <w:rFonts w:cs="Arial"/>
                <w:b/>
                <w:spacing w:val="-3"/>
              </w:rPr>
            </w:pPr>
            <w:r w:rsidRPr="00C03235">
              <w:rPr>
                <w:rFonts w:cs="Arial"/>
                <w:spacing w:val="-3"/>
              </w:rPr>
              <w:t>Director Ejecutivo</w:t>
            </w:r>
          </w:p>
        </w:tc>
      </w:tr>
    </w:tbl>
    <w:p w14:paraId="7C2B3EB8" w14:textId="77777777" w:rsidR="00045D3D" w:rsidRPr="00C03235" w:rsidRDefault="00045D3D" w:rsidP="00045D3D"/>
    <w:p w14:paraId="185A0E4A" w14:textId="2F5C6692" w:rsidR="00E060BE" w:rsidRPr="00E060BE" w:rsidRDefault="00E060BE" w:rsidP="00F77D2D">
      <w:pPr>
        <w:rPr>
          <w:rFonts w:cs="Arial"/>
        </w:rPr>
      </w:pPr>
    </w:p>
    <w:sectPr w:rsidR="00E060BE" w:rsidRPr="00E060BE" w:rsidSect="00BC3CCB">
      <w:headerReference w:type="default" r:id="rId27"/>
      <w:headerReference w:type="first" r:id="rId28"/>
      <w:type w:val="continuous"/>
      <w:pgSz w:w="12242" w:h="18722" w:code="123"/>
      <w:pgMar w:top="2341" w:right="1185" w:bottom="175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87284" w14:textId="77777777" w:rsidR="00E27E66" w:rsidRPr="00C03235" w:rsidRDefault="00E27E66">
      <w:r w:rsidRPr="00C03235">
        <w:separator/>
      </w:r>
    </w:p>
  </w:endnote>
  <w:endnote w:type="continuationSeparator" w:id="0">
    <w:p w14:paraId="31D57043" w14:textId="77777777" w:rsidR="00E27E66" w:rsidRPr="00C03235" w:rsidRDefault="00E27E66">
      <w:r w:rsidRPr="00C03235">
        <w:continuationSeparator/>
      </w:r>
    </w:p>
  </w:endnote>
  <w:endnote w:type="continuationNotice" w:id="1">
    <w:p w14:paraId="1BE081A1" w14:textId="77777777" w:rsidR="00E27E66" w:rsidRPr="00C03235" w:rsidRDefault="00E27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Cambria"/>
    <w:panose1 w:val="020506040505050202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589FA" w14:textId="77777777" w:rsidR="00E27E66" w:rsidRPr="00C03235" w:rsidRDefault="00E27E66">
      <w:r w:rsidRPr="00C03235">
        <w:separator/>
      </w:r>
    </w:p>
  </w:footnote>
  <w:footnote w:type="continuationSeparator" w:id="0">
    <w:p w14:paraId="41192FD3" w14:textId="77777777" w:rsidR="00E27E66" w:rsidRPr="00C03235" w:rsidRDefault="00E27E66">
      <w:r w:rsidRPr="00C03235">
        <w:continuationSeparator/>
      </w:r>
    </w:p>
  </w:footnote>
  <w:footnote w:type="continuationNotice" w:id="1">
    <w:p w14:paraId="56C75284" w14:textId="77777777" w:rsidR="00E27E66" w:rsidRPr="00C03235" w:rsidRDefault="00E27E66"/>
  </w:footnote>
  <w:footnote w:id="2">
    <w:p w14:paraId="698ABA00" w14:textId="3FF1C912" w:rsidR="64CCE873" w:rsidRPr="00C03235" w:rsidRDefault="64CCE873" w:rsidP="003E618A">
      <w:pPr>
        <w:pStyle w:val="Textonotapie"/>
        <w:jc w:val="both"/>
      </w:pPr>
      <w:r w:rsidRPr="00C03235">
        <w:rPr>
          <w:rStyle w:val="Refdenotaalpie"/>
        </w:rPr>
        <w:footnoteRef/>
      </w:r>
      <w:r w:rsidRPr="00C03235">
        <w:t xml:space="preserve"> De acuerdo con el certificado de comunicación electrónica E97046841-R del servicio de envíos de Colombia 4-72, se constata que HELIOS accedió al contenido del acto administrativo en la fecha (27-02-2023) y hora (09:27am).</w:t>
      </w:r>
    </w:p>
  </w:footnote>
  <w:footnote w:id="3">
    <w:p w14:paraId="3408136D" w14:textId="23DE9BFF" w:rsidR="79E27E0E" w:rsidRPr="00C03235" w:rsidRDefault="79E27E0E" w:rsidP="00ED4091">
      <w:pPr>
        <w:pStyle w:val="Textonotapie"/>
      </w:pPr>
      <w:r w:rsidRPr="00C03235">
        <w:rPr>
          <w:rStyle w:val="Refdenotaalpie"/>
        </w:rPr>
        <w:footnoteRef/>
      </w:r>
      <w:r w:rsidRPr="00C03235">
        <w:t xml:space="preserve"> Consejo de Estado, Sala de Consulta y Servicio Civil, Concepto del 3 de julio de 2015. Rad. 11001-03-06-000-2015-00042-00(2247).</w:t>
      </w:r>
    </w:p>
  </w:footnote>
  <w:footnote w:id="4">
    <w:p w14:paraId="077AA3AA" w14:textId="3C6BEBD5" w:rsidR="000F1091" w:rsidRPr="00C03235" w:rsidRDefault="000F1091" w:rsidP="00273468">
      <w:pPr>
        <w:pStyle w:val="Textonotapie"/>
        <w:jc w:val="both"/>
      </w:pPr>
      <w:r w:rsidRPr="00C03235">
        <w:rPr>
          <w:rStyle w:val="Refdenotaalpie"/>
        </w:rPr>
        <w:footnoteRef/>
      </w:r>
      <w:r w:rsidRPr="00C03235">
        <w:t xml:space="preserve"> </w:t>
      </w:r>
      <w:r w:rsidR="00FF1A9B" w:rsidRPr="00C03235">
        <w:rPr>
          <w:sz w:val="18"/>
          <w:szCs w:val="18"/>
        </w:rPr>
        <w:t>Modelo de costos de transporte</w:t>
      </w:r>
      <w:r w:rsidR="000771FF" w:rsidRPr="00C03235">
        <w:rPr>
          <w:sz w:val="18"/>
          <w:szCs w:val="18"/>
        </w:rPr>
        <w:t xml:space="preserve"> </w:t>
      </w:r>
      <w:r w:rsidR="00FF1A9B" w:rsidRPr="00C03235">
        <w:rPr>
          <w:sz w:val="18"/>
          <w:szCs w:val="18"/>
        </w:rPr>
        <w:t>desarrollad</w:t>
      </w:r>
      <w:r w:rsidR="000771FF" w:rsidRPr="00C03235">
        <w:rPr>
          <w:sz w:val="18"/>
          <w:szCs w:val="18"/>
        </w:rPr>
        <w:t>o</w:t>
      </w:r>
      <w:r w:rsidR="00FF1A9B" w:rsidRPr="00C03235">
        <w:rPr>
          <w:sz w:val="18"/>
          <w:szCs w:val="18"/>
        </w:rPr>
        <w:t xml:space="preserve"> por la empresa HART Energy &amp; Control Consulting S.A.S</w:t>
      </w:r>
      <w:r w:rsidR="001C445F" w:rsidRPr="00C03235">
        <w:rPr>
          <w:sz w:val="18"/>
          <w:szCs w:val="18"/>
        </w:rPr>
        <w:t xml:space="preserve">., el cual fue expuesto en taller desarrollado </w:t>
      </w:r>
      <w:r w:rsidR="00AF6EA9" w:rsidRPr="00C03235">
        <w:rPr>
          <w:sz w:val="18"/>
          <w:szCs w:val="18"/>
        </w:rPr>
        <w:t>el 29 de enero de 2021</w:t>
      </w:r>
      <w:r w:rsidR="00E1714B" w:rsidRPr="00C03235">
        <w:rPr>
          <w:sz w:val="18"/>
          <w:szCs w:val="18"/>
        </w:rPr>
        <w:t xml:space="preserve">, </w:t>
      </w:r>
      <w:r w:rsidR="001C445F" w:rsidRPr="00C03235">
        <w:rPr>
          <w:sz w:val="18"/>
          <w:szCs w:val="18"/>
        </w:rPr>
        <w:t>posteriormente</w:t>
      </w:r>
      <w:r w:rsidR="00E1714B" w:rsidRPr="00C03235">
        <w:rPr>
          <w:sz w:val="18"/>
          <w:szCs w:val="18"/>
        </w:rPr>
        <w:t xml:space="preserve"> </w:t>
      </w:r>
      <w:r w:rsidR="006155C8" w:rsidRPr="00C03235">
        <w:rPr>
          <w:sz w:val="18"/>
          <w:szCs w:val="18"/>
        </w:rPr>
        <w:t>fue publicado</w:t>
      </w:r>
      <w:r w:rsidR="00E1714B" w:rsidRPr="00C03235">
        <w:rPr>
          <w:sz w:val="18"/>
          <w:szCs w:val="18"/>
        </w:rPr>
        <w:t xml:space="preserve"> para conocimiento y comentarios del público</w:t>
      </w:r>
      <w:r w:rsidR="006155C8" w:rsidRPr="00C03235">
        <w:rPr>
          <w:sz w:val="18"/>
          <w:szCs w:val="18"/>
        </w:rPr>
        <w:t xml:space="preserve"> </w:t>
      </w:r>
      <w:r w:rsidR="00D52C49" w:rsidRPr="00C03235">
        <w:rPr>
          <w:sz w:val="18"/>
          <w:szCs w:val="18"/>
        </w:rPr>
        <w:t xml:space="preserve">mediante </w:t>
      </w:r>
      <w:r w:rsidR="00FF1A9B" w:rsidRPr="00C03235">
        <w:rPr>
          <w:sz w:val="18"/>
          <w:szCs w:val="18"/>
        </w:rPr>
        <w:t>Circular CREG 040 del 2021</w:t>
      </w:r>
      <w:r w:rsidR="00E1714B" w:rsidRPr="00C03235">
        <w:rPr>
          <w:sz w:val="18"/>
          <w:szCs w:val="18"/>
        </w:rPr>
        <w:t xml:space="preserve"> y, finalmente, </w:t>
      </w:r>
      <w:r w:rsidR="00A27B04" w:rsidRPr="00C03235">
        <w:rPr>
          <w:sz w:val="18"/>
          <w:szCs w:val="18"/>
        </w:rPr>
        <w:t xml:space="preserve">hizo parte del proyecto </w:t>
      </w:r>
      <w:r w:rsidR="00D25D98" w:rsidRPr="00C03235">
        <w:rPr>
          <w:sz w:val="18"/>
          <w:szCs w:val="18"/>
        </w:rPr>
        <w:t>regulatorio publicado mediante Resolución CREG 701 001 de 2022</w:t>
      </w:r>
      <w:r w:rsidR="00FF1A9B" w:rsidRPr="00C03235">
        <w:rPr>
          <w:sz w:val="18"/>
          <w:szCs w:val="18"/>
        </w:rPr>
        <w:t>.</w:t>
      </w:r>
      <w:r w:rsidR="00A51ED5" w:rsidRPr="00C03235">
        <w:rPr>
          <w:sz w:val="18"/>
          <w:szCs w:val="18"/>
        </w:rPr>
        <w:t xml:space="preserve"> Este modelo es </w:t>
      </w:r>
      <w:r w:rsidR="00693A62" w:rsidRPr="00C03235">
        <w:rPr>
          <w:sz w:val="18"/>
          <w:szCs w:val="18"/>
        </w:rPr>
        <w:t xml:space="preserve">insumo </w:t>
      </w:r>
      <w:r w:rsidR="00A51ED5" w:rsidRPr="00C03235">
        <w:rPr>
          <w:sz w:val="18"/>
          <w:szCs w:val="18"/>
        </w:rPr>
        <w:t xml:space="preserve">base para la determinación de los costos </w:t>
      </w:r>
      <w:r w:rsidR="00693A62" w:rsidRPr="00C03235">
        <w:rPr>
          <w:sz w:val="18"/>
          <w:szCs w:val="18"/>
        </w:rPr>
        <w:t>del servicio de energía eléctrica mediante soluciones individuales solares fotovoltaicas, Resolución CREG 101 026 de 2022.</w:t>
      </w:r>
    </w:p>
  </w:footnote>
  <w:footnote w:id="5">
    <w:p w14:paraId="3D9DD947" w14:textId="15AB5CC8" w:rsidR="007B4A93" w:rsidRPr="00C03235" w:rsidRDefault="007B4A93" w:rsidP="00273468">
      <w:pPr>
        <w:pStyle w:val="Textonotapie"/>
        <w:jc w:val="both"/>
      </w:pPr>
      <w:r w:rsidRPr="00273468">
        <w:rPr>
          <w:sz w:val="18"/>
          <w:szCs w:val="18"/>
          <w:vertAlign w:val="superscript"/>
        </w:rPr>
        <w:footnoteRef/>
      </w:r>
      <w:r w:rsidRPr="00C03235">
        <w:rPr>
          <w:sz w:val="22"/>
          <w:szCs w:val="22"/>
        </w:rPr>
        <w:t xml:space="preserve"> </w:t>
      </w:r>
      <w:bookmarkStart w:id="1" w:name="_Hlk182302809"/>
      <w:r w:rsidR="009375A9" w:rsidRPr="00C03235">
        <w:rPr>
          <w:sz w:val="18"/>
          <w:szCs w:val="18"/>
        </w:rPr>
        <w:t>Ibidem</w:t>
      </w:r>
      <w:r w:rsidR="0087514D" w:rsidRPr="00C03235">
        <w:rPr>
          <w:sz w:val="18"/>
          <w:szCs w:val="18"/>
        </w:rPr>
        <w:t>. E</w:t>
      </w:r>
      <w:r w:rsidR="006D3DC4" w:rsidRPr="00C03235">
        <w:rPr>
          <w:sz w:val="18"/>
          <w:szCs w:val="18"/>
        </w:rPr>
        <w:t xml:space="preserve">l porcentaje </w:t>
      </w:r>
      <w:r w:rsidR="00A05ABE" w:rsidRPr="00C03235">
        <w:rPr>
          <w:sz w:val="18"/>
          <w:szCs w:val="18"/>
        </w:rPr>
        <w:t xml:space="preserve">de 10,51% </w:t>
      </w:r>
      <w:r w:rsidR="00043FC9" w:rsidRPr="00C03235">
        <w:rPr>
          <w:sz w:val="18"/>
          <w:szCs w:val="18"/>
        </w:rPr>
        <w:t xml:space="preserve">y </w:t>
      </w:r>
      <w:r w:rsidR="009455DB" w:rsidRPr="00C03235">
        <w:rPr>
          <w:sz w:val="18"/>
          <w:szCs w:val="18"/>
        </w:rPr>
        <w:t>d</w:t>
      </w:r>
      <w:r w:rsidR="00043FC9" w:rsidRPr="00C03235">
        <w:rPr>
          <w:sz w:val="18"/>
          <w:szCs w:val="18"/>
        </w:rPr>
        <w:t xml:space="preserve">e </w:t>
      </w:r>
      <w:r w:rsidR="00EE6AC6" w:rsidRPr="00C03235">
        <w:rPr>
          <w:sz w:val="18"/>
          <w:szCs w:val="18"/>
        </w:rPr>
        <w:t>9.57</w:t>
      </w:r>
      <w:r w:rsidR="00043FC9" w:rsidRPr="00C03235">
        <w:rPr>
          <w:sz w:val="18"/>
          <w:szCs w:val="18"/>
        </w:rPr>
        <w:t>%</w:t>
      </w:r>
      <w:r w:rsidR="00D6149B" w:rsidRPr="00C03235">
        <w:rPr>
          <w:sz w:val="18"/>
          <w:szCs w:val="18"/>
        </w:rPr>
        <w:t>, considerados para los mercados de Unguía y Nazareth, respectivamente</w:t>
      </w:r>
      <w:r w:rsidR="006369A7" w:rsidRPr="00C03235">
        <w:rPr>
          <w:sz w:val="18"/>
          <w:szCs w:val="18"/>
        </w:rPr>
        <w:t>,</w:t>
      </w:r>
      <w:r w:rsidR="00D6149B" w:rsidRPr="00C03235">
        <w:rPr>
          <w:sz w:val="18"/>
          <w:szCs w:val="18"/>
        </w:rPr>
        <w:t xml:space="preserve"> se obtiene</w:t>
      </w:r>
      <w:r w:rsidR="009455DB" w:rsidRPr="00C03235">
        <w:rPr>
          <w:sz w:val="18"/>
          <w:szCs w:val="18"/>
        </w:rPr>
        <w:t>n</w:t>
      </w:r>
      <w:r w:rsidR="00D6149B" w:rsidRPr="00C03235">
        <w:rPr>
          <w:sz w:val="18"/>
          <w:szCs w:val="18"/>
        </w:rPr>
        <w:t xml:space="preserve"> del modelo </w:t>
      </w:r>
      <w:bookmarkStart w:id="2" w:name="_Hlk159408132"/>
      <w:r w:rsidR="00657A69" w:rsidRPr="00C03235">
        <w:rPr>
          <w:sz w:val="18"/>
          <w:szCs w:val="18"/>
        </w:rPr>
        <w:t>de costo</w:t>
      </w:r>
      <w:r w:rsidR="00D6149B" w:rsidRPr="00C03235">
        <w:rPr>
          <w:sz w:val="18"/>
          <w:szCs w:val="18"/>
        </w:rPr>
        <w:t>s</w:t>
      </w:r>
      <w:r w:rsidR="00657A69" w:rsidRPr="00C03235">
        <w:rPr>
          <w:sz w:val="18"/>
          <w:szCs w:val="18"/>
        </w:rPr>
        <w:t xml:space="preserve"> de transporte </w:t>
      </w:r>
      <w:r w:rsidR="00972587" w:rsidRPr="00C03235">
        <w:rPr>
          <w:sz w:val="18"/>
          <w:szCs w:val="18"/>
        </w:rPr>
        <w:t>desarroll</w:t>
      </w:r>
      <w:r w:rsidR="009375A9" w:rsidRPr="00C03235">
        <w:rPr>
          <w:sz w:val="18"/>
          <w:szCs w:val="18"/>
        </w:rPr>
        <w:t>a</w:t>
      </w:r>
      <w:r w:rsidR="00D6149B" w:rsidRPr="00C03235">
        <w:rPr>
          <w:sz w:val="18"/>
          <w:szCs w:val="18"/>
        </w:rPr>
        <w:t>do</w:t>
      </w:r>
      <w:r w:rsidR="00972587" w:rsidRPr="00C03235">
        <w:rPr>
          <w:sz w:val="18"/>
          <w:szCs w:val="18"/>
        </w:rPr>
        <w:t xml:space="preserve"> por </w:t>
      </w:r>
      <w:r w:rsidR="00661722" w:rsidRPr="00C03235">
        <w:rPr>
          <w:sz w:val="18"/>
          <w:szCs w:val="18"/>
        </w:rPr>
        <w:t>HART Energy &amp; Control Consulting S.A.S</w:t>
      </w:r>
      <w:r w:rsidR="00D6149B" w:rsidRPr="00C03235">
        <w:rPr>
          <w:sz w:val="18"/>
          <w:szCs w:val="18"/>
        </w:rPr>
        <w:t>.</w:t>
      </w:r>
      <w:bookmarkEnd w:id="1"/>
      <w:bookmarkEnd w:id="2"/>
    </w:p>
  </w:footnote>
  <w:footnote w:id="6">
    <w:p w14:paraId="23415C2D" w14:textId="53AAAB14" w:rsidR="00AD3821" w:rsidRPr="00C03235" w:rsidRDefault="00AD3821" w:rsidP="002C56DA">
      <w:pPr>
        <w:pStyle w:val="Textonotapie"/>
        <w:jc w:val="both"/>
      </w:pPr>
      <w:r w:rsidRPr="00C03235">
        <w:rPr>
          <w:rStyle w:val="Refdenotaalpie"/>
        </w:rPr>
        <w:footnoteRef/>
      </w:r>
      <w:r w:rsidRPr="00C03235">
        <w:t xml:space="preserve"> Ibidem. El porcentaje de 10,51% y de 9.57%, considerados para los mercados de Unguía y Nazareth, respectivamente, se obtienen del modelo de costos de transporte desarrollado por HART Energy &amp; Control Consulting S.A.S.</w:t>
      </w:r>
    </w:p>
  </w:footnote>
  <w:footnote w:id="7">
    <w:p w14:paraId="4CD827B5" w14:textId="77777777" w:rsidR="002A581D" w:rsidRPr="00D67179" w:rsidRDefault="002A581D" w:rsidP="002A581D">
      <w:pPr>
        <w:pStyle w:val="Textonotapie"/>
        <w:rPr>
          <w:lang w:val="es-MX"/>
        </w:rPr>
      </w:pPr>
      <w:r w:rsidRPr="00C03235">
        <w:rPr>
          <w:rStyle w:val="Refdenotaalpie"/>
        </w:rPr>
        <w:footnoteRef/>
      </w:r>
      <w:r w:rsidRPr="00C03235">
        <w:t xml:space="preserve"> Dato obtenido del archivo con nombre “Respuesta_a_oficio_del_25_de_julio_de_2022_identificado_con_Radicado_CREG_S2022002703” Radicado CREG E-2022-008662</w:t>
      </w:r>
    </w:p>
  </w:footnote>
  <w:footnote w:id="8">
    <w:p w14:paraId="33B545D0" w14:textId="45AAAD0F" w:rsidR="7E69F8DB" w:rsidRDefault="7E69F8DB" w:rsidP="7E69F8DB">
      <w:pPr>
        <w:pStyle w:val="Textonotapie"/>
      </w:pPr>
      <w:r w:rsidRPr="7E69F8DB">
        <w:rPr>
          <w:rStyle w:val="Refdenotaalpie"/>
        </w:rPr>
        <w:footnoteRef/>
      </w:r>
      <w:r w:rsidR="4077DF89">
        <w:t xml:space="preserve">Consejo de Estado, </w:t>
      </w:r>
      <w:r w:rsidR="0D41F8AC">
        <w:t xml:space="preserve">Sala de lo </w:t>
      </w:r>
      <w:r w:rsidR="323993BB">
        <w:t>Contencioso Administrativo</w:t>
      </w:r>
      <w:r w:rsidR="4AC96331">
        <w:t>,</w:t>
      </w:r>
      <w:r w:rsidR="0D41F8AC">
        <w:t xml:space="preserve"> </w:t>
      </w:r>
      <w:r w:rsidR="4077DF89">
        <w:t xml:space="preserve">Sección </w:t>
      </w:r>
      <w:r w:rsidR="0D41F8AC">
        <w:t>Primera</w:t>
      </w:r>
      <w:r w:rsidR="4BAF81EB">
        <w:t>,</w:t>
      </w:r>
      <w:r w:rsidR="0D41F8AC">
        <w:t xml:space="preserve"> </w:t>
      </w:r>
      <w:r w:rsidR="14E9B1F3">
        <w:t xml:space="preserve">sentencia del 3 de diciembre de 2015, Rad. </w:t>
      </w:r>
      <w:r w:rsidR="240044F8">
        <w:t>2500-23-41-000-2013-</w:t>
      </w:r>
      <w:r w:rsidR="45B63A5B">
        <w:t xml:space="preserve">00757.01. </w:t>
      </w:r>
      <w:r w:rsidR="5685AC95">
        <w:t xml:space="preserve">CP: María Elizabeth </w:t>
      </w:r>
      <w:r w:rsidR="74F68FA7">
        <w:t xml:space="preserve">García González.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A87ED" w14:textId="77777777" w:rsidR="00CC51D4" w:rsidRPr="00C03235" w:rsidRDefault="00CC51D4" w:rsidP="00951F79">
    <w:pPr>
      <w:pStyle w:val="Ttulo1"/>
      <w:ind w:right="6"/>
      <w:jc w:val="left"/>
      <w:rPr>
        <w:rFonts w:ascii="Bookman Old Style" w:hAnsi="Bookman Old Style" w:cs="Arial"/>
        <w:b w:val="0"/>
        <w:sz w:val="22"/>
        <w:szCs w:val="22"/>
      </w:rPr>
    </w:pPr>
  </w:p>
  <w:p w14:paraId="267D8AF5" w14:textId="0BF8A40D" w:rsidR="0087657D" w:rsidRPr="00C03235" w:rsidRDefault="00725FA4" w:rsidP="00DB55D9">
    <w:pPr>
      <w:pStyle w:val="Ttulo1"/>
      <w:ind w:right="6"/>
      <w:rPr>
        <w:rFonts w:ascii="Bookman Old Style" w:hAnsi="Bookman Old Style" w:cs="Arial"/>
        <w:b w:val="0"/>
        <w:sz w:val="22"/>
        <w:szCs w:val="22"/>
      </w:rPr>
    </w:pPr>
    <w:r w:rsidRPr="00C03235">
      <w:rPr>
        <w:rFonts w:ascii="Bookman Old Style" w:hAnsi="Bookman Old Style" w:cs="Arial"/>
        <w:b w:val="0"/>
        <w:sz w:val="22"/>
        <w:szCs w:val="22"/>
      </w:rPr>
      <w:t xml:space="preserve">RESOLUCIÓN </w:t>
    </w:r>
    <w:r w:rsidRPr="00DB55D9">
      <w:rPr>
        <w:rFonts w:ascii="Bookman Old Style" w:hAnsi="Bookman Old Style" w:cs="Arial"/>
        <w:b w:val="0"/>
        <w:sz w:val="22"/>
        <w:szCs w:val="22"/>
      </w:rPr>
      <w:t>No.</w:t>
    </w:r>
    <w:r w:rsidR="00951F79" w:rsidRPr="00DB55D9">
      <w:rPr>
        <w:rFonts w:ascii="Bookman Old Style" w:hAnsi="Bookman Old Style" w:cs="Arial"/>
        <w:bCs/>
        <w:sz w:val="22"/>
        <w:szCs w:val="22"/>
      </w:rPr>
      <w:t xml:space="preserve"> </w:t>
    </w:r>
    <w:r w:rsidR="00DB55D9" w:rsidRPr="00DB55D9">
      <w:rPr>
        <w:rFonts w:ascii="Bookman Old Style" w:hAnsi="Bookman Old Style" w:cs="Arial"/>
        <w:bCs/>
        <w:sz w:val="22"/>
        <w:szCs w:val="22"/>
        <w:u w:val="single"/>
      </w:rPr>
      <w:t>501 073</w:t>
    </w:r>
    <w:r w:rsidRPr="00C03235">
      <w:rPr>
        <w:rFonts w:ascii="Bookman Old Style" w:hAnsi="Bookman Old Style" w:cs="Arial"/>
        <w:b w:val="0"/>
        <w:sz w:val="22"/>
        <w:szCs w:val="22"/>
      </w:rPr>
      <w:tab/>
    </w:r>
    <w:r w:rsidR="00886EE1" w:rsidRPr="00C03235">
      <w:rPr>
        <w:rFonts w:ascii="Bookman Old Style" w:hAnsi="Bookman Old Style" w:cs="Arial"/>
        <w:b w:val="0"/>
        <w:sz w:val="22"/>
        <w:szCs w:val="22"/>
      </w:rPr>
      <w:t>DE</w:t>
    </w:r>
    <w:r w:rsidR="000D26F8" w:rsidRPr="00C03235">
      <w:rPr>
        <w:rFonts w:ascii="Bookman Old Style" w:hAnsi="Bookman Old Style" w:cs="Arial"/>
        <w:b w:val="0"/>
        <w:sz w:val="22"/>
        <w:szCs w:val="22"/>
      </w:rPr>
      <w:t xml:space="preserve"> </w:t>
    </w:r>
    <w:r w:rsidR="00DB55D9" w:rsidRPr="00DB55D9">
      <w:rPr>
        <w:rFonts w:ascii="Bookman Old Style" w:hAnsi="Bookman Old Style" w:cs="Arial"/>
        <w:bCs/>
        <w:sz w:val="22"/>
        <w:szCs w:val="22"/>
        <w:u w:val="single"/>
      </w:rPr>
      <w:t>31 oct.2024</w:t>
    </w:r>
    <w:r w:rsidR="003D076C" w:rsidRPr="00C03235">
      <w:rPr>
        <w:rFonts w:ascii="Bookman Old Style" w:hAnsi="Bookman Old Style" w:cs="Arial"/>
        <w:b w:val="0"/>
        <w:sz w:val="22"/>
        <w:szCs w:val="22"/>
      </w:rPr>
      <w:tab/>
    </w:r>
    <w:r w:rsidRPr="00C03235">
      <w:rPr>
        <w:rFonts w:ascii="Bookman Old Style" w:hAnsi="Bookman Old Style" w:cs="Arial"/>
        <w:b w:val="0"/>
        <w:sz w:val="22"/>
        <w:szCs w:val="22"/>
      </w:rPr>
      <w:t>HOJA No.</w:t>
    </w:r>
    <w:r w:rsidR="00593C4F" w:rsidRPr="00C03235">
      <w:rPr>
        <w:rFonts w:ascii="Bookman Old Style" w:hAnsi="Bookman Old Style" w:cs="Arial"/>
        <w:b w:val="0"/>
        <w:sz w:val="22"/>
        <w:szCs w:val="22"/>
      </w:rPr>
      <w:t xml:space="preserve"> </w:t>
    </w:r>
    <w:r w:rsidR="0042068C" w:rsidRPr="00C03235">
      <w:rPr>
        <w:rFonts w:ascii="Bookman Old Style" w:hAnsi="Bookman Old Style" w:cs="Arial"/>
        <w:b w:val="0"/>
        <w:sz w:val="22"/>
        <w:szCs w:val="22"/>
      </w:rPr>
      <w:fldChar w:fldCharType="begin"/>
    </w:r>
    <w:r w:rsidR="00593C4F" w:rsidRPr="00C03235">
      <w:rPr>
        <w:rFonts w:ascii="Bookman Old Style" w:hAnsi="Bookman Old Style" w:cs="Arial"/>
        <w:b w:val="0"/>
        <w:sz w:val="22"/>
        <w:szCs w:val="22"/>
      </w:rPr>
      <w:instrText xml:space="preserve"> PAGE   \* MERGEFORMAT </w:instrText>
    </w:r>
    <w:r w:rsidR="0042068C" w:rsidRPr="00C03235">
      <w:rPr>
        <w:rFonts w:ascii="Bookman Old Style" w:hAnsi="Bookman Old Style" w:cs="Arial"/>
        <w:b w:val="0"/>
        <w:sz w:val="22"/>
        <w:szCs w:val="22"/>
      </w:rPr>
      <w:fldChar w:fldCharType="separate"/>
    </w:r>
    <w:r w:rsidR="00F77D2D" w:rsidRPr="00C03235">
      <w:rPr>
        <w:rFonts w:ascii="Bookman Old Style" w:hAnsi="Bookman Old Style" w:cs="Arial"/>
        <w:b w:val="0"/>
        <w:sz w:val="22"/>
        <w:szCs w:val="22"/>
      </w:rPr>
      <w:t>2</w:t>
    </w:r>
    <w:r w:rsidR="0042068C" w:rsidRPr="00C03235">
      <w:rPr>
        <w:rFonts w:ascii="Bookman Old Style" w:hAnsi="Bookman Old Style" w:cs="Arial"/>
        <w:b w:val="0"/>
        <w:sz w:val="22"/>
        <w:szCs w:val="22"/>
      </w:rPr>
      <w:fldChar w:fldCharType="end"/>
    </w:r>
    <w:r w:rsidRPr="00C03235">
      <w:rPr>
        <w:rFonts w:ascii="Bookman Old Style" w:hAnsi="Bookman Old Style" w:cs="Arial"/>
        <w:b w:val="0"/>
        <w:sz w:val="22"/>
        <w:szCs w:val="22"/>
      </w:rPr>
      <w:t>/</w:t>
    </w:r>
    <w:fldSimple w:instr="NUMPAGES  \* MERGEFORMAT">
      <w:r w:rsidR="00F77D2D" w:rsidRPr="00C03235">
        <w:rPr>
          <w:rFonts w:ascii="Bookman Old Style" w:hAnsi="Bookman Old Style" w:cs="Arial"/>
          <w:b w:val="0"/>
          <w:sz w:val="22"/>
          <w:szCs w:val="22"/>
        </w:rPr>
        <w:t>2</w:t>
      </w:r>
    </w:fldSimple>
  </w:p>
  <w:p w14:paraId="39489639" w14:textId="189DE0A6" w:rsidR="006F6D95" w:rsidRPr="00C03235" w:rsidRDefault="00E4500F" w:rsidP="00AD01E4">
    <w:pPr>
      <w:ind w:left="142" w:right="148"/>
      <w:rPr>
        <w:rFonts w:cs="Arial"/>
      </w:rPr>
    </w:pPr>
    <w:r w:rsidRPr="00C03235">
      <w:rPr>
        <w:noProof/>
      </w:rPr>
      <mc:AlternateContent>
        <mc:Choice Requires="wps">
          <w:drawing>
            <wp:anchor distT="0" distB="0" distL="114300" distR="114300" simplePos="0" relativeHeight="251658240" behindDoc="0" locked="0" layoutInCell="1" allowOverlap="1" wp14:anchorId="381ACA9D" wp14:editId="54EF02B1">
              <wp:simplePos x="0" y="0"/>
              <wp:positionH relativeFrom="column">
                <wp:posOffset>-175260</wp:posOffset>
              </wp:positionH>
              <wp:positionV relativeFrom="paragraph">
                <wp:posOffset>139065</wp:posOffset>
              </wp:positionV>
              <wp:extent cx="6267450" cy="9900920"/>
              <wp:effectExtent l="15240" t="15240" r="13335" b="184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00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3EB53" id="Rectangle 2" o:spid="_x0000_s1026" style="position:absolute;margin-left:-13.8pt;margin-top:10.95pt;width:493.5pt;height:77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" filled="f" strokeweight="1.5pt"/>
          </w:pict>
        </mc:Fallback>
      </mc:AlternateContent>
    </w:r>
  </w:p>
  <w:p w14:paraId="30B7CB8B" w14:textId="0672139F" w:rsidR="00045D3D" w:rsidRPr="00DB55D9" w:rsidRDefault="00045D3D" w:rsidP="00045D3D">
    <w:pPr>
      <w:jc w:val="both"/>
      <w:rPr>
        <w:i/>
        <w:iCs/>
        <w:sz w:val="20"/>
        <w:szCs w:val="20"/>
      </w:rPr>
    </w:pPr>
    <w:r w:rsidRPr="00DB55D9">
      <w:rPr>
        <w:i/>
        <w:iCs/>
        <w:sz w:val="20"/>
        <w:szCs w:val="20"/>
      </w:rPr>
      <w:t xml:space="preserve">Por </w:t>
    </w:r>
    <w:r w:rsidR="00946EEA" w:rsidRPr="00DB55D9">
      <w:rPr>
        <w:i/>
        <w:iCs/>
        <w:sz w:val="20"/>
        <w:szCs w:val="20"/>
      </w:rPr>
      <w:t>la cual se resuelve el recurso de reposición interpuesto por HELIOS</w:t>
    </w:r>
    <w:r w:rsidR="00056CE0" w:rsidRPr="00DB55D9">
      <w:rPr>
        <w:i/>
        <w:iCs/>
        <w:sz w:val="20"/>
        <w:szCs w:val="20"/>
      </w:rPr>
      <w:t xml:space="preserve"> S.A E.S.P.</w:t>
    </w:r>
    <w:r w:rsidR="00946EEA" w:rsidRPr="00DB55D9">
      <w:rPr>
        <w:i/>
        <w:iCs/>
        <w:sz w:val="20"/>
        <w:szCs w:val="20"/>
      </w:rPr>
      <w:t xml:space="preserve"> contra la Resolución CREG 501 </w:t>
    </w:r>
    <w:r w:rsidR="00056CE0" w:rsidRPr="00DB55D9">
      <w:rPr>
        <w:i/>
        <w:iCs/>
        <w:sz w:val="20"/>
        <w:szCs w:val="20"/>
      </w:rPr>
      <w:t>004</w:t>
    </w:r>
    <w:r w:rsidR="00946EEA" w:rsidRPr="00DB55D9">
      <w:rPr>
        <w:i/>
        <w:iCs/>
        <w:sz w:val="20"/>
        <w:szCs w:val="20"/>
      </w:rPr>
      <w:t xml:space="preserve"> de 2023.</w:t>
    </w:r>
  </w:p>
  <w:p w14:paraId="16086E3D" w14:textId="77777777" w:rsidR="0044318E" w:rsidRPr="00C03235" w:rsidRDefault="0044318E" w:rsidP="006116A7">
    <w:pPr>
      <w:pBdr>
        <w:bottom w:val="single" w:sz="4" w:space="0" w:color="auto"/>
      </w:pBdr>
      <w:ind w:left="142" w:right="148"/>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1DA16" w14:textId="77777777" w:rsidR="00725FA4" w:rsidRPr="00C03235" w:rsidRDefault="00025383" w:rsidP="00025383">
    <w:pPr>
      <w:pStyle w:val="Encabezado"/>
      <w:jc w:val="both"/>
      <w:rPr>
        <w:rFonts w:ascii="Arial" w:hAnsi="Arial" w:cs="Arial"/>
        <w:spacing w:val="20"/>
        <w:sz w:val="20"/>
      </w:rPr>
    </w:pPr>
    <w:r w:rsidRPr="00C03235">
      <w:rPr>
        <w:rFonts w:ascii="Arial" w:hAnsi="Arial" w:cs="Arial"/>
        <w:spacing w:val="20"/>
        <w:sz w:val="20"/>
      </w:rPr>
      <w:t xml:space="preserve">                                   </w:t>
    </w:r>
    <w:r w:rsidR="00725FA4" w:rsidRPr="00C03235">
      <w:rPr>
        <w:rFonts w:ascii="Arial" w:hAnsi="Arial" w:cs="Arial"/>
        <w:spacing w:val="20"/>
        <w:sz w:val="20"/>
      </w:rPr>
      <w:t>República de Colombia</w:t>
    </w:r>
  </w:p>
  <w:p w14:paraId="273850B7" w14:textId="77777777" w:rsidR="00725FA4" w:rsidRPr="00C03235" w:rsidRDefault="00725FA4">
    <w:pPr>
      <w:pStyle w:val="Encabezado"/>
      <w:jc w:val="center"/>
      <w:rPr>
        <w:rFonts w:ascii="Arial" w:hAnsi="Arial" w:cs="Arial"/>
        <w:spacing w:val="20"/>
        <w:sz w:val="20"/>
      </w:rPr>
    </w:pPr>
  </w:p>
  <w:p w14:paraId="367D4456" w14:textId="76DA3229" w:rsidR="00725FA4" w:rsidRPr="00C03235" w:rsidRDefault="00DF16F5" w:rsidP="00CA77FB">
    <w:pPr>
      <w:pStyle w:val="Encabezado"/>
      <w:jc w:val="center"/>
    </w:pPr>
    <w:r w:rsidRPr="00C03235">
      <w:rPr>
        <w:rFonts w:ascii="Arial" w:hAnsi="Arial" w:cs="Arial"/>
        <w:noProof/>
        <w:spacing w:val="20"/>
        <w:sz w:val="20"/>
      </w:rPr>
      <mc:AlternateContent>
        <mc:Choice Requires="wps">
          <w:drawing>
            <wp:anchor distT="0" distB="0" distL="114300" distR="114300" simplePos="0" relativeHeight="251658241" behindDoc="0" locked="0" layoutInCell="1" allowOverlap="1" wp14:anchorId="76DBBCF4" wp14:editId="53AB8A01">
              <wp:simplePos x="0" y="0"/>
              <wp:positionH relativeFrom="column">
                <wp:posOffset>-213360</wp:posOffset>
              </wp:positionH>
              <wp:positionV relativeFrom="paragraph">
                <wp:posOffset>377190</wp:posOffset>
              </wp:positionV>
              <wp:extent cx="6343650" cy="9839325"/>
              <wp:effectExtent l="9525" t="14605" r="9525"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C8103" id="Rectangle 1" o:spid="_x0000_s1026" style="position:absolute;margin-left:-16.8pt;margin-top:29.7pt;width:499.5pt;height:77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" filled="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singleLevel"/>
    <w:tmpl w:val="0000000F"/>
    <w:name w:val="WW8Num21"/>
    <w:lvl w:ilvl="0">
      <w:numFmt w:val="bullet"/>
      <w:lvlText w:val="-"/>
      <w:lvlJc w:val="left"/>
      <w:pPr>
        <w:tabs>
          <w:tab w:val="num" w:pos="720"/>
        </w:tabs>
      </w:pPr>
      <w:rPr>
        <w:rFonts w:ascii="Times New Roman" w:hAnsi="Times New Roman" w:cs="Times New Roman"/>
      </w:rPr>
    </w:lvl>
  </w:abstractNum>
  <w:abstractNum w:abstractNumId="1" w15:restartNumberingAfterBreak="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2" w15:restartNumberingAfterBreak="0">
    <w:nsid w:val="097E57BF"/>
    <w:multiLevelType w:val="hybridMultilevel"/>
    <w:tmpl w:val="F58C89FA"/>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0AC25C16"/>
    <w:multiLevelType w:val="hybridMultilevel"/>
    <w:tmpl w:val="FCAE4F48"/>
    <w:lvl w:ilvl="0" w:tplc="240A0001">
      <w:start w:val="1"/>
      <w:numFmt w:val="bullet"/>
      <w:lvlText w:val=""/>
      <w:lvlJc w:val="left"/>
      <w:pPr>
        <w:ind w:left="2133" w:hanging="360"/>
      </w:pPr>
      <w:rPr>
        <w:rFonts w:ascii="Symbol" w:hAnsi="Symbol" w:hint="default"/>
      </w:rPr>
    </w:lvl>
    <w:lvl w:ilvl="1" w:tplc="240A0003">
      <w:start w:val="1"/>
      <w:numFmt w:val="bullet"/>
      <w:lvlText w:val="o"/>
      <w:lvlJc w:val="left"/>
      <w:pPr>
        <w:ind w:left="2853" w:hanging="360"/>
      </w:pPr>
      <w:rPr>
        <w:rFonts w:ascii="Courier New" w:hAnsi="Courier New" w:cs="Courier New" w:hint="default"/>
      </w:rPr>
    </w:lvl>
    <w:lvl w:ilvl="2" w:tplc="240A0005" w:tentative="1">
      <w:start w:val="1"/>
      <w:numFmt w:val="bullet"/>
      <w:lvlText w:val=""/>
      <w:lvlJc w:val="left"/>
      <w:pPr>
        <w:ind w:left="3573" w:hanging="360"/>
      </w:pPr>
      <w:rPr>
        <w:rFonts w:ascii="Wingdings" w:hAnsi="Wingdings" w:hint="default"/>
      </w:rPr>
    </w:lvl>
    <w:lvl w:ilvl="3" w:tplc="240A0001" w:tentative="1">
      <w:start w:val="1"/>
      <w:numFmt w:val="bullet"/>
      <w:lvlText w:val=""/>
      <w:lvlJc w:val="left"/>
      <w:pPr>
        <w:ind w:left="4293" w:hanging="360"/>
      </w:pPr>
      <w:rPr>
        <w:rFonts w:ascii="Symbol" w:hAnsi="Symbol" w:hint="default"/>
      </w:rPr>
    </w:lvl>
    <w:lvl w:ilvl="4" w:tplc="240A0003" w:tentative="1">
      <w:start w:val="1"/>
      <w:numFmt w:val="bullet"/>
      <w:lvlText w:val="o"/>
      <w:lvlJc w:val="left"/>
      <w:pPr>
        <w:ind w:left="5013" w:hanging="360"/>
      </w:pPr>
      <w:rPr>
        <w:rFonts w:ascii="Courier New" w:hAnsi="Courier New" w:cs="Courier New" w:hint="default"/>
      </w:rPr>
    </w:lvl>
    <w:lvl w:ilvl="5" w:tplc="240A0005" w:tentative="1">
      <w:start w:val="1"/>
      <w:numFmt w:val="bullet"/>
      <w:lvlText w:val=""/>
      <w:lvlJc w:val="left"/>
      <w:pPr>
        <w:ind w:left="5733" w:hanging="360"/>
      </w:pPr>
      <w:rPr>
        <w:rFonts w:ascii="Wingdings" w:hAnsi="Wingdings" w:hint="default"/>
      </w:rPr>
    </w:lvl>
    <w:lvl w:ilvl="6" w:tplc="240A0001" w:tentative="1">
      <w:start w:val="1"/>
      <w:numFmt w:val="bullet"/>
      <w:lvlText w:val=""/>
      <w:lvlJc w:val="left"/>
      <w:pPr>
        <w:ind w:left="6453" w:hanging="360"/>
      </w:pPr>
      <w:rPr>
        <w:rFonts w:ascii="Symbol" w:hAnsi="Symbol" w:hint="default"/>
      </w:rPr>
    </w:lvl>
    <w:lvl w:ilvl="7" w:tplc="240A0003" w:tentative="1">
      <w:start w:val="1"/>
      <w:numFmt w:val="bullet"/>
      <w:lvlText w:val="o"/>
      <w:lvlJc w:val="left"/>
      <w:pPr>
        <w:ind w:left="7173" w:hanging="360"/>
      </w:pPr>
      <w:rPr>
        <w:rFonts w:ascii="Courier New" w:hAnsi="Courier New" w:cs="Courier New" w:hint="default"/>
      </w:rPr>
    </w:lvl>
    <w:lvl w:ilvl="8" w:tplc="240A0005" w:tentative="1">
      <w:start w:val="1"/>
      <w:numFmt w:val="bullet"/>
      <w:lvlText w:val=""/>
      <w:lvlJc w:val="left"/>
      <w:pPr>
        <w:ind w:left="7893" w:hanging="360"/>
      </w:pPr>
      <w:rPr>
        <w:rFonts w:ascii="Wingdings" w:hAnsi="Wingdings" w:hint="default"/>
      </w:rPr>
    </w:lvl>
  </w:abstractNum>
  <w:abstractNum w:abstractNumId="4" w15:restartNumberingAfterBreak="0">
    <w:nsid w:val="0F735FB6"/>
    <w:multiLevelType w:val="hybridMultilevel"/>
    <w:tmpl w:val="188AB1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751D96"/>
    <w:multiLevelType w:val="hybridMultilevel"/>
    <w:tmpl w:val="8C06460E"/>
    <w:lvl w:ilvl="0" w:tplc="0FE62B88">
      <w:start w:val="1"/>
      <w:numFmt w:val="lowerLetter"/>
      <w:lvlText w:val="%1."/>
      <w:lvlJc w:val="left"/>
      <w:pPr>
        <w:ind w:left="360" w:hanging="360"/>
      </w:pPr>
      <w:rPr>
        <w:rFonts w:hint="default"/>
        <w:sz w:val="24"/>
        <w:szCs w:val="24"/>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7DB591B"/>
    <w:multiLevelType w:val="hybridMultilevel"/>
    <w:tmpl w:val="BAB40CF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285DF8"/>
    <w:multiLevelType w:val="hybridMultilevel"/>
    <w:tmpl w:val="CB7837B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3275495"/>
    <w:multiLevelType w:val="hybridMultilevel"/>
    <w:tmpl w:val="82242232"/>
    <w:lvl w:ilvl="0" w:tplc="1EB67F72">
      <w:start w:val="1"/>
      <w:numFmt w:val="lowerLetter"/>
      <w:lvlText w:val="%1."/>
      <w:lvlJc w:val="left"/>
      <w:pPr>
        <w:ind w:left="720" w:hanging="360"/>
      </w:pPr>
      <w:rPr>
        <w:rFonts w:hint="default"/>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0F1CA5"/>
    <w:multiLevelType w:val="multilevel"/>
    <w:tmpl w:val="419EB058"/>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5707B72"/>
    <w:multiLevelType w:val="hybridMultilevel"/>
    <w:tmpl w:val="29C6DF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C3077F"/>
    <w:multiLevelType w:val="hybridMultilevel"/>
    <w:tmpl w:val="223A77C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15:restartNumberingAfterBreak="0">
    <w:nsid w:val="4ACF21EA"/>
    <w:multiLevelType w:val="multilevel"/>
    <w:tmpl w:val="A76A16CC"/>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b/>
        <w:bCs/>
        <w:i/>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F355DAF"/>
    <w:multiLevelType w:val="hybridMultilevel"/>
    <w:tmpl w:val="722EAA5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0B8D940"/>
    <w:multiLevelType w:val="hybridMultilevel"/>
    <w:tmpl w:val="717C06CE"/>
    <w:lvl w:ilvl="0" w:tplc="8CC24F66">
      <w:start w:val="1"/>
      <w:numFmt w:val="lowerLetter"/>
      <w:lvlText w:val="%1)"/>
      <w:lvlJc w:val="left"/>
      <w:pPr>
        <w:ind w:left="720" w:hanging="360"/>
      </w:pPr>
    </w:lvl>
    <w:lvl w:ilvl="1" w:tplc="5FCA1DA0">
      <w:start w:val="1"/>
      <w:numFmt w:val="lowerLetter"/>
      <w:lvlText w:val="%2."/>
      <w:lvlJc w:val="left"/>
      <w:pPr>
        <w:ind w:left="1440" w:hanging="360"/>
      </w:pPr>
    </w:lvl>
    <w:lvl w:ilvl="2" w:tplc="05D657EA">
      <w:start w:val="1"/>
      <w:numFmt w:val="lowerRoman"/>
      <w:lvlText w:val="%3."/>
      <w:lvlJc w:val="right"/>
      <w:pPr>
        <w:ind w:left="2160" w:hanging="180"/>
      </w:pPr>
    </w:lvl>
    <w:lvl w:ilvl="3" w:tplc="05526C8C">
      <w:start w:val="1"/>
      <w:numFmt w:val="decimal"/>
      <w:lvlText w:val="%4."/>
      <w:lvlJc w:val="left"/>
      <w:pPr>
        <w:ind w:left="2880" w:hanging="360"/>
      </w:pPr>
    </w:lvl>
    <w:lvl w:ilvl="4" w:tplc="C4C43B8C">
      <w:start w:val="1"/>
      <w:numFmt w:val="lowerLetter"/>
      <w:lvlText w:val="%5."/>
      <w:lvlJc w:val="left"/>
      <w:pPr>
        <w:ind w:left="3600" w:hanging="360"/>
      </w:pPr>
    </w:lvl>
    <w:lvl w:ilvl="5" w:tplc="D376FD1A">
      <w:start w:val="1"/>
      <w:numFmt w:val="lowerRoman"/>
      <w:lvlText w:val="%6."/>
      <w:lvlJc w:val="right"/>
      <w:pPr>
        <w:ind w:left="4320" w:hanging="180"/>
      </w:pPr>
    </w:lvl>
    <w:lvl w:ilvl="6" w:tplc="5F34A562">
      <w:start w:val="1"/>
      <w:numFmt w:val="decimal"/>
      <w:lvlText w:val="%7."/>
      <w:lvlJc w:val="left"/>
      <w:pPr>
        <w:ind w:left="5040" w:hanging="360"/>
      </w:pPr>
    </w:lvl>
    <w:lvl w:ilvl="7" w:tplc="264ED484">
      <w:start w:val="1"/>
      <w:numFmt w:val="lowerLetter"/>
      <w:lvlText w:val="%8."/>
      <w:lvlJc w:val="left"/>
      <w:pPr>
        <w:ind w:left="5760" w:hanging="360"/>
      </w:pPr>
    </w:lvl>
    <w:lvl w:ilvl="8" w:tplc="4342944E">
      <w:start w:val="1"/>
      <w:numFmt w:val="lowerRoman"/>
      <w:lvlText w:val="%9."/>
      <w:lvlJc w:val="right"/>
      <w:pPr>
        <w:ind w:left="6480" w:hanging="180"/>
      </w:pPr>
    </w:lvl>
  </w:abstractNum>
  <w:abstractNum w:abstractNumId="15" w15:restartNumberingAfterBreak="0">
    <w:nsid w:val="54964CC3"/>
    <w:multiLevelType w:val="multilevel"/>
    <w:tmpl w:val="2E0E5C7C"/>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1080" w:hanging="720"/>
      </w:pPr>
      <w:rPr>
        <w:rFonts w:hint="default"/>
        <w:b/>
        <w:i/>
        <w:sz w:val="24"/>
        <w:szCs w:val="24"/>
      </w:rPr>
    </w:lvl>
    <w:lvl w:ilvl="2">
      <w:start w:val="1"/>
      <w:numFmt w:val="decimal"/>
      <w:isLgl/>
      <w:lvlText w:val="%1.%2.%3."/>
      <w:lvlJc w:val="left"/>
      <w:pPr>
        <w:ind w:left="1080" w:hanging="720"/>
      </w:pPr>
      <w:rPr>
        <w:rFonts w:hint="default"/>
        <w:b/>
        <w:i/>
        <w:sz w:val="24"/>
        <w:szCs w:val="32"/>
      </w:rPr>
    </w:lvl>
    <w:lvl w:ilvl="3">
      <w:start w:val="1"/>
      <w:numFmt w:val="decimal"/>
      <w:isLgl/>
      <w:lvlText w:val="%1.%2.%3.%4."/>
      <w:lvlJc w:val="left"/>
      <w:pPr>
        <w:ind w:left="1364" w:hanging="1080"/>
      </w:pPr>
      <w:rPr>
        <w:rFonts w:hint="default"/>
        <w:b/>
        <w:i/>
        <w:sz w:val="24"/>
        <w:szCs w:val="24"/>
      </w:rPr>
    </w:lvl>
    <w:lvl w:ilvl="4">
      <w:start w:val="1"/>
      <w:numFmt w:val="decimal"/>
      <w:isLgl/>
      <w:lvlText w:val="%1.%2.%3.%4.%5."/>
      <w:lvlJc w:val="left"/>
      <w:pPr>
        <w:ind w:left="1800" w:hanging="144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2160" w:hanging="180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520" w:hanging="2160"/>
      </w:pPr>
      <w:rPr>
        <w:rFonts w:hint="default"/>
        <w:b/>
        <w:i/>
      </w:rPr>
    </w:lvl>
  </w:abstractNum>
  <w:abstractNum w:abstractNumId="16" w15:restartNumberingAfterBreak="0">
    <w:nsid w:val="59670CA8"/>
    <w:multiLevelType w:val="multilevel"/>
    <w:tmpl w:val="5A94681C"/>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52A3F7D"/>
    <w:multiLevelType w:val="hybridMultilevel"/>
    <w:tmpl w:val="C696FEF6"/>
    <w:lvl w:ilvl="0" w:tplc="AB7055E6">
      <w:start w:val="1"/>
      <w:numFmt w:val="low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8" w15:restartNumberingAfterBreak="0">
    <w:nsid w:val="693C6263"/>
    <w:multiLevelType w:val="hybridMultilevel"/>
    <w:tmpl w:val="1DC0A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ADD759B"/>
    <w:multiLevelType w:val="hybridMultilevel"/>
    <w:tmpl w:val="FF04F4EA"/>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1E402E3"/>
    <w:multiLevelType w:val="multilevel"/>
    <w:tmpl w:val="7026C2E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F1B0995"/>
    <w:multiLevelType w:val="hybridMultilevel"/>
    <w:tmpl w:val="B8785B5C"/>
    <w:lvl w:ilvl="0" w:tplc="376CB0F8">
      <w:start w:val="1"/>
      <w:numFmt w:val="lowerLetter"/>
      <w:lvlText w:val="%1."/>
      <w:lvlJc w:val="left"/>
      <w:pPr>
        <w:ind w:left="720" w:hanging="360"/>
      </w:pPr>
      <w:rPr>
        <w:rFonts w:hint="default"/>
        <w:b w:val="0"/>
        <w:bCs/>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4075904">
    <w:abstractNumId w:val="14"/>
  </w:num>
  <w:num w:numId="2" w16cid:durableId="83963299">
    <w:abstractNumId w:val="1"/>
  </w:num>
  <w:num w:numId="3" w16cid:durableId="926773258">
    <w:abstractNumId w:val="2"/>
  </w:num>
  <w:num w:numId="4" w16cid:durableId="367342437">
    <w:abstractNumId w:val="8"/>
  </w:num>
  <w:num w:numId="5" w16cid:durableId="476151037">
    <w:abstractNumId w:val="19"/>
  </w:num>
  <w:num w:numId="6" w16cid:durableId="1313439583">
    <w:abstractNumId w:val="21"/>
  </w:num>
  <w:num w:numId="7" w16cid:durableId="887030111">
    <w:abstractNumId w:val="11"/>
  </w:num>
  <w:num w:numId="8" w16cid:durableId="901402989">
    <w:abstractNumId w:val="3"/>
  </w:num>
  <w:num w:numId="9" w16cid:durableId="174419459">
    <w:abstractNumId w:val="5"/>
  </w:num>
  <w:num w:numId="10" w16cid:durableId="217866108">
    <w:abstractNumId w:val="17"/>
  </w:num>
  <w:num w:numId="11" w16cid:durableId="966349361">
    <w:abstractNumId w:val="18"/>
  </w:num>
  <w:num w:numId="12" w16cid:durableId="446311055">
    <w:abstractNumId w:val="20"/>
  </w:num>
  <w:num w:numId="13" w16cid:durableId="1400711791">
    <w:abstractNumId w:val="9"/>
  </w:num>
  <w:num w:numId="14" w16cid:durableId="1187981695">
    <w:abstractNumId w:val="16"/>
  </w:num>
  <w:num w:numId="15" w16cid:durableId="1261109699">
    <w:abstractNumId w:val="12"/>
  </w:num>
  <w:num w:numId="16" w16cid:durableId="1959725174">
    <w:abstractNumId w:val="15"/>
  </w:num>
  <w:num w:numId="17" w16cid:durableId="1557353455">
    <w:abstractNumId w:val="13"/>
  </w:num>
  <w:num w:numId="18" w16cid:durableId="1390035220">
    <w:abstractNumId w:val="6"/>
  </w:num>
  <w:num w:numId="19" w16cid:durableId="1838422074">
    <w:abstractNumId w:val="7"/>
  </w:num>
  <w:num w:numId="20" w16cid:durableId="1837068926">
    <w:abstractNumId w:val="10"/>
  </w:num>
  <w:num w:numId="21" w16cid:durableId="156568353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340"/>
    <w:rsid w:val="00000132"/>
    <w:rsid w:val="000002CC"/>
    <w:rsid w:val="000009F3"/>
    <w:rsid w:val="000015B1"/>
    <w:rsid w:val="00001BAA"/>
    <w:rsid w:val="000021B9"/>
    <w:rsid w:val="0000224C"/>
    <w:rsid w:val="00002678"/>
    <w:rsid w:val="000026C6"/>
    <w:rsid w:val="000026C7"/>
    <w:rsid w:val="00002746"/>
    <w:rsid w:val="000028AC"/>
    <w:rsid w:val="00002A45"/>
    <w:rsid w:val="00002B77"/>
    <w:rsid w:val="00002C1C"/>
    <w:rsid w:val="00003089"/>
    <w:rsid w:val="000034EC"/>
    <w:rsid w:val="000042D6"/>
    <w:rsid w:val="000048EC"/>
    <w:rsid w:val="0000508C"/>
    <w:rsid w:val="0000508F"/>
    <w:rsid w:val="00006AE2"/>
    <w:rsid w:val="000076A1"/>
    <w:rsid w:val="0000795C"/>
    <w:rsid w:val="00007B1D"/>
    <w:rsid w:val="00007B5F"/>
    <w:rsid w:val="0001041F"/>
    <w:rsid w:val="00010907"/>
    <w:rsid w:val="00011D07"/>
    <w:rsid w:val="00012259"/>
    <w:rsid w:val="0001282D"/>
    <w:rsid w:val="00012F2C"/>
    <w:rsid w:val="000136FB"/>
    <w:rsid w:val="00013746"/>
    <w:rsid w:val="00013753"/>
    <w:rsid w:val="00013B07"/>
    <w:rsid w:val="00013DDE"/>
    <w:rsid w:val="000144C4"/>
    <w:rsid w:val="00014665"/>
    <w:rsid w:val="0001555F"/>
    <w:rsid w:val="00015EA4"/>
    <w:rsid w:val="00016331"/>
    <w:rsid w:val="000164B8"/>
    <w:rsid w:val="00016A7F"/>
    <w:rsid w:val="00016B4F"/>
    <w:rsid w:val="00016D6C"/>
    <w:rsid w:val="00017682"/>
    <w:rsid w:val="00017786"/>
    <w:rsid w:val="0002022C"/>
    <w:rsid w:val="000205A7"/>
    <w:rsid w:val="00020738"/>
    <w:rsid w:val="00020C60"/>
    <w:rsid w:val="000212C9"/>
    <w:rsid w:val="00021C7A"/>
    <w:rsid w:val="00021FF8"/>
    <w:rsid w:val="00022E08"/>
    <w:rsid w:val="00023299"/>
    <w:rsid w:val="00023435"/>
    <w:rsid w:val="000236CC"/>
    <w:rsid w:val="000241A4"/>
    <w:rsid w:val="000245C1"/>
    <w:rsid w:val="000245EA"/>
    <w:rsid w:val="00024603"/>
    <w:rsid w:val="00024788"/>
    <w:rsid w:val="000249C1"/>
    <w:rsid w:val="00025238"/>
    <w:rsid w:val="00025383"/>
    <w:rsid w:val="000255A3"/>
    <w:rsid w:val="000257B4"/>
    <w:rsid w:val="00026133"/>
    <w:rsid w:val="0002779F"/>
    <w:rsid w:val="000304DC"/>
    <w:rsid w:val="000306C7"/>
    <w:rsid w:val="000307F0"/>
    <w:rsid w:val="0003127D"/>
    <w:rsid w:val="00031368"/>
    <w:rsid w:val="0003158F"/>
    <w:rsid w:val="000324F5"/>
    <w:rsid w:val="0003277A"/>
    <w:rsid w:val="00032D21"/>
    <w:rsid w:val="000337BF"/>
    <w:rsid w:val="00033F93"/>
    <w:rsid w:val="000340A9"/>
    <w:rsid w:val="000353EA"/>
    <w:rsid w:val="00035F94"/>
    <w:rsid w:val="00036396"/>
    <w:rsid w:val="000378F2"/>
    <w:rsid w:val="0004038B"/>
    <w:rsid w:val="0004098B"/>
    <w:rsid w:val="000412D2"/>
    <w:rsid w:val="00041A8D"/>
    <w:rsid w:val="000421B8"/>
    <w:rsid w:val="0004236B"/>
    <w:rsid w:val="00042874"/>
    <w:rsid w:val="00042C3E"/>
    <w:rsid w:val="0004338E"/>
    <w:rsid w:val="00043A81"/>
    <w:rsid w:val="00043FC9"/>
    <w:rsid w:val="000451D7"/>
    <w:rsid w:val="00045C62"/>
    <w:rsid w:val="00045D3D"/>
    <w:rsid w:val="00046485"/>
    <w:rsid w:val="000465BE"/>
    <w:rsid w:val="00046720"/>
    <w:rsid w:val="00046EAB"/>
    <w:rsid w:val="0004737A"/>
    <w:rsid w:val="000474FA"/>
    <w:rsid w:val="000475CC"/>
    <w:rsid w:val="0004783B"/>
    <w:rsid w:val="00047969"/>
    <w:rsid w:val="00047B5A"/>
    <w:rsid w:val="00047D47"/>
    <w:rsid w:val="00050051"/>
    <w:rsid w:val="0005087D"/>
    <w:rsid w:val="000511DF"/>
    <w:rsid w:val="00051838"/>
    <w:rsid w:val="00051DC1"/>
    <w:rsid w:val="00051EAB"/>
    <w:rsid w:val="000520A7"/>
    <w:rsid w:val="00053BA2"/>
    <w:rsid w:val="00053EB6"/>
    <w:rsid w:val="0005441A"/>
    <w:rsid w:val="00054672"/>
    <w:rsid w:val="000548B2"/>
    <w:rsid w:val="000548D5"/>
    <w:rsid w:val="0005605B"/>
    <w:rsid w:val="000562D6"/>
    <w:rsid w:val="00056CE0"/>
    <w:rsid w:val="00056D55"/>
    <w:rsid w:val="00057379"/>
    <w:rsid w:val="0006031E"/>
    <w:rsid w:val="000605F0"/>
    <w:rsid w:val="0006097A"/>
    <w:rsid w:val="00060A46"/>
    <w:rsid w:val="00060FC1"/>
    <w:rsid w:val="0006137A"/>
    <w:rsid w:val="00062280"/>
    <w:rsid w:val="000623E7"/>
    <w:rsid w:val="000624D7"/>
    <w:rsid w:val="000628B5"/>
    <w:rsid w:val="00062AD1"/>
    <w:rsid w:val="00062AD2"/>
    <w:rsid w:val="00062E35"/>
    <w:rsid w:val="00063097"/>
    <w:rsid w:val="00063263"/>
    <w:rsid w:val="000633EE"/>
    <w:rsid w:val="0006363C"/>
    <w:rsid w:val="00063657"/>
    <w:rsid w:val="00063B44"/>
    <w:rsid w:val="00063DA1"/>
    <w:rsid w:val="000647CC"/>
    <w:rsid w:val="000648B7"/>
    <w:rsid w:val="00064CF5"/>
    <w:rsid w:val="00065021"/>
    <w:rsid w:val="000650F1"/>
    <w:rsid w:val="00065141"/>
    <w:rsid w:val="00065517"/>
    <w:rsid w:val="00065659"/>
    <w:rsid w:val="000656AF"/>
    <w:rsid w:val="000656E9"/>
    <w:rsid w:val="000660E7"/>
    <w:rsid w:val="000667C0"/>
    <w:rsid w:val="00066B8A"/>
    <w:rsid w:val="00067A14"/>
    <w:rsid w:val="000703E4"/>
    <w:rsid w:val="0007080C"/>
    <w:rsid w:val="00071041"/>
    <w:rsid w:val="0007210C"/>
    <w:rsid w:val="00072829"/>
    <w:rsid w:val="00072A5B"/>
    <w:rsid w:val="00073766"/>
    <w:rsid w:val="000737FC"/>
    <w:rsid w:val="00074F1A"/>
    <w:rsid w:val="00074FA3"/>
    <w:rsid w:val="0007505D"/>
    <w:rsid w:val="00075124"/>
    <w:rsid w:val="00075448"/>
    <w:rsid w:val="00075484"/>
    <w:rsid w:val="000765EC"/>
    <w:rsid w:val="00076680"/>
    <w:rsid w:val="000767D6"/>
    <w:rsid w:val="00076A1D"/>
    <w:rsid w:val="00076D29"/>
    <w:rsid w:val="000771FF"/>
    <w:rsid w:val="00077B66"/>
    <w:rsid w:val="0008073E"/>
    <w:rsid w:val="000810A7"/>
    <w:rsid w:val="000813B4"/>
    <w:rsid w:val="00081477"/>
    <w:rsid w:val="00081486"/>
    <w:rsid w:val="000814CD"/>
    <w:rsid w:val="000815C7"/>
    <w:rsid w:val="00081623"/>
    <w:rsid w:val="00081B40"/>
    <w:rsid w:val="00081F64"/>
    <w:rsid w:val="000822F9"/>
    <w:rsid w:val="000824FC"/>
    <w:rsid w:val="000826FD"/>
    <w:rsid w:val="000831EE"/>
    <w:rsid w:val="00083476"/>
    <w:rsid w:val="0008378E"/>
    <w:rsid w:val="00083A01"/>
    <w:rsid w:val="00083F4D"/>
    <w:rsid w:val="00084169"/>
    <w:rsid w:val="000841FC"/>
    <w:rsid w:val="00085157"/>
    <w:rsid w:val="00085D2C"/>
    <w:rsid w:val="0008627B"/>
    <w:rsid w:val="00086820"/>
    <w:rsid w:val="0008711D"/>
    <w:rsid w:val="0008753E"/>
    <w:rsid w:val="000875C0"/>
    <w:rsid w:val="000877A8"/>
    <w:rsid w:val="000877E7"/>
    <w:rsid w:val="00087A90"/>
    <w:rsid w:val="0009025C"/>
    <w:rsid w:val="0009026F"/>
    <w:rsid w:val="00090CA7"/>
    <w:rsid w:val="00090DC4"/>
    <w:rsid w:val="00090E86"/>
    <w:rsid w:val="00090EF5"/>
    <w:rsid w:val="0009145F"/>
    <w:rsid w:val="00091575"/>
    <w:rsid w:val="00091CDB"/>
    <w:rsid w:val="000924AF"/>
    <w:rsid w:val="00092EA0"/>
    <w:rsid w:val="000932A9"/>
    <w:rsid w:val="000933C2"/>
    <w:rsid w:val="00093DB1"/>
    <w:rsid w:val="00093FDB"/>
    <w:rsid w:val="0009452D"/>
    <w:rsid w:val="00094A6F"/>
    <w:rsid w:val="00094CA1"/>
    <w:rsid w:val="00094CBD"/>
    <w:rsid w:val="00094D6F"/>
    <w:rsid w:val="00094D80"/>
    <w:rsid w:val="000956C1"/>
    <w:rsid w:val="00095874"/>
    <w:rsid w:val="000962A9"/>
    <w:rsid w:val="000964EE"/>
    <w:rsid w:val="000A0CBB"/>
    <w:rsid w:val="000A124B"/>
    <w:rsid w:val="000A156D"/>
    <w:rsid w:val="000A19AC"/>
    <w:rsid w:val="000A1E7C"/>
    <w:rsid w:val="000A2E7F"/>
    <w:rsid w:val="000A2EF4"/>
    <w:rsid w:val="000A3615"/>
    <w:rsid w:val="000A3ABE"/>
    <w:rsid w:val="000A3CFD"/>
    <w:rsid w:val="000A4356"/>
    <w:rsid w:val="000A45F1"/>
    <w:rsid w:val="000A4AEF"/>
    <w:rsid w:val="000A4C92"/>
    <w:rsid w:val="000A6B0A"/>
    <w:rsid w:val="000A6E71"/>
    <w:rsid w:val="000A71EF"/>
    <w:rsid w:val="000A7259"/>
    <w:rsid w:val="000A7617"/>
    <w:rsid w:val="000A7D3C"/>
    <w:rsid w:val="000B07A1"/>
    <w:rsid w:val="000B08A9"/>
    <w:rsid w:val="000B0C29"/>
    <w:rsid w:val="000B11AE"/>
    <w:rsid w:val="000B1D3D"/>
    <w:rsid w:val="000B2201"/>
    <w:rsid w:val="000B22EB"/>
    <w:rsid w:val="000B2436"/>
    <w:rsid w:val="000B2839"/>
    <w:rsid w:val="000B2BF8"/>
    <w:rsid w:val="000B2C19"/>
    <w:rsid w:val="000B2EC9"/>
    <w:rsid w:val="000B34FB"/>
    <w:rsid w:val="000B3560"/>
    <w:rsid w:val="000B3787"/>
    <w:rsid w:val="000B3EA5"/>
    <w:rsid w:val="000B3F61"/>
    <w:rsid w:val="000B4B85"/>
    <w:rsid w:val="000B4F59"/>
    <w:rsid w:val="000B51FB"/>
    <w:rsid w:val="000B5305"/>
    <w:rsid w:val="000B5466"/>
    <w:rsid w:val="000B5A12"/>
    <w:rsid w:val="000B5E21"/>
    <w:rsid w:val="000B5FBC"/>
    <w:rsid w:val="000B630B"/>
    <w:rsid w:val="000B64ED"/>
    <w:rsid w:val="000B658C"/>
    <w:rsid w:val="000B76F8"/>
    <w:rsid w:val="000B7E79"/>
    <w:rsid w:val="000C13C9"/>
    <w:rsid w:val="000C1536"/>
    <w:rsid w:val="000C154A"/>
    <w:rsid w:val="000C174E"/>
    <w:rsid w:val="000C1BFF"/>
    <w:rsid w:val="000C2015"/>
    <w:rsid w:val="000C205C"/>
    <w:rsid w:val="000C2B40"/>
    <w:rsid w:val="000C2E2A"/>
    <w:rsid w:val="000C3063"/>
    <w:rsid w:val="000C384C"/>
    <w:rsid w:val="000C3E3C"/>
    <w:rsid w:val="000C40F5"/>
    <w:rsid w:val="000C50F5"/>
    <w:rsid w:val="000C59D9"/>
    <w:rsid w:val="000C5B8B"/>
    <w:rsid w:val="000C5C6D"/>
    <w:rsid w:val="000C5C72"/>
    <w:rsid w:val="000C5FBB"/>
    <w:rsid w:val="000C5FBE"/>
    <w:rsid w:val="000C6250"/>
    <w:rsid w:val="000C644B"/>
    <w:rsid w:val="000C66D9"/>
    <w:rsid w:val="000C6E61"/>
    <w:rsid w:val="000C6EA0"/>
    <w:rsid w:val="000C7377"/>
    <w:rsid w:val="000C73B9"/>
    <w:rsid w:val="000C750E"/>
    <w:rsid w:val="000C7ABD"/>
    <w:rsid w:val="000D0CEB"/>
    <w:rsid w:val="000D1BCD"/>
    <w:rsid w:val="000D205E"/>
    <w:rsid w:val="000D24DD"/>
    <w:rsid w:val="000D263E"/>
    <w:rsid w:val="000D26F8"/>
    <w:rsid w:val="000D2E49"/>
    <w:rsid w:val="000D3495"/>
    <w:rsid w:val="000D3AD6"/>
    <w:rsid w:val="000D40A9"/>
    <w:rsid w:val="000D4AF9"/>
    <w:rsid w:val="000D51B1"/>
    <w:rsid w:val="000D5C9D"/>
    <w:rsid w:val="000D5F36"/>
    <w:rsid w:val="000D61AF"/>
    <w:rsid w:val="000D6499"/>
    <w:rsid w:val="000D6D82"/>
    <w:rsid w:val="000D7236"/>
    <w:rsid w:val="000D72D9"/>
    <w:rsid w:val="000D7895"/>
    <w:rsid w:val="000D7DA0"/>
    <w:rsid w:val="000D7FD0"/>
    <w:rsid w:val="000E0BA0"/>
    <w:rsid w:val="000E0E33"/>
    <w:rsid w:val="000E0EB9"/>
    <w:rsid w:val="000E1319"/>
    <w:rsid w:val="000E1F7F"/>
    <w:rsid w:val="000E21BF"/>
    <w:rsid w:val="000E238A"/>
    <w:rsid w:val="000E26A7"/>
    <w:rsid w:val="000E2D93"/>
    <w:rsid w:val="000E3774"/>
    <w:rsid w:val="000E3B9D"/>
    <w:rsid w:val="000E3C0B"/>
    <w:rsid w:val="000E3F08"/>
    <w:rsid w:val="000E43FA"/>
    <w:rsid w:val="000E470A"/>
    <w:rsid w:val="000E5B97"/>
    <w:rsid w:val="000E6191"/>
    <w:rsid w:val="000E6210"/>
    <w:rsid w:val="000E687D"/>
    <w:rsid w:val="000E698C"/>
    <w:rsid w:val="000E6C3B"/>
    <w:rsid w:val="000E7052"/>
    <w:rsid w:val="000E7436"/>
    <w:rsid w:val="000F1068"/>
    <w:rsid w:val="000F1091"/>
    <w:rsid w:val="000F15BC"/>
    <w:rsid w:val="000F18CF"/>
    <w:rsid w:val="000F1BD4"/>
    <w:rsid w:val="000F1DEB"/>
    <w:rsid w:val="000F2382"/>
    <w:rsid w:val="000F2615"/>
    <w:rsid w:val="000F2A25"/>
    <w:rsid w:val="000F2B82"/>
    <w:rsid w:val="000F2FA0"/>
    <w:rsid w:val="000F2FB7"/>
    <w:rsid w:val="000F36FE"/>
    <w:rsid w:val="000F4198"/>
    <w:rsid w:val="000F4272"/>
    <w:rsid w:val="000F4293"/>
    <w:rsid w:val="000F4369"/>
    <w:rsid w:val="000F49D6"/>
    <w:rsid w:val="000F4B71"/>
    <w:rsid w:val="000F53EF"/>
    <w:rsid w:val="000F593A"/>
    <w:rsid w:val="000F5EFA"/>
    <w:rsid w:val="000F6050"/>
    <w:rsid w:val="000F6199"/>
    <w:rsid w:val="000F61E0"/>
    <w:rsid w:val="000F6DBF"/>
    <w:rsid w:val="000F6ED8"/>
    <w:rsid w:val="000F7A08"/>
    <w:rsid w:val="000F7B0A"/>
    <w:rsid w:val="000F7BA7"/>
    <w:rsid w:val="001003C6"/>
    <w:rsid w:val="0010063A"/>
    <w:rsid w:val="00101B9C"/>
    <w:rsid w:val="001020A7"/>
    <w:rsid w:val="00102542"/>
    <w:rsid w:val="0010264C"/>
    <w:rsid w:val="00102E3D"/>
    <w:rsid w:val="00103805"/>
    <w:rsid w:val="00103D98"/>
    <w:rsid w:val="00104335"/>
    <w:rsid w:val="0010474E"/>
    <w:rsid w:val="001049BB"/>
    <w:rsid w:val="00104AD8"/>
    <w:rsid w:val="00105050"/>
    <w:rsid w:val="0010561D"/>
    <w:rsid w:val="001059DC"/>
    <w:rsid w:val="00105C19"/>
    <w:rsid w:val="00105CE3"/>
    <w:rsid w:val="001063C3"/>
    <w:rsid w:val="00106654"/>
    <w:rsid w:val="00106973"/>
    <w:rsid w:val="00106B3D"/>
    <w:rsid w:val="00107020"/>
    <w:rsid w:val="0010750E"/>
    <w:rsid w:val="00107831"/>
    <w:rsid w:val="00107854"/>
    <w:rsid w:val="001078F2"/>
    <w:rsid w:val="00107A3A"/>
    <w:rsid w:val="00107C88"/>
    <w:rsid w:val="00107F15"/>
    <w:rsid w:val="00110066"/>
    <w:rsid w:val="0011061A"/>
    <w:rsid w:val="00111156"/>
    <w:rsid w:val="001114E2"/>
    <w:rsid w:val="00111DCE"/>
    <w:rsid w:val="001122A3"/>
    <w:rsid w:val="00112458"/>
    <w:rsid w:val="00112B93"/>
    <w:rsid w:val="00112F58"/>
    <w:rsid w:val="0011387A"/>
    <w:rsid w:val="00113BBE"/>
    <w:rsid w:val="00113BEC"/>
    <w:rsid w:val="00113EE5"/>
    <w:rsid w:val="001142C2"/>
    <w:rsid w:val="00114440"/>
    <w:rsid w:val="00114B59"/>
    <w:rsid w:val="00114B92"/>
    <w:rsid w:val="00114BFE"/>
    <w:rsid w:val="001150F0"/>
    <w:rsid w:val="0011566B"/>
    <w:rsid w:val="0011574F"/>
    <w:rsid w:val="00115E28"/>
    <w:rsid w:val="0011710D"/>
    <w:rsid w:val="001174CD"/>
    <w:rsid w:val="00117EE3"/>
    <w:rsid w:val="0012002D"/>
    <w:rsid w:val="00121223"/>
    <w:rsid w:val="00121CA7"/>
    <w:rsid w:val="00121F84"/>
    <w:rsid w:val="00121FE7"/>
    <w:rsid w:val="0012246A"/>
    <w:rsid w:val="0012269D"/>
    <w:rsid w:val="001226B9"/>
    <w:rsid w:val="00122758"/>
    <w:rsid w:val="00122970"/>
    <w:rsid w:val="0012317E"/>
    <w:rsid w:val="00123452"/>
    <w:rsid w:val="0012348F"/>
    <w:rsid w:val="0012355E"/>
    <w:rsid w:val="00123AD1"/>
    <w:rsid w:val="0012414F"/>
    <w:rsid w:val="00124E31"/>
    <w:rsid w:val="001253BF"/>
    <w:rsid w:val="00125AEB"/>
    <w:rsid w:val="00125F63"/>
    <w:rsid w:val="00126026"/>
    <w:rsid w:val="00126D14"/>
    <w:rsid w:val="001270FA"/>
    <w:rsid w:val="001277B6"/>
    <w:rsid w:val="00127CD3"/>
    <w:rsid w:val="00130557"/>
    <w:rsid w:val="001305FA"/>
    <w:rsid w:val="00130AA9"/>
    <w:rsid w:val="0013100D"/>
    <w:rsid w:val="001310E8"/>
    <w:rsid w:val="00131540"/>
    <w:rsid w:val="0013159F"/>
    <w:rsid w:val="00131704"/>
    <w:rsid w:val="00132054"/>
    <w:rsid w:val="001320D7"/>
    <w:rsid w:val="001322F6"/>
    <w:rsid w:val="001323DD"/>
    <w:rsid w:val="00132529"/>
    <w:rsid w:val="00132536"/>
    <w:rsid w:val="00132BA9"/>
    <w:rsid w:val="00132BF2"/>
    <w:rsid w:val="001336B3"/>
    <w:rsid w:val="001336BA"/>
    <w:rsid w:val="00133999"/>
    <w:rsid w:val="00133E07"/>
    <w:rsid w:val="00133E08"/>
    <w:rsid w:val="00134022"/>
    <w:rsid w:val="00134476"/>
    <w:rsid w:val="001347EB"/>
    <w:rsid w:val="00135092"/>
    <w:rsid w:val="0013526C"/>
    <w:rsid w:val="001354D0"/>
    <w:rsid w:val="00135A68"/>
    <w:rsid w:val="00135B3F"/>
    <w:rsid w:val="00135D3E"/>
    <w:rsid w:val="00135DF1"/>
    <w:rsid w:val="00135F41"/>
    <w:rsid w:val="00136971"/>
    <w:rsid w:val="0013716E"/>
    <w:rsid w:val="00137462"/>
    <w:rsid w:val="0013747E"/>
    <w:rsid w:val="0013767E"/>
    <w:rsid w:val="00137A4D"/>
    <w:rsid w:val="00137CD7"/>
    <w:rsid w:val="00137E0C"/>
    <w:rsid w:val="001405C6"/>
    <w:rsid w:val="0014098B"/>
    <w:rsid w:val="00140FD8"/>
    <w:rsid w:val="00141013"/>
    <w:rsid w:val="00141483"/>
    <w:rsid w:val="00142B77"/>
    <w:rsid w:val="00142DA4"/>
    <w:rsid w:val="00142FAF"/>
    <w:rsid w:val="0014333A"/>
    <w:rsid w:val="00143C99"/>
    <w:rsid w:val="001452F6"/>
    <w:rsid w:val="00145521"/>
    <w:rsid w:val="001455F5"/>
    <w:rsid w:val="00145DFE"/>
    <w:rsid w:val="001468C9"/>
    <w:rsid w:val="001476CA"/>
    <w:rsid w:val="00147FE1"/>
    <w:rsid w:val="00150300"/>
    <w:rsid w:val="00150488"/>
    <w:rsid w:val="00150895"/>
    <w:rsid w:val="00150A3A"/>
    <w:rsid w:val="00150F87"/>
    <w:rsid w:val="00150FD4"/>
    <w:rsid w:val="001510AD"/>
    <w:rsid w:val="00151885"/>
    <w:rsid w:val="001519F7"/>
    <w:rsid w:val="00151D0D"/>
    <w:rsid w:val="00151DDD"/>
    <w:rsid w:val="00152522"/>
    <w:rsid w:val="00152B55"/>
    <w:rsid w:val="00153178"/>
    <w:rsid w:val="001536BB"/>
    <w:rsid w:val="0015415A"/>
    <w:rsid w:val="00154700"/>
    <w:rsid w:val="00154975"/>
    <w:rsid w:val="00154E01"/>
    <w:rsid w:val="00155CE8"/>
    <w:rsid w:val="00157A8C"/>
    <w:rsid w:val="00160360"/>
    <w:rsid w:val="00160931"/>
    <w:rsid w:val="0016145A"/>
    <w:rsid w:val="00161A3A"/>
    <w:rsid w:val="00161C8C"/>
    <w:rsid w:val="001624BC"/>
    <w:rsid w:val="0016379C"/>
    <w:rsid w:val="00163D3A"/>
    <w:rsid w:val="00163F0A"/>
    <w:rsid w:val="00164A16"/>
    <w:rsid w:val="00164C80"/>
    <w:rsid w:val="0016539C"/>
    <w:rsid w:val="001654FE"/>
    <w:rsid w:val="0016582C"/>
    <w:rsid w:val="00165890"/>
    <w:rsid w:val="00166620"/>
    <w:rsid w:val="001669A6"/>
    <w:rsid w:val="001677C2"/>
    <w:rsid w:val="00167CCE"/>
    <w:rsid w:val="00167F65"/>
    <w:rsid w:val="00170159"/>
    <w:rsid w:val="00170AF5"/>
    <w:rsid w:val="00171328"/>
    <w:rsid w:val="0017144D"/>
    <w:rsid w:val="0017166C"/>
    <w:rsid w:val="0017212B"/>
    <w:rsid w:val="001724E2"/>
    <w:rsid w:val="001726DB"/>
    <w:rsid w:val="00172CD4"/>
    <w:rsid w:val="0017337C"/>
    <w:rsid w:val="001741F5"/>
    <w:rsid w:val="001745A5"/>
    <w:rsid w:val="00174CBD"/>
    <w:rsid w:val="00175375"/>
    <w:rsid w:val="00176222"/>
    <w:rsid w:val="001779E1"/>
    <w:rsid w:val="0018001F"/>
    <w:rsid w:val="00180376"/>
    <w:rsid w:val="0018062A"/>
    <w:rsid w:val="0018144D"/>
    <w:rsid w:val="00181613"/>
    <w:rsid w:val="0018169B"/>
    <w:rsid w:val="001818FD"/>
    <w:rsid w:val="00181EB7"/>
    <w:rsid w:val="00184A47"/>
    <w:rsid w:val="001851AA"/>
    <w:rsid w:val="00185242"/>
    <w:rsid w:val="00185365"/>
    <w:rsid w:val="001856AC"/>
    <w:rsid w:val="001871E8"/>
    <w:rsid w:val="0019069A"/>
    <w:rsid w:val="0019081C"/>
    <w:rsid w:val="00190AA2"/>
    <w:rsid w:val="00191270"/>
    <w:rsid w:val="00191845"/>
    <w:rsid w:val="0019198D"/>
    <w:rsid w:val="00191C60"/>
    <w:rsid w:val="001923E1"/>
    <w:rsid w:val="0019291F"/>
    <w:rsid w:val="00192CBF"/>
    <w:rsid w:val="00192D4A"/>
    <w:rsid w:val="00192FF1"/>
    <w:rsid w:val="0019345A"/>
    <w:rsid w:val="00193A72"/>
    <w:rsid w:val="00193CC0"/>
    <w:rsid w:val="00193E65"/>
    <w:rsid w:val="001943B6"/>
    <w:rsid w:val="00194B25"/>
    <w:rsid w:val="00194DCC"/>
    <w:rsid w:val="001958D2"/>
    <w:rsid w:val="00195B73"/>
    <w:rsid w:val="00196D70"/>
    <w:rsid w:val="001971AA"/>
    <w:rsid w:val="001976E4"/>
    <w:rsid w:val="001978C6"/>
    <w:rsid w:val="001978E7"/>
    <w:rsid w:val="001A02F6"/>
    <w:rsid w:val="001A0419"/>
    <w:rsid w:val="001A08F9"/>
    <w:rsid w:val="001A10ED"/>
    <w:rsid w:val="001A1458"/>
    <w:rsid w:val="001A1477"/>
    <w:rsid w:val="001A2072"/>
    <w:rsid w:val="001A2112"/>
    <w:rsid w:val="001A27BF"/>
    <w:rsid w:val="001A28CF"/>
    <w:rsid w:val="001A3D9D"/>
    <w:rsid w:val="001A41E5"/>
    <w:rsid w:val="001A4A66"/>
    <w:rsid w:val="001A4C82"/>
    <w:rsid w:val="001A4DFA"/>
    <w:rsid w:val="001A5020"/>
    <w:rsid w:val="001A52F1"/>
    <w:rsid w:val="001A5F1B"/>
    <w:rsid w:val="001A5FC9"/>
    <w:rsid w:val="001A66C7"/>
    <w:rsid w:val="001A6763"/>
    <w:rsid w:val="001A6C8E"/>
    <w:rsid w:val="001A6F0F"/>
    <w:rsid w:val="001A7247"/>
    <w:rsid w:val="001A727D"/>
    <w:rsid w:val="001A7969"/>
    <w:rsid w:val="001A7B4C"/>
    <w:rsid w:val="001B00D7"/>
    <w:rsid w:val="001B01AD"/>
    <w:rsid w:val="001B0ADA"/>
    <w:rsid w:val="001B0D32"/>
    <w:rsid w:val="001B0FFC"/>
    <w:rsid w:val="001B13F1"/>
    <w:rsid w:val="001B15B4"/>
    <w:rsid w:val="001B15E2"/>
    <w:rsid w:val="001B1C22"/>
    <w:rsid w:val="001B1C77"/>
    <w:rsid w:val="001B2735"/>
    <w:rsid w:val="001B2BC6"/>
    <w:rsid w:val="001B2E7F"/>
    <w:rsid w:val="001B3421"/>
    <w:rsid w:val="001B34C6"/>
    <w:rsid w:val="001B394E"/>
    <w:rsid w:val="001B39EB"/>
    <w:rsid w:val="001B3E92"/>
    <w:rsid w:val="001B4325"/>
    <w:rsid w:val="001B4D71"/>
    <w:rsid w:val="001B5261"/>
    <w:rsid w:val="001B526B"/>
    <w:rsid w:val="001B5776"/>
    <w:rsid w:val="001B57D8"/>
    <w:rsid w:val="001B5B1C"/>
    <w:rsid w:val="001B5E62"/>
    <w:rsid w:val="001B66AF"/>
    <w:rsid w:val="001B6CA6"/>
    <w:rsid w:val="001B6E25"/>
    <w:rsid w:val="001B729B"/>
    <w:rsid w:val="001B7C40"/>
    <w:rsid w:val="001B7EFF"/>
    <w:rsid w:val="001B7F5D"/>
    <w:rsid w:val="001C02B0"/>
    <w:rsid w:val="001C102D"/>
    <w:rsid w:val="001C1035"/>
    <w:rsid w:val="001C1100"/>
    <w:rsid w:val="001C1FE9"/>
    <w:rsid w:val="001C21C5"/>
    <w:rsid w:val="001C2784"/>
    <w:rsid w:val="001C2E9A"/>
    <w:rsid w:val="001C3968"/>
    <w:rsid w:val="001C3EC2"/>
    <w:rsid w:val="001C3FCD"/>
    <w:rsid w:val="001C4253"/>
    <w:rsid w:val="001C445F"/>
    <w:rsid w:val="001C5022"/>
    <w:rsid w:val="001C50F4"/>
    <w:rsid w:val="001C5262"/>
    <w:rsid w:val="001C52E1"/>
    <w:rsid w:val="001C55F8"/>
    <w:rsid w:val="001C56AB"/>
    <w:rsid w:val="001C5733"/>
    <w:rsid w:val="001C62DD"/>
    <w:rsid w:val="001C6364"/>
    <w:rsid w:val="001C6804"/>
    <w:rsid w:val="001C6CE5"/>
    <w:rsid w:val="001C6FCD"/>
    <w:rsid w:val="001C7319"/>
    <w:rsid w:val="001C73EC"/>
    <w:rsid w:val="001C7453"/>
    <w:rsid w:val="001C77C4"/>
    <w:rsid w:val="001C7BF5"/>
    <w:rsid w:val="001D017B"/>
    <w:rsid w:val="001D042B"/>
    <w:rsid w:val="001D1460"/>
    <w:rsid w:val="001D1701"/>
    <w:rsid w:val="001D1FB1"/>
    <w:rsid w:val="001D2132"/>
    <w:rsid w:val="001D2214"/>
    <w:rsid w:val="001D2361"/>
    <w:rsid w:val="001D325E"/>
    <w:rsid w:val="001D3740"/>
    <w:rsid w:val="001D3B46"/>
    <w:rsid w:val="001D4E85"/>
    <w:rsid w:val="001D526F"/>
    <w:rsid w:val="001D5772"/>
    <w:rsid w:val="001D660E"/>
    <w:rsid w:val="001D6900"/>
    <w:rsid w:val="001D6B6F"/>
    <w:rsid w:val="001D6E9F"/>
    <w:rsid w:val="001D6EFD"/>
    <w:rsid w:val="001D7832"/>
    <w:rsid w:val="001E0799"/>
    <w:rsid w:val="001E098C"/>
    <w:rsid w:val="001E0C1A"/>
    <w:rsid w:val="001E1001"/>
    <w:rsid w:val="001E1898"/>
    <w:rsid w:val="001E1C30"/>
    <w:rsid w:val="001E1EB4"/>
    <w:rsid w:val="001E2809"/>
    <w:rsid w:val="001E2933"/>
    <w:rsid w:val="001E2D00"/>
    <w:rsid w:val="001E3242"/>
    <w:rsid w:val="001E34C0"/>
    <w:rsid w:val="001E3CF2"/>
    <w:rsid w:val="001E40F6"/>
    <w:rsid w:val="001E439C"/>
    <w:rsid w:val="001E4E07"/>
    <w:rsid w:val="001E4E73"/>
    <w:rsid w:val="001E4FAB"/>
    <w:rsid w:val="001E5692"/>
    <w:rsid w:val="001E590E"/>
    <w:rsid w:val="001E5C3F"/>
    <w:rsid w:val="001E5DD9"/>
    <w:rsid w:val="001E5E3A"/>
    <w:rsid w:val="001E5E91"/>
    <w:rsid w:val="001E676F"/>
    <w:rsid w:val="001E6EAA"/>
    <w:rsid w:val="001E74D8"/>
    <w:rsid w:val="001E7AB0"/>
    <w:rsid w:val="001E7B0D"/>
    <w:rsid w:val="001E7E4F"/>
    <w:rsid w:val="001E7E55"/>
    <w:rsid w:val="001E7F30"/>
    <w:rsid w:val="001F0080"/>
    <w:rsid w:val="001F0123"/>
    <w:rsid w:val="001F064C"/>
    <w:rsid w:val="001F094E"/>
    <w:rsid w:val="001F097E"/>
    <w:rsid w:val="001F0B1A"/>
    <w:rsid w:val="001F0B5A"/>
    <w:rsid w:val="001F264C"/>
    <w:rsid w:val="001F29B8"/>
    <w:rsid w:val="001F2DE6"/>
    <w:rsid w:val="001F315E"/>
    <w:rsid w:val="001F32DB"/>
    <w:rsid w:val="001F3544"/>
    <w:rsid w:val="001F3D6F"/>
    <w:rsid w:val="001F3EBD"/>
    <w:rsid w:val="001F444F"/>
    <w:rsid w:val="001F50F5"/>
    <w:rsid w:val="001F52D8"/>
    <w:rsid w:val="001F53F9"/>
    <w:rsid w:val="001F541A"/>
    <w:rsid w:val="001F6306"/>
    <w:rsid w:val="001F698B"/>
    <w:rsid w:val="001F6BCB"/>
    <w:rsid w:val="001F772B"/>
    <w:rsid w:val="001F78DC"/>
    <w:rsid w:val="0020009F"/>
    <w:rsid w:val="0020061B"/>
    <w:rsid w:val="00200679"/>
    <w:rsid w:val="00200A1E"/>
    <w:rsid w:val="002015D4"/>
    <w:rsid w:val="00201AF6"/>
    <w:rsid w:val="00202042"/>
    <w:rsid w:val="00202E72"/>
    <w:rsid w:val="00203270"/>
    <w:rsid w:val="002034B4"/>
    <w:rsid w:val="00203D81"/>
    <w:rsid w:val="00203F5E"/>
    <w:rsid w:val="00203FFE"/>
    <w:rsid w:val="0020413C"/>
    <w:rsid w:val="002047F5"/>
    <w:rsid w:val="00204AA8"/>
    <w:rsid w:val="0020550C"/>
    <w:rsid w:val="002056B8"/>
    <w:rsid w:val="00205BB0"/>
    <w:rsid w:val="00205E51"/>
    <w:rsid w:val="002060CD"/>
    <w:rsid w:val="002060F0"/>
    <w:rsid w:val="0020628D"/>
    <w:rsid w:val="002066FF"/>
    <w:rsid w:val="00206824"/>
    <w:rsid w:val="002069F5"/>
    <w:rsid w:val="00206A14"/>
    <w:rsid w:val="00206B3C"/>
    <w:rsid w:val="00206D4A"/>
    <w:rsid w:val="0020700E"/>
    <w:rsid w:val="0020720F"/>
    <w:rsid w:val="002073E8"/>
    <w:rsid w:val="002074E3"/>
    <w:rsid w:val="00207860"/>
    <w:rsid w:val="00207C21"/>
    <w:rsid w:val="00207CE3"/>
    <w:rsid w:val="00207E86"/>
    <w:rsid w:val="00207EEF"/>
    <w:rsid w:val="00210072"/>
    <w:rsid w:val="0021055E"/>
    <w:rsid w:val="00210DC1"/>
    <w:rsid w:val="00211022"/>
    <w:rsid w:val="00211D34"/>
    <w:rsid w:val="00212058"/>
    <w:rsid w:val="00212176"/>
    <w:rsid w:val="00212310"/>
    <w:rsid w:val="00212379"/>
    <w:rsid w:val="00212B2A"/>
    <w:rsid w:val="00212B61"/>
    <w:rsid w:val="00213700"/>
    <w:rsid w:val="00213911"/>
    <w:rsid w:val="00214654"/>
    <w:rsid w:val="002147D9"/>
    <w:rsid w:val="002149FE"/>
    <w:rsid w:val="00214CB3"/>
    <w:rsid w:val="00214D62"/>
    <w:rsid w:val="00214F04"/>
    <w:rsid w:val="0021560A"/>
    <w:rsid w:val="00215DA2"/>
    <w:rsid w:val="0021602B"/>
    <w:rsid w:val="002160C0"/>
    <w:rsid w:val="00216358"/>
    <w:rsid w:val="002167A5"/>
    <w:rsid w:val="002169C2"/>
    <w:rsid w:val="002169D7"/>
    <w:rsid w:val="00216D13"/>
    <w:rsid w:val="00217498"/>
    <w:rsid w:val="0021783D"/>
    <w:rsid w:val="00217936"/>
    <w:rsid w:val="00217ADB"/>
    <w:rsid w:val="0022061C"/>
    <w:rsid w:val="00220E26"/>
    <w:rsid w:val="002213EE"/>
    <w:rsid w:val="00222703"/>
    <w:rsid w:val="0022423B"/>
    <w:rsid w:val="00224F4F"/>
    <w:rsid w:val="00225478"/>
    <w:rsid w:val="002254AE"/>
    <w:rsid w:val="00225AAD"/>
    <w:rsid w:val="002260CB"/>
    <w:rsid w:val="0022626B"/>
    <w:rsid w:val="002267C3"/>
    <w:rsid w:val="00226AC4"/>
    <w:rsid w:val="00226B0C"/>
    <w:rsid w:val="0022727E"/>
    <w:rsid w:val="00227A22"/>
    <w:rsid w:val="00227EA3"/>
    <w:rsid w:val="00227F83"/>
    <w:rsid w:val="0023023A"/>
    <w:rsid w:val="00230807"/>
    <w:rsid w:val="002311F6"/>
    <w:rsid w:val="0023163F"/>
    <w:rsid w:val="00231A3C"/>
    <w:rsid w:val="00231A70"/>
    <w:rsid w:val="00231BE2"/>
    <w:rsid w:val="002320B3"/>
    <w:rsid w:val="00232D9D"/>
    <w:rsid w:val="00232F87"/>
    <w:rsid w:val="00233BE2"/>
    <w:rsid w:val="00233D69"/>
    <w:rsid w:val="00234428"/>
    <w:rsid w:val="002347AC"/>
    <w:rsid w:val="0023525C"/>
    <w:rsid w:val="002352B9"/>
    <w:rsid w:val="00235A1F"/>
    <w:rsid w:val="00235B99"/>
    <w:rsid w:val="00235C91"/>
    <w:rsid w:val="002369CF"/>
    <w:rsid w:val="00236E3E"/>
    <w:rsid w:val="0023706E"/>
    <w:rsid w:val="00237113"/>
    <w:rsid w:val="00237E4A"/>
    <w:rsid w:val="002403AB"/>
    <w:rsid w:val="0024042E"/>
    <w:rsid w:val="00240627"/>
    <w:rsid w:val="002408E3"/>
    <w:rsid w:val="00240D25"/>
    <w:rsid w:val="00240E6B"/>
    <w:rsid w:val="00241859"/>
    <w:rsid w:val="00241A97"/>
    <w:rsid w:val="00241FDE"/>
    <w:rsid w:val="00242045"/>
    <w:rsid w:val="0024206D"/>
    <w:rsid w:val="0024278A"/>
    <w:rsid w:val="00242DEE"/>
    <w:rsid w:val="00243393"/>
    <w:rsid w:val="002439A3"/>
    <w:rsid w:val="002448D4"/>
    <w:rsid w:val="002449A7"/>
    <w:rsid w:val="00244B0A"/>
    <w:rsid w:val="0024502A"/>
    <w:rsid w:val="0024571B"/>
    <w:rsid w:val="002457B9"/>
    <w:rsid w:val="0024587D"/>
    <w:rsid w:val="002458D3"/>
    <w:rsid w:val="00245A43"/>
    <w:rsid w:val="00245B33"/>
    <w:rsid w:val="00245F2F"/>
    <w:rsid w:val="002462D9"/>
    <w:rsid w:val="0024652E"/>
    <w:rsid w:val="0024698A"/>
    <w:rsid w:val="0024725A"/>
    <w:rsid w:val="002473D0"/>
    <w:rsid w:val="002479A4"/>
    <w:rsid w:val="00247BCE"/>
    <w:rsid w:val="0025084F"/>
    <w:rsid w:val="00251571"/>
    <w:rsid w:val="00251C7C"/>
    <w:rsid w:val="00252429"/>
    <w:rsid w:val="002529DE"/>
    <w:rsid w:val="00252C42"/>
    <w:rsid w:val="00252C82"/>
    <w:rsid w:val="00252EA2"/>
    <w:rsid w:val="002535D8"/>
    <w:rsid w:val="00253B63"/>
    <w:rsid w:val="00253D12"/>
    <w:rsid w:val="002543DC"/>
    <w:rsid w:val="002545C8"/>
    <w:rsid w:val="00255054"/>
    <w:rsid w:val="002550BB"/>
    <w:rsid w:val="00255237"/>
    <w:rsid w:val="00255362"/>
    <w:rsid w:val="002553CE"/>
    <w:rsid w:val="002555D3"/>
    <w:rsid w:val="00255FD0"/>
    <w:rsid w:val="0025621D"/>
    <w:rsid w:val="002573FA"/>
    <w:rsid w:val="002575C1"/>
    <w:rsid w:val="0025767D"/>
    <w:rsid w:val="00257AAF"/>
    <w:rsid w:val="00257B2D"/>
    <w:rsid w:val="00257B46"/>
    <w:rsid w:val="00257E21"/>
    <w:rsid w:val="002604C2"/>
    <w:rsid w:val="0026072B"/>
    <w:rsid w:val="00260884"/>
    <w:rsid w:val="00260947"/>
    <w:rsid w:val="00260ABB"/>
    <w:rsid w:val="0026126B"/>
    <w:rsid w:val="00261585"/>
    <w:rsid w:val="00262018"/>
    <w:rsid w:val="00262669"/>
    <w:rsid w:val="00262767"/>
    <w:rsid w:val="002634D8"/>
    <w:rsid w:val="0026369D"/>
    <w:rsid w:val="00263795"/>
    <w:rsid w:val="00263EB7"/>
    <w:rsid w:val="00264014"/>
    <w:rsid w:val="00264108"/>
    <w:rsid w:val="0026428F"/>
    <w:rsid w:val="00264C9A"/>
    <w:rsid w:val="00264D88"/>
    <w:rsid w:val="00264DF1"/>
    <w:rsid w:val="00264FD1"/>
    <w:rsid w:val="002650BD"/>
    <w:rsid w:val="00265289"/>
    <w:rsid w:val="00265505"/>
    <w:rsid w:val="00265579"/>
    <w:rsid w:val="0026572C"/>
    <w:rsid w:val="00265D36"/>
    <w:rsid w:val="00265D4D"/>
    <w:rsid w:val="00265E43"/>
    <w:rsid w:val="002660CD"/>
    <w:rsid w:val="002663E8"/>
    <w:rsid w:val="0026685C"/>
    <w:rsid w:val="00266A40"/>
    <w:rsid w:val="00266A61"/>
    <w:rsid w:val="00266CD6"/>
    <w:rsid w:val="00266D45"/>
    <w:rsid w:val="00267077"/>
    <w:rsid w:val="002672F2"/>
    <w:rsid w:val="0026730D"/>
    <w:rsid w:val="002673AC"/>
    <w:rsid w:val="00267B00"/>
    <w:rsid w:val="00267F47"/>
    <w:rsid w:val="00270138"/>
    <w:rsid w:val="0027089A"/>
    <w:rsid w:val="002709C2"/>
    <w:rsid w:val="002715A6"/>
    <w:rsid w:val="00271BF2"/>
    <w:rsid w:val="00271C4E"/>
    <w:rsid w:val="00272254"/>
    <w:rsid w:val="0027267B"/>
    <w:rsid w:val="002729F9"/>
    <w:rsid w:val="002730D6"/>
    <w:rsid w:val="00273308"/>
    <w:rsid w:val="00273468"/>
    <w:rsid w:val="00273DBE"/>
    <w:rsid w:val="00273EDB"/>
    <w:rsid w:val="00274E5B"/>
    <w:rsid w:val="00274F96"/>
    <w:rsid w:val="0027541C"/>
    <w:rsid w:val="002755E9"/>
    <w:rsid w:val="00275BE8"/>
    <w:rsid w:val="00275DAB"/>
    <w:rsid w:val="002761B1"/>
    <w:rsid w:val="00276302"/>
    <w:rsid w:val="00276F59"/>
    <w:rsid w:val="00277B67"/>
    <w:rsid w:val="0028006B"/>
    <w:rsid w:val="00280432"/>
    <w:rsid w:val="0028074E"/>
    <w:rsid w:val="0028075F"/>
    <w:rsid w:val="00280ECC"/>
    <w:rsid w:val="00280F3D"/>
    <w:rsid w:val="002814AD"/>
    <w:rsid w:val="00281DCE"/>
    <w:rsid w:val="00281E78"/>
    <w:rsid w:val="00281EF6"/>
    <w:rsid w:val="00282A83"/>
    <w:rsid w:val="00282DA2"/>
    <w:rsid w:val="002837A3"/>
    <w:rsid w:val="00284127"/>
    <w:rsid w:val="002843F3"/>
    <w:rsid w:val="00284422"/>
    <w:rsid w:val="00284447"/>
    <w:rsid w:val="0028468E"/>
    <w:rsid w:val="00284702"/>
    <w:rsid w:val="00284C26"/>
    <w:rsid w:val="00285442"/>
    <w:rsid w:val="00286DD1"/>
    <w:rsid w:val="002901C9"/>
    <w:rsid w:val="002903C0"/>
    <w:rsid w:val="0029089D"/>
    <w:rsid w:val="0029132C"/>
    <w:rsid w:val="00291A63"/>
    <w:rsid w:val="00291D4D"/>
    <w:rsid w:val="00292665"/>
    <w:rsid w:val="00292755"/>
    <w:rsid w:val="00292F0B"/>
    <w:rsid w:val="002930F0"/>
    <w:rsid w:val="00293AE6"/>
    <w:rsid w:val="00293B6D"/>
    <w:rsid w:val="00294115"/>
    <w:rsid w:val="00294AB1"/>
    <w:rsid w:val="002952CF"/>
    <w:rsid w:val="00296143"/>
    <w:rsid w:val="00296260"/>
    <w:rsid w:val="0029663F"/>
    <w:rsid w:val="00296B16"/>
    <w:rsid w:val="002973DA"/>
    <w:rsid w:val="00297DAF"/>
    <w:rsid w:val="002A0E36"/>
    <w:rsid w:val="002A1392"/>
    <w:rsid w:val="002A1B04"/>
    <w:rsid w:val="002A2482"/>
    <w:rsid w:val="002A2575"/>
    <w:rsid w:val="002A37DC"/>
    <w:rsid w:val="002A3857"/>
    <w:rsid w:val="002A385E"/>
    <w:rsid w:val="002A3D0A"/>
    <w:rsid w:val="002A42CA"/>
    <w:rsid w:val="002A488C"/>
    <w:rsid w:val="002A48D7"/>
    <w:rsid w:val="002A581D"/>
    <w:rsid w:val="002A586C"/>
    <w:rsid w:val="002A58A8"/>
    <w:rsid w:val="002A6C25"/>
    <w:rsid w:val="002A6CE9"/>
    <w:rsid w:val="002A7550"/>
    <w:rsid w:val="002A771F"/>
    <w:rsid w:val="002A782A"/>
    <w:rsid w:val="002A7B99"/>
    <w:rsid w:val="002B0248"/>
    <w:rsid w:val="002B0284"/>
    <w:rsid w:val="002B0367"/>
    <w:rsid w:val="002B11E2"/>
    <w:rsid w:val="002B13C9"/>
    <w:rsid w:val="002B146A"/>
    <w:rsid w:val="002B1FC4"/>
    <w:rsid w:val="002B24B8"/>
    <w:rsid w:val="002B2791"/>
    <w:rsid w:val="002B2B7F"/>
    <w:rsid w:val="002B327F"/>
    <w:rsid w:val="002B3C4D"/>
    <w:rsid w:val="002B3FF8"/>
    <w:rsid w:val="002B3FFE"/>
    <w:rsid w:val="002B4034"/>
    <w:rsid w:val="002B4EC5"/>
    <w:rsid w:val="002B50F9"/>
    <w:rsid w:val="002B5159"/>
    <w:rsid w:val="002B550D"/>
    <w:rsid w:val="002B55F1"/>
    <w:rsid w:val="002B5971"/>
    <w:rsid w:val="002B5F5A"/>
    <w:rsid w:val="002B607D"/>
    <w:rsid w:val="002B6928"/>
    <w:rsid w:val="002B6E8E"/>
    <w:rsid w:val="002B733B"/>
    <w:rsid w:val="002B7535"/>
    <w:rsid w:val="002B758F"/>
    <w:rsid w:val="002B7CBA"/>
    <w:rsid w:val="002C0039"/>
    <w:rsid w:val="002C006A"/>
    <w:rsid w:val="002C0462"/>
    <w:rsid w:val="002C103B"/>
    <w:rsid w:val="002C1610"/>
    <w:rsid w:val="002C1D85"/>
    <w:rsid w:val="002C1E38"/>
    <w:rsid w:val="002C2744"/>
    <w:rsid w:val="002C44FF"/>
    <w:rsid w:val="002C4627"/>
    <w:rsid w:val="002C4993"/>
    <w:rsid w:val="002C4A09"/>
    <w:rsid w:val="002C4A2A"/>
    <w:rsid w:val="002C4A9E"/>
    <w:rsid w:val="002C4ADF"/>
    <w:rsid w:val="002C512B"/>
    <w:rsid w:val="002C55F1"/>
    <w:rsid w:val="002C56DA"/>
    <w:rsid w:val="002C56F6"/>
    <w:rsid w:val="002C5B9B"/>
    <w:rsid w:val="002C60F0"/>
    <w:rsid w:val="002C727C"/>
    <w:rsid w:val="002C743A"/>
    <w:rsid w:val="002C7492"/>
    <w:rsid w:val="002C7E3A"/>
    <w:rsid w:val="002C7F25"/>
    <w:rsid w:val="002D01D5"/>
    <w:rsid w:val="002D0574"/>
    <w:rsid w:val="002D0B67"/>
    <w:rsid w:val="002D0F4D"/>
    <w:rsid w:val="002D14C0"/>
    <w:rsid w:val="002D1709"/>
    <w:rsid w:val="002D227C"/>
    <w:rsid w:val="002D26F4"/>
    <w:rsid w:val="002D279B"/>
    <w:rsid w:val="002D3309"/>
    <w:rsid w:val="002D3AE9"/>
    <w:rsid w:val="002D436C"/>
    <w:rsid w:val="002D43B5"/>
    <w:rsid w:val="002D4510"/>
    <w:rsid w:val="002D4CE8"/>
    <w:rsid w:val="002D5667"/>
    <w:rsid w:val="002D577F"/>
    <w:rsid w:val="002D6332"/>
    <w:rsid w:val="002D633D"/>
    <w:rsid w:val="002D6FCE"/>
    <w:rsid w:val="002D73FD"/>
    <w:rsid w:val="002D7781"/>
    <w:rsid w:val="002E05C4"/>
    <w:rsid w:val="002E0B5E"/>
    <w:rsid w:val="002E0F61"/>
    <w:rsid w:val="002E22F8"/>
    <w:rsid w:val="002E2451"/>
    <w:rsid w:val="002E252E"/>
    <w:rsid w:val="002E2578"/>
    <w:rsid w:val="002E25FA"/>
    <w:rsid w:val="002E2F62"/>
    <w:rsid w:val="002E328C"/>
    <w:rsid w:val="002E37EF"/>
    <w:rsid w:val="002E3FE6"/>
    <w:rsid w:val="002E4041"/>
    <w:rsid w:val="002E47A8"/>
    <w:rsid w:val="002E49E2"/>
    <w:rsid w:val="002E4A55"/>
    <w:rsid w:val="002E4D62"/>
    <w:rsid w:val="002E527B"/>
    <w:rsid w:val="002E5435"/>
    <w:rsid w:val="002E54AE"/>
    <w:rsid w:val="002E5789"/>
    <w:rsid w:val="002E593F"/>
    <w:rsid w:val="002E5D5D"/>
    <w:rsid w:val="002E5F37"/>
    <w:rsid w:val="002E6A84"/>
    <w:rsid w:val="002E6BDF"/>
    <w:rsid w:val="002E6C8A"/>
    <w:rsid w:val="002E6EFA"/>
    <w:rsid w:val="002E7699"/>
    <w:rsid w:val="002E7D72"/>
    <w:rsid w:val="002F0585"/>
    <w:rsid w:val="002F060E"/>
    <w:rsid w:val="002F0734"/>
    <w:rsid w:val="002F078C"/>
    <w:rsid w:val="002F175F"/>
    <w:rsid w:val="002F2A5D"/>
    <w:rsid w:val="002F310B"/>
    <w:rsid w:val="002F3191"/>
    <w:rsid w:val="002F31D3"/>
    <w:rsid w:val="002F3863"/>
    <w:rsid w:val="002F3F64"/>
    <w:rsid w:val="002F46E7"/>
    <w:rsid w:val="002F481B"/>
    <w:rsid w:val="002F4E57"/>
    <w:rsid w:val="002F5088"/>
    <w:rsid w:val="002F53CD"/>
    <w:rsid w:val="002F5B77"/>
    <w:rsid w:val="002F5D59"/>
    <w:rsid w:val="002F5E87"/>
    <w:rsid w:val="002F5F35"/>
    <w:rsid w:val="002F5F5D"/>
    <w:rsid w:val="002F6327"/>
    <w:rsid w:val="002F68F6"/>
    <w:rsid w:val="002F7AE5"/>
    <w:rsid w:val="003008F2"/>
    <w:rsid w:val="00300ACB"/>
    <w:rsid w:val="00301797"/>
    <w:rsid w:val="00301FBE"/>
    <w:rsid w:val="00301FD2"/>
    <w:rsid w:val="00302D11"/>
    <w:rsid w:val="00302DA4"/>
    <w:rsid w:val="00303064"/>
    <w:rsid w:val="003032CC"/>
    <w:rsid w:val="0030333F"/>
    <w:rsid w:val="00303654"/>
    <w:rsid w:val="00304770"/>
    <w:rsid w:val="003059EE"/>
    <w:rsid w:val="0030628F"/>
    <w:rsid w:val="00306ABF"/>
    <w:rsid w:val="00307101"/>
    <w:rsid w:val="003072B6"/>
    <w:rsid w:val="0030770B"/>
    <w:rsid w:val="003077DA"/>
    <w:rsid w:val="00307C21"/>
    <w:rsid w:val="003101DA"/>
    <w:rsid w:val="00310410"/>
    <w:rsid w:val="00310714"/>
    <w:rsid w:val="003111C3"/>
    <w:rsid w:val="003118EA"/>
    <w:rsid w:val="003126DA"/>
    <w:rsid w:val="003127FF"/>
    <w:rsid w:val="00312B44"/>
    <w:rsid w:val="003131B2"/>
    <w:rsid w:val="003138B8"/>
    <w:rsid w:val="00313B88"/>
    <w:rsid w:val="00313E23"/>
    <w:rsid w:val="00314477"/>
    <w:rsid w:val="00314757"/>
    <w:rsid w:val="00314E92"/>
    <w:rsid w:val="003162E0"/>
    <w:rsid w:val="003163BC"/>
    <w:rsid w:val="00317229"/>
    <w:rsid w:val="00320488"/>
    <w:rsid w:val="00320A22"/>
    <w:rsid w:val="0032100A"/>
    <w:rsid w:val="0032103E"/>
    <w:rsid w:val="003211AA"/>
    <w:rsid w:val="003211CE"/>
    <w:rsid w:val="003219EB"/>
    <w:rsid w:val="00321CB0"/>
    <w:rsid w:val="00322BEC"/>
    <w:rsid w:val="00322D88"/>
    <w:rsid w:val="003244D9"/>
    <w:rsid w:val="00324B0F"/>
    <w:rsid w:val="00324B99"/>
    <w:rsid w:val="00324BD6"/>
    <w:rsid w:val="00324E3A"/>
    <w:rsid w:val="00324FF9"/>
    <w:rsid w:val="003255CD"/>
    <w:rsid w:val="00325EAA"/>
    <w:rsid w:val="0032635C"/>
    <w:rsid w:val="0032692C"/>
    <w:rsid w:val="00326A12"/>
    <w:rsid w:val="00326F1E"/>
    <w:rsid w:val="00326F2A"/>
    <w:rsid w:val="0032766A"/>
    <w:rsid w:val="00327E75"/>
    <w:rsid w:val="00330C15"/>
    <w:rsid w:val="00331483"/>
    <w:rsid w:val="003314EA"/>
    <w:rsid w:val="0033171F"/>
    <w:rsid w:val="00333031"/>
    <w:rsid w:val="00333558"/>
    <w:rsid w:val="0033423B"/>
    <w:rsid w:val="00334C01"/>
    <w:rsid w:val="00334F34"/>
    <w:rsid w:val="003357A4"/>
    <w:rsid w:val="00335A57"/>
    <w:rsid w:val="00335CBF"/>
    <w:rsid w:val="00335D1B"/>
    <w:rsid w:val="00336B7D"/>
    <w:rsid w:val="00340007"/>
    <w:rsid w:val="0034037B"/>
    <w:rsid w:val="00340717"/>
    <w:rsid w:val="0034109C"/>
    <w:rsid w:val="003410E2"/>
    <w:rsid w:val="00341491"/>
    <w:rsid w:val="00341D7F"/>
    <w:rsid w:val="00341F52"/>
    <w:rsid w:val="00342798"/>
    <w:rsid w:val="00342AF0"/>
    <w:rsid w:val="00342E36"/>
    <w:rsid w:val="0034311A"/>
    <w:rsid w:val="00343543"/>
    <w:rsid w:val="00343CBC"/>
    <w:rsid w:val="003443C7"/>
    <w:rsid w:val="0034450F"/>
    <w:rsid w:val="003448C1"/>
    <w:rsid w:val="00344A65"/>
    <w:rsid w:val="00344ACF"/>
    <w:rsid w:val="00344DF8"/>
    <w:rsid w:val="0034596F"/>
    <w:rsid w:val="00345E2B"/>
    <w:rsid w:val="003464BA"/>
    <w:rsid w:val="00347007"/>
    <w:rsid w:val="00347138"/>
    <w:rsid w:val="00347818"/>
    <w:rsid w:val="003505C9"/>
    <w:rsid w:val="00350897"/>
    <w:rsid w:val="003509AE"/>
    <w:rsid w:val="00350A57"/>
    <w:rsid w:val="00350B1E"/>
    <w:rsid w:val="00350C9B"/>
    <w:rsid w:val="00350E48"/>
    <w:rsid w:val="003523F9"/>
    <w:rsid w:val="00352B3D"/>
    <w:rsid w:val="00352D58"/>
    <w:rsid w:val="00353377"/>
    <w:rsid w:val="0035403A"/>
    <w:rsid w:val="0035409F"/>
    <w:rsid w:val="00354202"/>
    <w:rsid w:val="003546ED"/>
    <w:rsid w:val="00354C39"/>
    <w:rsid w:val="00355A97"/>
    <w:rsid w:val="00355B87"/>
    <w:rsid w:val="00356086"/>
    <w:rsid w:val="00356253"/>
    <w:rsid w:val="003564AE"/>
    <w:rsid w:val="0035664E"/>
    <w:rsid w:val="003568AE"/>
    <w:rsid w:val="00356D58"/>
    <w:rsid w:val="003571CD"/>
    <w:rsid w:val="00357504"/>
    <w:rsid w:val="003577B6"/>
    <w:rsid w:val="00357CAA"/>
    <w:rsid w:val="00357CAD"/>
    <w:rsid w:val="00357DDB"/>
    <w:rsid w:val="00357E93"/>
    <w:rsid w:val="00357F82"/>
    <w:rsid w:val="0036023C"/>
    <w:rsid w:val="00360DA5"/>
    <w:rsid w:val="00362C24"/>
    <w:rsid w:val="00363463"/>
    <w:rsid w:val="0036394B"/>
    <w:rsid w:val="00363FE9"/>
    <w:rsid w:val="00364699"/>
    <w:rsid w:val="00364701"/>
    <w:rsid w:val="00364E1B"/>
    <w:rsid w:val="00364EB5"/>
    <w:rsid w:val="003657C2"/>
    <w:rsid w:val="0036585B"/>
    <w:rsid w:val="003660C7"/>
    <w:rsid w:val="0036643F"/>
    <w:rsid w:val="00366DB6"/>
    <w:rsid w:val="003675AD"/>
    <w:rsid w:val="003676D4"/>
    <w:rsid w:val="00370107"/>
    <w:rsid w:val="003708AB"/>
    <w:rsid w:val="003709B5"/>
    <w:rsid w:val="0037191B"/>
    <w:rsid w:val="00371967"/>
    <w:rsid w:val="00371A20"/>
    <w:rsid w:val="0037210A"/>
    <w:rsid w:val="00372E8B"/>
    <w:rsid w:val="0037309B"/>
    <w:rsid w:val="003745C6"/>
    <w:rsid w:val="00374AE0"/>
    <w:rsid w:val="00375067"/>
    <w:rsid w:val="003759C2"/>
    <w:rsid w:val="00375A16"/>
    <w:rsid w:val="00375D20"/>
    <w:rsid w:val="00376618"/>
    <w:rsid w:val="00376654"/>
    <w:rsid w:val="0037671B"/>
    <w:rsid w:val="00376E7B"/>
    <w:rsid w:val="00376F33"/>
    <w:rsid w:val="00377128"/>
    <w:rsid w:val="00377979"/>
    <w:rsid w:val="003779AA"/>
    <w:rsid w:val="00377A44"/>
    <w:rsid w:val="003800FF"/>
    <w:rsid w:val="003801FE"/>
    <w:rsid w:val="003802F5"/>
    <w:rsid w:val="0038055C"/>
    <w:rsid w:val="00381891"/>
    <w:rsid w:val="00381992"/>
    <w:rsid w:val="0038222B"/>
    <w:rsid w:val="003825E7"/>
    <w:rsid w:val="00382659"/>
    <w:rsid w:val="00382802"/>
    <w:rsid w:val="003834AF"/>
    <w:rsid w:val="00383865"/>
    <w:rsid w:val="003840EA"/>
    <w:rsid w:val="003841CB"/>
    <w:rsid w:val="00384796"/>
    <w:rsid w:val="0038541D"/>
    <w:rsid w:val="0038602B"/>
    <w:rsid w:val="003867AA"/>
    <w:rsid w:val="00386FA6"/>
    <w:rsid w:val="003872AD"/>
    <w:rsid w:val="00387431"/>
    <w:rsid w:val="00387B31"/>
    <w:rsid w:val="00387C79"/>
    <w:rsid w:val="00387CC0"/>
    <w:rsid w:val="00390E19"/>
    <w:rsid w:val="00390E88"/>
    <w:rsid w:val="003916C0"/>
    <w:rsid w:val="0039177B"/>
    <w:rsid w:val="003919EE"/>
    <w:rsid w:val="00391CFA"/>
    <w:rsid w:val="00392731"/>
    <w:rsid w:val="00392E17"/>
    <w:rsid w:val="0039392C"/>
    <w:rsid w:val="00393F10"/>
    <w:rsid w:val="0039440B"/>
    <w:rsid w:val="003946A8"/>
    <w:rsid w:val="003949FD"/>
    <w:rsid w:val="00394C7C"/>
    <w:rsid w:val="00395EBE"/>
    <w:rsid w:val="003961E7"/>
    <w:rsid w:val="0039648F"/>
    <w:rsid w:val="0039666D"/>
    <w:rsid w:val="00396804"/>
    <w:rsid w:val="00396D8D"/>
    <w:rsid w:val="00396DB3"/>
    <w:rsid w:val="00396F68"/>
    <w:rsid w:val="00397365"/>
    <w:rsid w:val="00397885"/>
    <w:rsid w:val="00397BF8"/>
    <w:rsid w:val="003A040C"/>
    <w:rsid w:val="003A08D8"/>
    <w:rsid w:val="003A0B30"/>
    <w:rsid w:val="003A0BC7"/>
    <w:rsid w:val="003A1061"/>
    <w:rsid w:val="003A1CAE"/>
    <w:rsid w:val="003A20F7"/>
    <w:rsid w:val="003A24A0"/>
    <w:rsid w:val="003A24DD"/>
    <w:rsid w:val="003A293B"/>
    <w:rsid w:val="003A2BD3"/>
    <w:rsid w:val="003A2CFA"/>
    <w:rsid w:val="003A2FD8"/>
    <w:rsid w:val="003A31F6"/>
    <w:rsid w:val="003A3BF0"/>
    <w:rsid w:val="003A4524"/>
    <w:rsid w:val="003A45F5"/>
    <w:rsid w:val="003A481F"/>
    <w:rsid w:val="003A5537"/>
    <w:rsid w:val="003A5824"/>
    <w:rsid w:val="003A5C96"/>
    <w:rsid w:val="003A60C3"/>
    <w:rsid w:val="003A64D5"/>
    <w:rsid w:val="003A6532"/>
    <w:rsid w:val="003A6C7A"/>
    <w:rsid w:val="003A7A86"/>
    <w:rsid w:val="003A7AE5"/>
    <w:rsid w:val="003B024E"/>
    <w:rsid w:val="003B0A8D"/>
    <w:rsid w:val="003B0D7A"/>
    <w:rsid w:val="003B0DD8"/>
    <w:rsid w:val="003B10D5"/>
    <w:rsid w:val="003B25BE"/>
    <w:rsid w:val="003B2B6E"/>
    <w:rsid w:val="003B3568"/>
    <w:rsid w:val="003B3767"/>
    <w:rsid w:val="003B3BB6"/>
    <w:rsid w:val="003B3FFC"/>
    <w:rsid w:val="003B4542"/>
    <w:rsid w:val="003B458E"/>
    <w:rsid w:val="003B4BA4"/>
    <w:rsid w:val="003B5341"/>
    <w:rsid w:val="003B6A66"/>
    <w:rsid w:val="003B6A8D"/>
    <w:rsid w:val="003B6CF5"/>
    <w:rsid w:val="003B6D0A"/>
    <w:rsid w:val="003B72FB"/>
    <w:rsid w:val="003B74F1"/>
    <w:rsid w:val="003B79E1"/>
    <w:rsid w:val="003B7F91"/>
    <w:rsid w:val="003C0839"/>
    <w:rsid w:val="003C0853"/>
    <w:rsid w:val="003C0BF7"/>
    <w:rsid w:val="003C0FDF"/>
    <w:rsid w:val="003C1101"/>
    <w:rsid w:val="003C141C"/>
    <w:rsid w:val="003C1E79"/>
    <w:rsid w:val="003C2199"/>
    <w:rsid w:val="003C2A19"/>
    <w:rsid w:val="003C2E1C"/>
    <w:rsid w:val="003C2F14"/>
    <w:rsid w:val="003C3277"/>
    <w:rsid w:val="003C3447"/>
    <w:rsid w:val="003C41FA"/>
    <w:rsid w:val="003C4274"/>
    <w:rsid w:val="003C4B93"/>
    <w:rsid w:val="003C501D"/>
    <w:rsid w:val="003C55C0"/>
    <w:rsid w:val="003C5A1F"/>
    <w:rsid w:val="003C5B11"/>
    <w:rsid w:val="003C6149"/>
    <w:rsid w:val="003C62A2"/>
    <w:rsid w:val="003C6539"/>
    <w:rsid w:val="003C7506"/>
    <w:rsid w:val="003C7643"/>
    <w:rsid w:val="003C7982"/>
    <w:rsid w:val="003C7B58"/>
    <w:rsid w:val="003C7F78"/>
    <w:rsid w:val="003D0423"/>
    <w:rsid w:val="003D076C"/>
    <w:rsid w:val="003D122B"/>
    <w:rsid w:val="003D17A7"/>
    <w:rsid w:val="003D18B5"/>
    <w:rsid w:val="003D1F5A"/>
    <w:rsid w:val="003D2140"/>
    <w:rsid w:val="003D28A3"/>
    <w:rsid w:val="003D2FB0"/>
    <w:rsid w:val="003D38A2"/>
    <w:rsid w:val="003D39DA"/>
    <w:rsid w:val="003D3B23"/>
    <w:rsid w:val="003D3F4C"/>
    <w:rsid w:val="003D3FA9"/>
    <w:rsid w:val="003D494E"/>
    <w:rsid w:val="003D4E81"/>
    <w:rsid w:val="003D543E"/>
    <w:rsid w:val="003D56AE"/>
    <w:rsid w:val="003D61F5"/>
    <w:rsid w:val="003D67DE"/>
    <w:rsid w:val="003D725B"/>
    <w:rsid w:val="003D7912"/>
    <w:rsid w:val="003D7B35"/>
    <w:rsid w:val="003E035C"/>
    <w:rsid w:val="003E0735"/>
    <w:rsid w:val="003E075C"/>
    <w:rsid w:val="003E0817"/>
    <w:rsid w:val="003E0E97"/>
    <w:rsid w:val="003E174E"/>
    <w:rsid w:val="003E1908"/>
    <w:rsid w:val="003E1B41"/>
    <w:rsid w:val="003E2C0E"/>
    <w:rsid w:val="003E2D94"/>
    <w:rsid w:val="003E3143"/>
    <w:rsid w:val="003E3249"/>
    <w:rsid w:val="003E33F0"/>
    <w:rsid w:val="003E40D5"/>
    <w:rsid w:val="003E426F"/>
    <w:rsid w:val="003E47E5"/>
    <w:rsid w:val="003E51B3"/>
    <w:rsid w:val="003E5627"/>
    <w:rsid w:val="003E618A"/>
    <w:rsid w:val="003E6A3B"/>
    <w:rsid w:val="003E6B45"/>
    <w:rsid w:val="003E6D78"/>
    <w:rsid w:val="003E774F"/>
    <w:rsid w:val="003E78B5"/>
    <w:rsid w:val="003E7A32"/>
    <w:rsid w:val="003F00DC"/>
    <w:rsid w:val="003F054D"/>
    <w:rsid w:val="003F10C4"/>
    <w:rsid w:val="003F124F"/>
    <w:rsid w:val="003F1A37"/>
    <w:rsid w:val="003F21F4"/>
    <w:rsid w:val="003F2DE9"/>
    <w:rsid w:val="003F3032"/>
    <w:rsid w:val="003F3051"/>
    <w:rsid w:val="003F3148"/>
    <w:rsid w:val="003F316B"/>
    <w:rsid w:val="003F325D"/>
    <w:rsid w:val="003F3411"/>
    <w:rsid w:val="003F35B9"/>
    <w:rsid w:val="003F35D0"/>
    <w:rsid w:val="003F3929"/>
    <w:rsid w:val="003F3C25"/>
    <w:rsid w:val="003F3EC8"/>
    <w:rsid w:val="003F40BF"/>
    <w:rsid w:val="003F423F"/>
    <w:rsid w:val="003F46C9"/>
    <w:rsid w:val="003F4862"/>
    <w:rsid w:val="003F4875"/>
    <w:rsid w:val="003F4CAC"/>
    <w:rsid w:val="003F5208"/>
    <w:rsid w:val="003F542A"/>
    <w:rsid w:val="003F5A54"/>
    <w:rsid w:val="003F60F0"/>
    <w:rsid w:val="003F60F6"/>
    <w:rsid w:val="003F63BF"/>
    <w:rsid w:val="003F6515"/>
    <w:rsid w:val="003F6B04"/>
    <w:rsid w:val="003F6E76"/>
    <w:rsid w:val="003F7638"/>
    <w:rsid w:val="003F7960"/>
    <w:rsid w:val="003F7E35"/>
    <w:rsid w:val="00400122"/>
    <w:rsid w:val="004003BD"/>
    <w:rsid w:val="0040051F"/>
    <w:rsid w:val="0040059D"/>
    <w:rsid w:val="004008E1"/>
    <w:rsid w:val="00400B7D"/>
    <w:rsid w:val="00400C7F"/>
    <w:rsid w:val="00400CC7"/>
    <w:rsid w:val="00400F4B"/>
    <w:rsid w:val="00401140"/>
    <w:rsid w:val="004018F4"/>
    <w:rsid w:val="00401DDB"/>
    <w:rsid w:val="0040215F"/>
    <w:rsid w:val="00402A14"/>
    <w:rsid w:val="00402C4E"/>
    <w:rsid w:val="00402FD6"/>
    <w:rsid w:val="0040355E"/>
    <w:rsid w:val="0040366A"/>
    <w:rsid w:val="00403E18"/>
    <w:rsid w:val="00404D42"/>
    <w:rsid w:val="00404E9F"/>
    <w:rsid w:val="00405342"/>
    <w:rsid w:val="004056FF"/>
    <w:rsid w:val="00405728"/>
    <w:rsid w:val="00405D49"/>
    <w:rsid w:val="004060DE"/>
    <w:rsid w:val="00406170"/>
    <w:rsid w:val="00406618"/>
    <w:rsid w:val="00406C66"/>
    <w:rsid w:val="00406D11"/>
    <w:rsid w:val="0040749A"/>
    <w:rsid w:val="004103EA"/>
    <w:rsid w:val="0041044A"/>
    <w:rsid w:val="004104B6"/>
    <w:rsid w:val="004107E7"/>
    <w:rsid w:val="0041115B"/>
    <w:rsid w:val="004116C1"/>
    <w:rsid w:val="00411E30"/>
    <w:rsid w:val="00412736"/>
    <w:rsid w:val="004128AA"/>
    <w:rsid w:val="004132D8"/>
    <w:rsid w:val="0041354F"/>
    <w:rsid w:val="00413A8C"/>
    <w:rsid w:val="00413C8C"/>
    <w:rsid w:val="00413F88"/>
    <w:rsid w:val="004146DB"/>
    <w:rsid w:val="0041480C"/>
    <w:rsid w:val="00414AFB"/>
    <w:rsid w:val="004151D9"/>
    <w:rsid w:val="00415BAB"/>
    <w:rsid w:val="00415ED2"/>
    <w:rsid w:val="004163F6"/>
    <w:rsid w:val="00416556"/>
    <w:rsid w:val="0041673D"/>
    <w:rsid w:val="00416790"/>
    <w:rsid w:val="00416B1C"/>
    <w:rsid w:val="00416C4F"/>
    <w:rsid w:val="00416D01"/>
    <w:rsid w:val="00416E0F"/>
    <w:rsid w:val="00416F77"/>
    <w:rsid w:val="00417150"/>
    <w:rsid w:val="004171B2"/>
    <w:rsid w:val="00420035"/>
    <w:rsid w:val="0042068C"/>
    <w:rsid w:val="00420912"/>
    <w:rsid w:val="004209D6"/>
    <w:rsid w:val="00421209"/>
    <w:rsid w:val="00421CEB"/>
    <w:rsid w:val="0042205B"/>
    <w:rsid w:val="004220BE"/>
    <w:rsid w:val="00422321"/>
    <w:rsid w:val="004224DB"/>
    <w:rsid w:val="0042373D"/>
    <w:rsid w:val="0042391E"/>
    <w:rsid w:val="00423F42"/>
    <w:rsid w:val="0042443F"/>
    <w:rsid w:val="00424CE1"/>
    <w:rsid w:val="00424F1D"/>
    <w:rsid w:val="00424FD7"/>
    <w:rsid w:val="004251FF"/>
    <w:rsid w:val="00425356"/>
    <w:rsid w:val="00425A8B"/>
    <w:rsid w:val="004268A3"/>
    <w:rsid w:val="00426CB5"/>
    <w:rsid w:val="00427B44"/>
    <w:rsid w:val="00427F0B"/>
    <w:rsid w:val="00430954"/>
    <w:rsid w:val="00430A19"/>
    <w:rsid w:val="00431241"/>
    <w:rsid w:val="004313E5"/>
    <w:rsid w:val="00431741"/>
    <w:rsid w:val="004320CA"/>
    <w:rsid w:val="004321D4"/>
    <w:rsid w:val="004324F5"/>
    <w:rsid w:val="00432DEE"/>
    <w:rsid w:val="00433085"/>
    <w:rsid w:val="00433782"/>
    <w:rsid w:val="00433895"/>
    <w:rsid w:val="00433A6B"/>
    <w:rsid w:val="00433D9D"/>
    <w:rsid w:val="004340C1"/>
    <w:rsid w:val="004345CB"/>
    <w:rsid w:val="00434AE0"/>
    <w:rsid w:val="00434B7F"/>
    <w:rsid w:val="004365D4"/>
    <w:rsid w:val="00436751"/>
    <w:rsid w:val="004373E4"/>
    <w:rsid w:val="0043778B"/>
    <w:rsid w:val="004406D6"/>
    <w:rsid w:val="00440A13"/>
    <w:rsid w:val="00440A25"/>
    <w:rsid w:val="00440CAE"/>
    <w:rsid w:val="004412CE"/>
    <w:rsid w:val="00441DBF"/>
    <w:rsid w:val="0044223D"/>
    <w:rsid w:val="0044270D"/>
    <w:rsid w:val="0044276E"/>
    <w:rsid w:val="00442968"/>
    <w:rsid w:val="00442A1D"/>
    <w:rsid w:val="0044318E"/>
    <w:rsid w:val="00443386"/>
    <w:rsid w:val="0044366E"/>
    <w:rsid w:val="004437A4"/>
    <w:rsid w:val="004438B3"/>
    <w:rsid w:val="004439A7"/>
    <w:rsid w:val="00443B35"/>
    <w:rsid w:val="00443CF4"/>
    <w:rsid w:val="00443EE7"/>
    <w:rsid w:val="00443FB8"/>
    <w:rsid w:val="00444185"/>
    <w:rsid w:val="004448BB"/>
    <w:rsid w:val="00444A0D"/>
    <w:rsid w:val="004451FD"/>
    <w:rsid w:val="0044521D"/>
    <w:rsid w:val="004452BF"/>
    <w:rsid w:val="0044612D"/>
    <w:rsid w:val="00446209"/>
    <w:rsid w:val="004465F5"/>
    <w:rsid w:val="004467F6"/>
    <w:rsid w:val="00447127"/>
    <w:rsid w:val="0044786E"/>
    <w:rsid w:val="00447E72"/>
    <w:rsid w:val="00450E87"/>
    <w:rsid w:val="00450FCB"/>
    <w:rsid w:val="0045157A"/>
    <w:rsid w:val="00451B66"/>
    <w:rsid w:val="00451CAC"/>
    <w:rsid w:val="004529CC"/>
    <w:rsid w:val="00452DFF"/>
    <w:rsid w:val="00452F97"/>
    <w:rsid w:val="00454513"/>
    <w:rsid w:val="0045488D"/>
    <w:rsid w:val="00454992"/>
    <w:rsid w:val="0045502E"/>
    <w:rsid w:val="004552EA"/>
    <w:rsid w:val="0045566C"/>
    <w:rsid w:val="00455CA2"/>
    <w:rsid w:val="00456CAC"/>
    <w:rsid w:val="0045721F"/>
    <w:rsid w:val="004574CC"/>
    <w:rsid w:val="004574E5"/>
    <w:rsid w:val="0045754C"/>
    <w:rsid w:val="0045789C"/>
    <w:rsid w:val="00457D97"/>
    <w:rsid w:val="00460143"/>
    <w:rsid w:val="0046072E"/>
    <w:rsid w:val="00460A9A"/>
    <w:rsid w:val="00460F4A"/>
    <w:rsid w:val="00460F6F"/>
    <w:rsid w:val="00460F9B"/>
    <w:rsid w:val="004610FD"/>
    <w:rsid w:val="00462616"/>
    <w:rsid w:val="00462883"/>
    <w:rsid w:val="00462DFE"/>
    <w:rsid w:val="004633E6"/>
    <w:rsid w:val="00463A83"/>
    <w:rsid w:val="00463AA4"/>
    <w:rsid w:val="00463B0E"/>
    <w:rsid w:val="00463D93"/>
    <w:rsid w:val="004642E9"/>
    <w:rsid w:val="00465422"/>
    <w:rsid w:val="00465BC2"/>
    <w:rsid w:val="004662D6"/>
    <w:rsid w:val="004665CB"/>
    <w:rsid w:val="00466803"/>
    <w:rsid w:val="00466DB0"/>
    <w:rsid w:val="004672A5"/>
    <w:rsid w:val="00467C4B"/>
    <w:rsid w:val="00467EE4"/>
    <w:rsid w:val="00467EED"/>
    <w:rsid w:val="00467F1A"/>
    <w:rsid w:val="00470793"/>
    <w:rsid w:val="0047122B"/>
    <w:rsid w:val="00472154"/>
    <w:rsid w:val="004721AC"/>
    <w:rsid w:val="00472CA1"/>
    <w:rsid w:val="00472F23"/>
    <w:rsid w:val="00473309"/>
    <w:rsid w:val="004734CC"/>
    <w:rsid w:val="00473B3C"/>
    <w:rsid w:val="00473B7A"/>
    <w:rsid w:val="00473D89"/>
    <w:rsid w:val="00473F0E"/>
    <w:rsid w:val="004740A5"/>
    <w:rsid w:val="00474254"/>
    <w:rsid w:val="00475016"/>
    <w:rsid w:val="0047583C"/>
    <w:rsid w:val="00475A3F"/>
    <w:rsid w:val="00475E63"/>
    <w:rsid w:val="00476188"/>
    <w:rsid w:val="004762A0"/>
    <w:rsid w:val="00476A9A"/>
    <w:rsid w:val="00476C3E"/>
    <w:rsid w:val="00476D46"/>
    <w:rsid w:val="00477C4C"/>
    <w:rsid w:val="00477D68"/>
    <w:rsid w:val="0048006D"/>
    <w:rsid w:val="0048054F"/>
    <w:rsid w:val="0048066C"/>
    <w:rsid w:val="00480EE7"/>
    <w:rsid w:val="00481658"/>
    <w:rsid w:val="00481B19"/>
    <w:rsid w:val="004828CE"/>
    <w:rsid w:val="00482CB0"/>
    <w:rsid w:val="00484100"/>
    <w:rsid w:val="004843A4"/>
    <w:rsid w:val="004847C1"/>
    <w:rsid w:val="004850A3"/>
    <w:rsid w:val="004854B0"/>
    <w:rsid w:val="004858F8"/>
    <w:rsid w:val="00486174"/>
    <w:rsid w:val="004869C7"/>
    <w:rsid w:val="00486E84"/>
    <w:rsid w:val="00487189"/>
    <w:rsid w:val="00487F6C"/>
    <w:rsid w:val="00487FB6"/>
    <w:rsid w:val="00490249"/>
    <w:rsid w:val="004902A5"/>
    <w:rsid w:val="004902C3"/>
    <w:rsid w:val="004905E0"/>
    <w:rsid w:val="00490A4B"/>
    <w:rsid w:val="00490BF0"/>
    <w:rsid w:val="0049165E"/>
    <w:rsid w:val="00491C54"/>
    <w:rsid w:val="0049204F"/>
    <w:rsid w:val="004924F7"/>
    <w:rsid w:val="0049394A"/>
    <w:rsid w:val="00493C12"/>
    <w:rsid w:val="00493E4A"/>
    <w:rsid w:val="00494BA4"/>
    <w:rsid w:val="004955B2"/>
    <w:rsid w:val="00495825"/>
    <w:rsid w:val="004960E9"/>
    <w:rsid w:val="004964F8"/>
    <w:rsid w:val="0049663A"/>
    <w:rsid w:val="004966F3"/>
    <w:rsid w:val="00496E8E"/>
    <w:rsid w:val="0049735C"/>
    <w:rsid w:val="004A0183"/>
    <w:rsid w:val="004A018F"/>
    <w:rsid w:val="004A0ACE"/>
    <w:rsid w:val="004A0D1D"/>
    <w:rsid w:val="004A16AA"/>
    <w:rsid w:val="004A1E1A"/>
    <w:rsid w:val="004A2474"/>
    <w:rsid w:val="004A2AE9"/>
    <w:rsid w:val="004A2E88"/>
    <w:rsid w:val="004A33FE"/>
    <w:rsid w:val="004A3548"/>
    <w:rsid w:val="004A4B84"/>
    <w:rsid w:val="004A4EEB"/>
    <w:rsid w:val="004A5305"/>
    <w:rsid w:val="004A5CA8"/>
    <w:rsid w:val="004A6515"/>
    <w:rsid w:val="004A654A"/>
    <w:rsid w:val="004A6F57"/>
    <w:rsid w:val="004A7D15"/>
    <w:rsid w:val="004B044E"/>
    <w:rsid w:val="004B0A06"/>
    <w:rsid w:val="004B13EA"/>
    <w:rsid w:val="004B1B90"/>
    <w:rsid w:val="004B1FE5"/>
    <w:rsid w:val="004B2A62"/>
    <w:rsid w:val="004B32A6"/>
    <w:rsid w:val="004B3630"/>
    <w:rsid w:val="004B36AB"/>
    <w:rsid w:val="004B4752"/>
    <w:rsid w:val="004B4A53"/>
    <w:rsid w:val="004B511C"/>
    <w:rsid w:val="004B5456"/>
    <w:rsid w:val="004B56E7"/>
    <w:rsid w:val="004B58C5"/>
    <w:rsid w:val="004B5B48"/>
    <w:rsid w:val="004B5B76"/>
    <w:rsid w:val="004B5E7A"/>
    <w:rsid w:val="004B5FE3"/>
    <w:rsid w:val="004B6390"/>
    <w:rsid w:val="004B6BF3"/>
    <w:rsid w:val="004B6C04"/>
    <w:rsid w:val="004B7140"/>
    <w:rsid w:val="004B73F5"/>
    <w:rsid w:val="004B73F8"/>
    <w:rsid w:val="004B7590"/>
    <w:rsid w:val="004B77B4"/>
    <w:rsid w:val="004B7A69"/>
    <w:rsid w:val="004C00BA"/>
    <w:rsid w:val="004C0987"/>
    <w:rsid w:val="004C16EC"/>
    <w:rsid w:val="004C1C3B"/>
    <w:rsid w:val="004C2120"/>
    <w:rsid w:val="004C2202"/>
    <w:rsid w:val="004C2215"/>
    <w:rsid w:val="004C2A57"/>
    <w:rsid w:val="004C35A6"/>
    <w:rsid w:val="004C3901"/>
    <w:rsid w:val="004C3E96"/>
    <w:rsid w:val="004C3F5E"/>
    <w:rsid w:val="004C45AF"/>
    <w:rsid w:val="004C48A2"/>
    <w:rsid w:val="004C5120"/>
    <w:rsid w:val="004C51D7"/>
    <w:rsid w:val="004C5E45"/>
    <w:rsid w:val="004C65EC"/>
    <w:rsid w:val="004C6A8F"/>
    <w:rsid w:val="004C6B69"/>
    <w:rsid w:val="004C6E5D"/>
    <w:rsid w:val="004C74F4"/>
    <w:rsid w:val="004D07E2"/>
    <w:rsid w:val="004D1BE3"/>
    <w:rsid w:val="004D2271"/>
    <w:rsid w:val="004D2731"/>
    <w:rsid w:val="004D2C9D"/>
    <w:rsid w:val="004D30CE"/>
    <w:rsid w:val="004D337C"/>
    <w:rsid w:val="004D37B8"/>
    <w:rsid w:val="004D3FF2"/>
    <w:rsid w:val="004D43E5"/>
    <w:rsid w:val="004D4A42"/>
    <w:rsid w:val="004D50FE"/>
    <w:rsid w:val="004D51D0"/>
    <w:rsid w:val="004D5645"/>
    <w:rsid w:val="004D5E65"/>
    <w:rsid w:val="004D6824"/>
    <w:rsid w:val="004D6BDD"/>
    <w:rsid w:val="004D74A5"/>
    <w:rsid w:val="004D7634"/>
    <w:rsid w:val="004D7C73"/>
    <w:rsid w:val="004E0001"/>
    <w:rsid w:val="004E0D6F"/>
    <w:rsid w:val="004E0DFB"/>
    <w:rsid w:val="004E1059"/>
    <w:rsid w:val="004E136A"/>
    <w:rsid w:val="004E172F"/>
    <w:rsid w:val="004E1D80"/>
    <w:rsid w:val="004E1ED9"/>
    <w:rsid w:val="004E2866"/>
    <w:rsid w:val="004E2C46"/>
    <w:rsid w:val="004E2F98"/>
    <w:rsid w:val="004E3056"/>
    <w:rsid w:val="004E3620"/>
    <w:rsid w:val="004E3F25"/>
    <w:rsid w:val="004E4550"/>
    <w:rsid w:val="004E4C7F"/>
    <w:rsid w:val="004E611A"/>
    <w:rsid w:val="004E68C3"/>
    <w:rsid w:val="004E6B3B"/>
    <w:rsid w:val="004E7608"/>
    <w:rsid w:val="004E7D28"/>
    <w:rsid w:val="004E7DFB"/>
    <w:rsid w:val="004F0155"/>
    <w:rsid w:val="004F0970"/>
    <w:rsid w:val="004F1882"/>
    <w:rsid w:val="004F28A8"/>
    <w:rsid w:val="004F2B21"/>
    <w:rsid w:val="004F2D61"/>
    <w:rsid w:val="004F30B6"/>
    <w:rsid w:val="004F3288"/>
    <w:rsid w:val="004F4584"/>
    <w:rsid w:val="004F47FE"/>
    <w:rsid w:val="004F547A"/>
    <w:rsid w:val="004F556B"/>
    <w:rsid w:val="004F5C92"/>
    <w:rsid w:val="004F6460"/>
    <w:rsid w:val="004F69A0"/>
    <w:rsid w:val="004F6B80"/>
    <w:rsid w:val="004F6EF1"/>
    <w:rsid w:val="004F7FFB"/>
    <w:rsid w:val="00501201"/>
    <w:rsid w:val="005014FC"/>
    <w:rsid w:val="00501A0E"/>
    <w:rsid w:val="00501DC3"/>
    <w:rsid w:val="005036D0"/>
    <w:rsid w:val="00503C9C"/>
    <w:rsid w:val="00503CD1"/>
    <w:rsid w:val="00503D80"/>
    <w:rsid w:val="00503FB8"/>
    <w:rsid w:val="0050446A"/>
    <w:rsid w:val="0050459F"/>
    <w:rsid w:val="00504E8C"/>
    <w:rsid w:val="00505004"/>
    <w:rsid w:val="005050E7"/>
    <w:rsid w:val="00505B5E"/>
    <w:rsid w:val="005072F7"/>
    <w:rsid w:val="005073E4"/>
    <w:rsid w:val="00507675"/>
    <w:rsid w:val="0050789E"/>
    <w:rsid w:val="00507CCE"/>
    <w:rsid w:val="00510432"/>
    <w:rsid w:val="00510F37"/>
    <w:rsid w:val="005114AF"/>
    <w:rsid w:val="00511541"/>
    <w:rsid w:val="0051187A"/>
    <w:rsid w:val="00512668"/>
    <w:rsid w:val="00513CEC"/>
    <w:rsid w:val="00513D10"/>
    <w:rsid w:val="00513F86"/>
    <w:rsid w:val="005148D4"/>
    <w:rsid w:val="005148D5"/>
    <w:rsid w:val="00514C2A"/>
    <w:rsid w:val="005150ED"/>
    <w:rsid w:val="00515B1F"/>
    <w:rsid w:val="00515DCB"/>
    <w:rsid w:val="0051619C"/>
    <w:rsid w:val="00516330"/>
    <w:rsid w:val="0051647C"/>
    <w:rsid w:val="00517075"/>
    <w:rsid w:val="005177E7"/>
    <w:rsid w:val="00517FC0"/>
    <w:rsid w:val="0052008E"/>
    <w:rsid w:val="00520187"/>
    <w:rsid w:val="00520213"/>
    <w:rsid w:val="00520366"/>
    <w:rsid w:val="005206AB"/>
    <w:rsid w:val="00520B32"/>
    <w:rsid w:val="00520BF0"/>
    <w:rsid w:val="00520C53"/>
    <w:rsid w:val="00521451"/>
    <w:rsid w:val="0052206B"/>
    <w:rsid w:val="00522218"/>
    <w:rsid w:val="00523731"/>
    <w:rsid w:val="00523B60"/>
    <w:rsid w:val="0052419A"/>
    <w:rsid w:val="00524821"/>
    <w:rsid w:val="00524CB8"/>
    <w:rsid w:val="005253CA"/>
    <w:rsid w:val="00525CAC"/>
    <w:rsid w:val="0052678D"/>
    <w:rsid w:val="00526F6C"/>
    <w:rsid w:val="0052747F"/>
    <w:rsid w:val="0052758B"/>
    <w:rsid w:val="00527682"/>
    <w:rsid w:val="005276D6"/>
    <w:rsid w:val="00527B4C"/>
    <w:rsid w:val="00527FA7"/>
    <w:rsid w:val="005300D3"/>
    <w:rsid w:val="00530FE9"/>
    <w:rsid w:val="0053109C"/>
    <w:rsid w:val="0053119E"/>
    <w:rsid w:val="00531A35"/>
    <w:rsid w:val="00531F35"/>
    <w:rsid w:val="00532267"/>
    <w:rsid w:val="005322CB"/>
    <w:rsid w:val="00533130"/>
    <w:rsid w:val="005331E3"/>
    <w:rsid w:val="005333C8"/>
    <w:rsid w:val="0053398E"/>
    <w:rsid w:val="00533C81"/>
    <w:rsid w:val="00533F08"/>
    <w:rsid w:val="00533F0B"/>
    <w:rsid w:val="005349E4"/>
    <w:rsid w:val="0053556D"/>
    <w:rsid w:val="0053558F"/>
    <w:rsid w:val="005359F4"/>
    <w:rsid w:val="00535D4F"/>
    <w:rsid w:val="0053622D"/>
    <w:rsid w:val="005366E5"/>
    <w:rsid w:val="00536815"/>
    <w:rsid w:val="00536932"/>
    <w:rsid w:val="005373D9"/>
    <w:rsid w:val="005379D2"/>
    <w:rsid w:val="0054083E"/>
    <w:rsid w:val="00540857"/>
    <w:rsid w:val="005410C7"/>
    <w:rsid w:val="00541103"/>
    <w:rsid w:val="005417B9"/>
    <w:rsid w:val="00541958"/>
    <w:rsid w:val="00542375"/>
    <w:rsid w:val="005428E2"/>
    <w:rsid w:val="00542A10"/>
    <w:rsid w:val="00542C02"/>
    <w:rsid w:val="00542DC8"/>
    <w:rsid w:val="0054334E"/>
    <w:rsid w:val="00543FE0"/>
    <w:rsid w:val="005442A6"/>
    <w:rsid w:val="00544896"/>
    <w:rsid w:val="00544A91"/>
    <w:rsid w:val="00544B14"/>
    <w:rsid w:val="00544E74"/>
    <w:rsid w:val="00544F82"/>
    <w:rsid w:val="0054560E"/>
    <w:rsid w:val="0054564B"/>
    <w:rsid w:val="005458A3"/>
    <w:rsid w:val="00545CA2"/>
    <w:rsid w:val="005460C6"/>
    <w:rsid w:val="00546199"/>
    <w:rsid w:val="005464C7"/>
    <w:rsid w:val="00546502"/>
    <w:rsid w:val="00546AB1"/>
    <w:rsid w:val="00546C6C"/>
    <w:rsid w:val="00546D4E"/>
    <w:rsid w:val="00547974"/>
    <w:rsid w:val="00547A6D"/>
    <w:rsid w:val="00550815"/>
    <w:rsid w:val="005509D2"/>
    <w:rsid w:val="00550E20"/>
    <w:rsid w:val="00551934"/>
    <w:rsid w:val="00551B5A"/>
    <w:rsid w:val="00552769"/>
    <w:rsid w:val="00552990"/>
    <w:rsid w:val="00552AD9"/>
    <w:rsid w:val="00553088"/>
    <w:rsid w:val="00553090"/>
    <w:rsid w:val="00553251"/>
    <w:rsid w:val="00553639"/>
    <w:rsid w:val="0055377E"/>
    <w:rsid w:val="005537B8"/>
    <w:rsid w:val="005537C8"/>
    <w:rsid w:val="00553AEC"/>
    <w:rsid w:val="00553B28"/>
    <w:rsid w:val="005553A7"/>
    <w:rsid w:val="00555FA1"/>
    <w:rsid w:val="00556186"/>
    <w:rsid w:val="005564B5"/>
    <w:rsid w:val="0055664F"/>
    <w:rsid w:val="00556A75"/>
    <w:rsid w:val="00556FC6"/>
    <w:rsid w:val="00557205"/>
    <w:rsid w:val="00557E6E"/>
    <w:rsid w:val="005603C9"/>
    <w:rsid w:val="0056052C"/>
    <w:rsid w:val="005609EE"/>
    <w:rsid w:val="00560E47"/>
    <w:rsid w:val="005610B3"/>
    <w:rsid w:val="005610CA"/>
    <w:rsid w:val="005613F8"/>
    <w:rsid w:val="0056186E"/>
    <w:rsid w:val="005619CC"/>
    <w:rsid w:val="00561E9F"/>
    <w:rsid w:val="005627F1"/>
    <w:rsid w:val="00562E51"/>
    <w:rsid w:val="00562E7B"/>
    <w:rsid w:val="00562E85"/>
    <w:rsid w:val="00563404"/>
    <w:rsid w:val="00563526"/>
    <w:rsid w:val="0056359D"/>
    <w:rsid w:val="00563780"/>
    <w:rsid w:val="005637E1"/>
    <w:rsid w:val="00563A54"/>
    <w:rsid w:val="00563BAD"/>
    <w:rsid w:val="00563E3D"/>
    <w:rsid w:val="00563FB3"/>
    <w:rsid w:val="00564484"/>
    <w:rsid w:val="005646B6"/>
    <w:rsid w:val="00564877"/>
    <w:rsid w:val="005648FE"/>
    <w:rsid w:val="0056501C"/>
    <w:rsid w:val="005653EE"/>
    <w:rsid w:val="00565525"/>
    <w:rsid w:val="005655E9"/>
    <w:rsid w:val="00565A16"/>
    <w:rsid w:val="00565B99"/>
    <w:rsid w:val="00565F79"/>
    <w:rsid w:val="0056727C"/>
    <w:rsid w:val="00567DB0"/>
    <w:rsid w:val="00567F97"/>
    <w:rsid w:val="00570033"/>
    <w:rsid w:val="00570582"/>
    <w:rsid w:val="00570A2A"/>
    <w:rsid w:val="00570AC7"/>
    <w:rsid w:val="00570E9D"/>
    <w:rsid w:val="005711DA"/>
    <w:rsid w:val="00571244"/>
    <w:rsid w:val="00571378"/>
    <w:rsid w:val="00571C12"/>
    <w:rsid w:val="0057228D"/>
    <w:rsid w:val="00572394"/>
    <w:rsid w:val="005725BE"/>
    <w:rsid w:val="00572789"/>
    <w:rsid w:val="00572B1F"/>
    <w:rsid w:val="00572D00"/>
    <w:rsid w:val="0057330F"/>
    <w:rsid w:val="005734EB"/>
    <w:rsid w:val="005736F0"/>
    <w:rsid w:val="00573734"/>
    <w:rsid w:val="00573821"/>
    <w:rsid w:val="005738AF"/>
    <w:rsid w:val="0057408C"/>
    <w:rsid w:val="005744AC"/>
    <w:rsid w:val="005747B0"/>
    <w:rsid w:val="00575E20"/>
    <w:rsid w:val="00576F4D"/>
    <w:rsid w:val="0057708C"/>
    <w:rsid w:val="00577863"/>
    <w:rsid w:val="005779EB"/>
    <w:rsid w:val="005802A9"/>
    <w:rsid w:val="00580E68"/>
    <w:rsid w:val="005817C1"/>
    <w:rsid w:val="00582000"/>
    <w:rsid w:val="005824E2"/>
    <w:rsid w:val="005828E3"/>
    <w:rsid w:val="00582FBC"/>
    <w:rsid w:val="0058313E"/>
    <w:rsid w:val="005833F6"/>
    <w:rsid w:val="00584429"/>
    <w:rsid w:val="00584815"/>
    <w:rsid w:val="00584D21"/>
    <w:rsid w:val="00584EA2"/>
    <w:rsid w:val="00586A50"/>
    <w:rsid w:val="00586D39"/>
    <w:rsid w:val="00587970"/>
    <w:rsid w:val="00587E21"/>
    <w:rsid w:val="00587F99"/>
    <w:rsid w:val="0059000A"/>
    <w:rsid w:val="005906F2"/>
    <w:rsid w:val="00590924"/>
    <w:rsid w:val="00591071"/>
    <w:rsid w:val="0059159A"/>
    <w:rsid w:val="005916A5"/>
    <w:rsid w:val="00591E49"/>
    <w:rsid w:val="0059206F"/>
    <w:rsid w:val="00592727"/>
    <w:rsid w:val="00592785"/>
    <w:rsid w:val="00592C03"/>
    <w:rsid w:val="00592E55"/>
    <w:rsid w:val="0059368B"/>
    <w:rsid w:val="005937C1"/>
    <w:rsid w:val="00593C4F"/>
    <w:rsid w:val="00593E7B"/>
    <w:rsid w:val="005940E4"/>
    <w:rsid w:val="0059429F"/>
    <w:rsid w:val="0059450B"/>
    <w:rsid w:val="005946A8"/>
    <w:rsid w:val="0059474F"/>
    <w:rsid w:val="005956D5"/>
    <w:rsid w:val="005957F0"/>
    <w:rsid w:val="005961F3"/>
    <w:rsid w:val="005962C5"/>
    <w:rsid w:val="005965DA"/>
    <w:rsid w:val="00596A90"/>
    <w:rsid w:val="00596EE1"/>
    <w:rsid w:val="005972C4"/>
    <w:rsid w:val="00597466"/>
    <w:rsid w:val="00597923"/>
    <w:rsid w:val="005A053C"/>
    <w:rsid w:val="005A05AE"/>
    <w:rsid w:val="005A0BEA"/>
    <w:rsid w:val="005A0C56"/>
    <w:rsid w:val="005A0CBC"/>
    <w:rsid w:val="005A0F43"/>
    <w:rsid w:val="005A1286"/>
    <w:rsid w:val="005A187C"/>
    <w:rsid w:val="005A1DBE"/>
    <w:rsid w:val="005A235E"/>
    <w:rsid w:val="005A24A2"/>
    <w:rsid w:val="005A2954"/>
    <w:rsid w:val="005A2B64"/>
    <w:rsid w:val="005A383E"/>
    <w:rsid w:val="005A4030"/>
    <w:rsid w:val="005A4407"/>
    <w:rsid w:val="005A448E"/>
    <w:rsid w:val="005A4D6A"/>
    <w:rsid w:val="005A53BD"/>
    <w:rsid w:val="005A578B"/>
    <w:rsid w:val="005A59EF"/>
    <w:rsid w:val="005A5DEB"/>
    <w:rsid w:val="005A5E8A"/>
    <w:rsid w:val="005A5EA0"/>
    <w:rsid w:val="005A674B"/>
    <w:rsid w:val="005A6AD0"/>
    <w:rsid w:val="005A6B5D"/>
    <w:rsid w:val="005A6BA4"/>
    <w:rsid w:val="005A6BE1"/>
    <w:rsid w:val="005A7039"/>
    <w:rsid w:val="005A741C"/>
    <w:rsid w:val="005A7C8C"/>
    <w:rsid w:val="005AA945"/>
    <w:rsid w:val="005B14DF"/>
    <w:rsid w:val="005B193F"/>
    <w:rsid w:val="005B1AAD"/>
    <w:rsid w:val="005B1C7E"/>
    <w:rsid w:val="005B1F8A"/>
    <w:rsid w:val="005B2257"/>
    <w:rsid w:val="005B29A8"/>
    <w:rsid w:val="005B2C04"/>
    <w:rsid w:val="005B2D05"/>
    <w:rsid w:val="005B2ED8"/>
    <w:rsid w:val="005B31B1"/>
    <w:rsid w:val="005B321C"/>
    <w:rsid w:val="005B357B"/>
    <w:rsid w:val="005B3FB0"/>
    <w:rsid w:val="005B5AFF"/>
    <w:rsid w:val="005B5C83"/>
    <w:rsid w:val="005B6215"/>
    <w:rsid w:val="005B6640"/>
    <w:rsid w:val="005B7814"/>
    <w:rsid w:val="005B7921"/>
    <w:rsid w:val="005B7BFF"/>
    <w:rsid w:val="005B7C17"/>
    <w:rsid w:val="005C01DE"/>
    <w:rsid w:val="005C052C"/>
    <w:rsid w:val="005C0B0F"/>
    <w:rsid w:val="005C0FEF"/>
    <w:rsid w:val="005C18A9"/>
    <w:rsid w:val="005C1BA0"/>
    <w:rsid w:val="005C2719"/>
    <w:rsid w:val="005C2B8E"/>
    <w:rsid w:val="005C340C"/>
    <w:rsid w:val="005C374C"/>
    <w:rsid w:val="005C4247"/>
    <w:rsid w:val="005C4D80"/>
    <w:rsid w:val="005C5450"/>
    <w:rsid w:val="005C5600"/>
    <w:rsid w:val="005C5B14"/>
    <w:rsid w:val="005C68DD"/>
    <w:rsid w:val="005C6976"/>
    <w:rsid w:val="005D01D7"/>
    <w:rsid w:val="005D0900"/>
    <w:rsid w:val="005D1000"/>
    <w:rsid w:val="005D125B"/>
    <w:rsid w:val="005D1427"/>
    <w:rsid w:val="005D1506"/>
    <w:rsid w:val="005D17C4"/>
    <w:rsid w:val="005D1B6B"/>
    <w:rsid w:val="005D1CD4"/>
    <w:rsid w:val="005D26C6"/>
    <w:rsid w:val="005D2921"/>
    <w:rsid w:val="005D2F2C"/>
    <w:rsid w:val="005D3132"/>
    <w:rsid w:val="005D3272"/>
    <w:rsid w:val="005D33A8"/>
    <w:rsid w:val="005D356C"/>
    <w:rsid w:val="005D3715"/>
    <w:rsid w:val="005D427C"/>
    <w:rsid w:val="005D4437"/>
    <w:rsid w:val="005D4527"/>
    <w:rsid w:val="005D46A2"/>
    <w:rsid w:val="005D48FF"/>
    <w:rsid w:val="005D4D41"/>
    <w:rsid w:val="005D5509"/>
    <w:rsid w:val="005D55B7"/>
    <w:rsid w:val="005D5ACA"/>
    <w:rsid w:val="005D5B16"/>
    <w:rsid w:val="005D6599"/>
    <w:rsid w:val="005D6B1E"/>
    <w:rsid w:val="005D6CAE"/>
    <w:rsid w:val="005D710B"/>
    <w:rsid w:val="005D7376"/>
    <w:rsid w:val="005D755E"/>
    <w:rsid w:val="005D76C4"/>
    <w:rsid w:val="005D7BA8"/>
    <w:rsid w:val="005D7E6C"/>
    <w:rsid w:val="005D7F0F"/>
    <w:rsid w:val="005E0158"/>
    <w:rsid w:val="005E02A2"/>
    <w:rsid w:val="005E04C2"/>
    <w:rsid w:val="005E04E9"/>
    <w:rsid w:val="005E0A44"/>
    <w:rsid w:val="005E1A33"/>
    <w:rsid w:val="005E1D52"/>
    <w:rsid w:val="005E1FB7"/>
    <w:rsid w:val="005E219F"/>
    <w:rsid w:val="005E224D"/>
    <w:rsid w:val="005E22D1"/>
    <w:rsid w:val="005E23B3"/>
    <w:rsid w:val="005E2741"/>
    <w:rsid w:val="005E2964"/>
    <w:rsid w:val="005E3AF1"/>
    <w:rsid w:val="005E3CAE"/>
    <w:rsid w:val="005E3D9D"/>
    <w:rsid w:val="005E5332"/>
    <w:rsid w:val="005E5700"/>
    <w:rsid w:val="005E57B0"/>
    <w:rsid w:val="005E5DB5"/>
    <w:rsid w:val="005E5E5C"/>
    <w:rsid w:val="005E60E8"/>
    <w:rsid w:val="005E6559"/>
    <w:rsid w:val="005E7A5D"/>
    <w:rsid w:val="005E7E9D"/>
    <w:rsid w:val="005E7F12"/>
    <w:rsid w:val="005F0CD6"/>
    <w:rsid w:val="005F1A03"/>
    <w:rsid w:val="005F1A3B"/>
    <w:rsid w:val="005F1A45"/>
    <w:rsid w:val="005F2BED"/>
    <w:rsid w:val="005F3273"/>
    <w:rsid w:val="005F38E5"/>
    <w:rsid w:val="005F39DC"/>
    <w:rsid w:val="005F3CDF"/>
    <w:rsid w:val="005F3D7D"/>
    <w:rsid w:val="005F429B"/>
    <w:rsid w:val="005F43BF"/>
    <w:rsid w:val="005F45E7"/>
    <w:rsid w:val="005F5330"/>
    <w:rsid w:val="005F54FC"/>
    <w:rsid w:val="005F5C0C"/>
    <w:rsid w:val="005F6F28"/>
    <w:rsid w:val="005F6F41"/>
    <w:rsid w:val="005F7235"/>
    <w:rsid w:val="005F7DAD"/>
    <w:rsid w:val="005F7FDA"/>
    <w:rsid w:val="00600334"/>
    <w:rsid w:val="006005E5"/>
    <w:rsid w:val="006011DB"/>
    <w:rsid w:val="00601480"/>
    <w:rsid w:val="00601BE4"/>
    <w:rsid w:val="00602575"/>
    <w:rsid w:val="006025D7"/>
    <w:rsid w:val="00602ABE"/>
    <w:rsid w:val="00602BA5"/>
    <w:rsid w:val="00602C7F"/>
    <w:rsid w:val="00602E0B"/>
    <w:rsid w:val="00602F3F"/>
    <w:rsid w:val="0060381F"/>
    <w:rsid w:val="0060397F"/>
    <w:rsid w:val="00604492"/>
    <w:rsid w:val="0060468A"/>
    <w:rsid w:val="0060478D"/>
    <w:rsid w:val="00605378"/>
    <w:rsid w:val="006060BD"/>
    <w:rsid w:val="00606312"/>
    <w:rsid w:val="00606614"/>
    <w:rsid w:val="006067A4"/>
    <w:rsid w:val="006103CD"/>
    <w:rsid w:val="00610620"/>
    <w:rsid w:val="00610A22"/>
    <w:rsid w:val="00610CEF"/>
    <w:rsid w:val="00611398"/>
    <w:rsid w:val="006116A7"/>
    <w:rsid w:val="00611D9F"/>
    <w:rsid w:val="00612126"/>
    <w:rsid w:val="00612861"/>
    <w:rsid w:val="00612984"/>
    <w:rsid w:val="00612E31"/>
    <w:rsid w:val="006142F7"/>
    <w:rsid w:val="0061479A"/>
    <w:rsid w:val="00614B79"/>
    <w:rsid w:val="0061504E"/>
    <w:rsid w:val="00615285"/>
    <w:rsid w:val="006155C8"/>
    <w:rsid w:val="00615DC6"/>
    <w:rsid w:val="006167F9"/>
    <w:rsid w:val="006168CE"/>
    <w:rsid w:val="00616A75"/>
    <w:rsid w:val="00617787"/>
    <w:rsid w:val="0061799B"/>
    <w:rsid w:val="006205E6"/>
    <w:rsid w:val="00620F75"/>
    <w:rsid w:val="0062255E"/>
    <w:rsid w:val="006231A8"/>
    <w:rsid w:val="0062398D"/>
    <w:rsid w:val="00623E6D"/>
    <w:rsid w:val="00623F4A"/>
    <w:rsid w:val="006248EC"/>
    <w:rsid w:val="00624BBC"/>
    <w:rsid w:val="00624CCB"/>
    <w:rsid w:val="00624E24"/>
    <w:rsid w:val="00624E37"/>
    <w:rsid w:val="006251CD"/>
    <w:rsid w:val="006251EC"/>
    <w:rsid w:val="0062533C"/>
    <w:rsid w:val="00625693"/>
    <w:rsid w:val="00625C38"/>
    <w:rsid w:val="00625DC6"/>
    <w:rsid w:val="00625F97"/>
    <w:rsid w:val="00626049"/>
    <w:rsid w:val="0062641D"/>
    <w:rsid w:val="00626BF9"/>
    <w:rsid w:val="00627475"/>
    <w:rsid w:val="006279B9"/>
    <w:rsid w:val="00627BD0"/>
    <w:rsid w:val="00627BDF"/>
    <w:rsid w:val="00627DB3"/>
    <w:rsid w:val="00627F5A"/>
    <w:rsid w:val="00630427"/>
    <w:rsid w:val="0063044E"/>
    <w:rsid w:val="0063047D"/>
    <w:rsid w:val="006305A3"/>
    <w:rsid w:val="00630735"/>
    <w:rsid w:val="00630885"/>
    <w:rsid w:val="00630EF9"/>
    <w:rsid w:val="00630F6C"/>
    <w:rsid w:val="006310EC"/>
    <w:rsid w:val="00632584"/>
    <w:rsid w:val="0063288D"/>
    <w:rsid w:val="00632C01"/>
    <w:rsid w:val="0063334A"/>
    <w:rsid w:val="006339D5"/>
    <w:rsid w:val="0063458F"/>
    <w:rsid w:val="006345EB"/>
    <w:rsid w:val="006346D7"/>
    <w:rsid w:val="00635D49"/>
    <w:rsid w:val="00635E48"/>
    <w:rsid w:val="00636737"/>
    <w:rsid w:val="00636815"/>
    <w:rsid w:val="006369A7"/>
    <w:rsid w:val="00636ED4"/>
    <w:rsid w:val="00637410"/>
    <w:rsid w:val="006374B1"/>
    <w:rsid w:val="00637557"/>
    <w:rsid w:val="0064079C"/>
    <w:rsid w:val="00640DE3"/>
    <w:rsid w:val="00640F8D"/>
    <w:rsid w:val="006412E6"/>
    <w:rsid w:val="006414DA"/>
    <w:rsid w:val="00641763"/>
    <w:rsid w:val="00642C8B"/>
    <w:rsid w:val="006434FC"/>
    <w:rsid w:val="006435D1"/>
    <w:rsid w:val="00643739"/>
    <w:rsid w:val="0064391D"/>
    <w:rsid w:val="00643A24"/>
    <w:rsid w:val="0064418D"/>
    <w:rsid w:val="0064497E"/>
    <w:rsid w:val="00644DEA"/>
    <w:rsid w:val="006454F7"/>
    <w:rsid w:val="00645A93"/>
    <w:rsid w:val="00645B0C"/>
    <w:rsid w:val="00646B49"/>
    <w:rsid w:val="00646CF3"/>
    <w:rsid w:val="00647752"/>
    <w:rsid w:val="00647F0E"/>
    <w:rsid w:val="00650FC1"/>
    <w:rsid w:val="006516A3"/>
    <w:rsid w:val="00651821"/>
    <w:rsid w:val="00651B42"/>
    <w:rsid w:val="00651CF3"/>
    <w:rsid w:val="00651EF3"/>
    <w:rsid w:val="00651FBC"/>
    <w:rsid w:val="006522D3"/>
    <w:rsid w:val="0065287C"/>
    <w:rsid w:val="00652B5C"/>
    <w:rsid w:val="00652DF8"/>
    <w:rsid w:val="00652ED3"/>
    <w:rsid w:val="00653046"/>
    <w:rsid w:val="00653324"/>
    <w:rsid w:val="00653C97"/>
    <w:rsid w:val="00654232"/>
    <w:rsid w:val="00654384"/>
    <w:rsid w:val="00654521"/>
    <w:rsid w:val="006551E4"/>
    <w:rsid w:val="006552EA"/>
    <w:rsid w:val="00656BB4"/>
    <w:rsid w:val="00657454"/>
    <w:rsid w:val="0065757C"/>
    <w:rsid w:val="006576E4"/>
    <w:rsid w:val="00657A43"/>
    <w:rsid w:val="00657A69"/>
    <w:rsid w:val="0066018A"/>
    <w:rsid w:val="00660229"/>
    <w:rsid w:val="0066041F"/>
    <w:rsid w:val="0066068D"/>
    <w:rsid w:val="006609E7"/>
    <w:rsid w:val="00660C1F"/>
    <w:rsid w:val="0066106F"/>
    <w:rsid w:val="006611A9"/>
    <w:rsid w:val="00661527"/>
    <w:rsid w:val="006616E4"/>
    <w:rsid w:val="00661722"/>
    <w:rsid w:val="00661C8B"/>
    <w:rsid w:val="0066209E"/>
    <w:rsid w:val="00662677"/>
    <w:rsid w:val="00662E3F"/>
    <w:rsid w:val="00662E6D"/>
    <w:rsid w:val="00662EBC"/>
    <w:rsid w:val="00663287"/>
    <w:rsid w:val="00663CBA"/>
    <w:rsid w:val="0066412A"/>
    <w:rsid w:val="0066471F"/>
    <w:rsid w:val="0066490A"/>
    <w:rsid w:val="006649E1"/>
    <w:rsid w:val="00664C0E"/>
    <w:rsid w:val="00666380"/>
    <w:rsid w:val="0066673A"/>
    <w:rsid w:val="00666869"/>
    <w:rsid w:val="00666C24"/>
    <w:rsid w:val="0066757F"/>
    <w:rsid w:val="006675CD"/>
    <w:rsid w:val="0067018E"/>
    <w:rsid w:val="0067034A"/>
    <w:rsid w:val="006707B1"/>
    <w:rsid w:val="00670A1D"/>
    <w:rsid w:val="00670C07"/>
    <w:rsid w:val="00670D0C"/>
    <w:rsid w:val="0067116A"/>
    <w:rsid w:val="00671409"/>
    <w:rsid w:val="0067159C"/>
    <w:rsid w:val="006716A2"/>
    <w:rsid w:val="0067173D"/>
    <w:rsid w:val="00671B3E"/>
    <w:rsid w:val="00671EC5"/>
    <w:rsid w:val="006720A1"/>
    <w:rsid w:val="0067298A"/>
    <w:rsid w:val="006731D4"/>
    <w:rsid w:val="0067340B"/>
    <w:rsid w:val="0067355B"/>
    <w:rsid w:val="00673A1C"/>
    <w:rsid w:val="00673E9D"/>
    <w:rsid w:val="006745A2"/>
    <w:rsid w:val="006745B8"/>
    <w:rsid w:val="006751CF"/>
    <w:rsid w:val="006752A4"/>
    <w:rsid w:val="00675455"/>
    <w:rsid w:val="00675B8A"/>
    <w:rsid w:val="00675BDC"/>
    <w:rsid w:val="00675F3B"/>
    <w:rsid w:val="006766B9"/>
    <w:rsid w:val="00677AA4"/>
    <w:rsid w:val="00677DAB"/>
    <w:rsid w:val="0068013D"/>
    <w:rsid w:val="00680639"/>
    <w:rsid w:val="006806E5"/>
    <w:rsid w:val="00680A28"/>
    <w:rsid w:val="00680DB8"/>
    <w:rsid w:val="006814B4"/>
    <w:rsid w:val="006819B9"/>
    <w:rsid w:val="00682B47"/>
    <w:rsid w:val="00682BC2"/>
    <w:rsid w:val="0068412B"/>
    <w:rsid w:val="00684D9B"/>
    <w:rsid w:val="00684F10"/>
    <w:rsid w:val="0068510A"/>
    <w:rsid w:val="006852CA"/>
    <w:rsid w:val="00685880"/>
    <w:rsid w:val="006865BF"/>
    <w:rsid w:val="00686D93"/>
    <w:rsid w:val="00686DA0"/>
    <w:rsid w:val="00687C10"/>
    <w:rsid w:val="00687F65"/>
    <w:rsid w:val="00690169"/>
    <w:rsid w:val="006902E9"/>
    <w:rsid w:val="00690301"/>
    <w:rsid w:val="00690BAE"/>
    <w:rsid w:val="00690CD5"/>
    <w:rsid w:val="0069140A"/>
    <w:rsid w:val="0069165F"/>
    <w:rsid w:val="006916AA"/>
    <w:rsid w:val="00691A12"/>
    <w:rsid w:val="00691B53"/>
    <w:rsid w:val="00692AA6"/>
    <w:rsid w:val="00693458"/>
    <w:rsid w:val="00693775"/>
    <w:rsid w:val="00693A62"/>
    <w:rsid w:val="00694322"/>
    <w:rsid w:val="0069454B"/>
    <w:rsid w:val="00694629"/>
    <w:rsid w:val="00694D98"/>
    <w:rsid w:val="00695A3B"/>
    <w:rsid w:val="00695C20"/>
    <w:rsid w:val="00695D22"/>
    <w:rsid w:val="00696278"/>
    <w:rsid w:val="006962DD"/>
    <w:rsid w:val="006964B8"/>
    <w:rsid w:val="006966A7"/>
    <w:rsid w:val="00696CFB"/>
    <w:rsid w:val="00696EC7"/>
    <w:rsid w:val="00696EEE"/>
    <w:rsid w:val="006970E0"/>
    <w:rsid w:val="00697556"/>
    <w:rsid w:val="006A0A64"/>
    <w:rsid w:val="006A0EAF"/>
    <w:rsid w:val="006A18FA"/>
    <w:rsid w:val="006A1D6F"/>
    <w:rsid w:val="006A2EDF"/>
    <w:rsid w:val="006A2F1A"/>
    <w:rsid w:val="006A2F92"/>
    <w:rsid w:val="006A3579"/>
    <w:rsid w:val="006A36D0"/>
    <w:rsid w:val="006A3D2E"/>
    <w:rsid w:val="006A42AE"/>
    <w:rsid w:val="006A52D7"/>
    <w:rsid w:val="006A5324"/>
    <w:rsid w:val="006A5588"/>
    <w:rsid w:val="006A56FC"/>
    <w:rsid w:val="006A6281"/>
    <w:rsid w:val="006A6FB1"/>
    <w:rsid w:val="006A7146"/>
    <w:rsid w:val="006A718F"/>
    <w:rsid w:val="006A7824"/>
    <w:rsid w:val="006B02F6"/>
    <w:rsid w:val="006B038C"/>
    <w:rsid w:val="006B0A2D"/>
    <w:rsid w:val="006B17FD"/>
    <w:rsid w:val="006B18A7"/>
    <w:rsid w:val="006B240C"/>
    <w:rsid w:val="006B2C54"/>
    <w:rsid w:val="006B2F38"/>
    <w:rsid w:val="006B318D"/>
    <w:rsid w:val="006B3292"/>
    <w:rsid w:val="006B379B"/>
    <w:rsid w:val="006B37EC"/>
    <w:rsid w:val="006B3A1B"/>
    <w:rsid w:val="006B3B3C"/>
    <w:rsid w:val="006B42C8"/>
    <w:rsid w:val="006B4647"/>
    <w:rsid w:val="006B4771"/>
    <w:rsid w:val="006B4AD5"/>
    <w:rsid w:val="006B4C2B"/>
    <w:rsid w:val="006B52A2"/>
    <w:rsid w:val="006B53BE"/>
    <w:rsid w:val="006B53F6"/>
    <w:rsid w:val="006B5ED3"/>
    <w:rsid w:val="006B6194"/>
    <w:rsid w:val="006B69ED"/>
    <w:rsid w:val="006B6D47"/>
    <w:rsid w:val="006B799A"/>
    <w:rsid w:val="006B7FFA"/>
    <w:rsid w:val="006C13E7"/>
    <w:rsid w:val="006C151A"/>
    <w:rsid w:val="006C16DE"/>
    <w:rsid w:val="006C18BB"/>
    <w:rsid w:val="006C1EE3"/>
    <w:rsid w:val="006C24E2"/>
    <w:rsid w:val="006C2976"/>
    <w:rsid w:val="006C2F40"/>
    <w:rsid w:val="006C37BA"/>
    <w:rsid w:val="006C3DEE"/>
    <w:rsid w:val="006C41AC"/>
    <w:rsid w:val="006C4B75"/>
    <w:rsid w:val="006C5073"/>
    <w:rsid w:val="006C5370"/>
    <w:rsid w:val="006C5AFE"/>
    <w:rsid w:val="006C605C"/>
    <w:rsid w:val="006C6830"/>
    <w:rsid w:val="006C6949"/>
    <w:rsid w:val="006C6AEF"/>
    <w:rsid w:val="006C7036"/>
    <w:rsid w:val="006C7E44"/>
    <w:rsid w:val="006C7E78"/>
    <w:rsid w:val="006D0701"/>
    <w:rsid w:val="006D07E0"/>
    <w:rsid w:val="006D08D5"/>
    <w:rsid w:val="006D1028"/>
    <w:rsid w:val="006D1210"/>
    <w:rsid w:val="006D1522"/>
    <w:rsid w:val="006D1CC8"/>
    <w:rsid w:val="006D2093"/>
    <w:rsid w:val="006D2114"/>
    <w:rsid w:val="006D22D6"/>
    <w:rsid w:val="006D27E4"/>
    <w:rsid w:val="006D3671"/>
    <w:rsid w:val="006D3D87"/>
    <w:rsid w:val="006D3DC4"/>
    <w:rsid w:val="006D438D"/>
    <w:rsid w:val="006D4A76"/>
    <w:rsid w:val="006D4EE8"/>
    <w:rsid w:val="006D5020"/>
    <w:rsid w:val="006D5B08"/>
    <w:rsid w:val="006D628C"/>
    <w:rsid w:val="006D6319"/>
    <w:rsid w:val="006D688D"/>
    <w:rsid w:val="006D6EAC"/>
    <w:rsid w:val="006E02B6"/>
    <w:rsid w:val="006E0718"/>
    <w:rsid w:val="006E09F1"/>
    <w:rsid w:val="006E0C11"/>
    <w:rsid w:val="006E0CE2"/>
    <w:rsid w:val="006E0CEE"/>
    <w:rsid w:val="006E0D7A"/>
    <w:rsid w:val="006E0E7A"/>
    <w:rsid w:val="006E1D0A"/>
    <w:rsid w:val="006E1F1A"/>
    <w:rsid w:val="006E20B2"/>
    <w:rsid w:val="006E2796"/>
    <w:rsid w:val="006E2B5D"/>
    <w:rsid w:val="006E33EC"/>
    <w:rsid w:val="006E389D"/>
    <w:rsid w:val="006E3E27"/>
    <w:rsid w:val="006E5089"/>
    <w:rsid w:val="006E50B7"/>
    <w:rsid w:val="006E50B9"/>
    <w:rsid w:val="006E5149"/>
    <w:rsid w:val="006E51D0"/>
    <w:rsid w:val="006E5285"/>
    <w:rsid w:val="006E5543"/>
    <w:rsid w:val="006E5FF1"/>
    <w:rsid w:val="006E65C2"/>
    <w:rsid w:val="006E6621"/>
    <w:rsid w:val="006E6733"/>
    <w:rsid w:val="006E6A3D"/>
    <w:rsid w:val="006E6E09"/>
    <w:rsid w:val="006E7BFD"/>
    <w:rsid w:val="006F0005"/>
    <w:rsid w:val="006F0114"/>
    <w:rsid w:val="006F0302"/>
    <w:rsid w:val="006F039C"/>
    <w:rsid w:val="006F05D1"/>
    <w:rsid w:val="006F0717"/>
    <w:rsid w:val="006F0F51"/>
    <w:rsid w:val="006F10F9"/>
    <w:rsid w:val="006F1449"/>
    <w:rsid w:val="006F15E2"/>
    <w:rsid w:val="006F1D9B"/>
    <w:rsid w:val="006F1EDA"/>
    <w:rsid w:val="006F1EE9"/>
    <w:rsid w:val="006F23ED"/>
    <w:rsid w:val="006F2E7F"/>
    <w:rsid w:val="006F2EC8"/>
    <w:rsid w:val="006F3803"/>
    <w:rsid w:val="006F38B7"/>
    <w:rsid w:val="006F3A0E"/>
    <w:rsid w:val="006F5378"/>
    <w:rsid w:val="006F5AF7"/>
    <w:rsid w:val="006F6232"/>
    <w:rsid w:val="006F63D3"/>
    <w:rsid w:val="006F6800"/>
    <w:rsid w:val="006F697C"/>
    <w:rsid w:val="006F6A10"/>
    <w:rsid w:val="006F6A37"/>
    <w:rsid w:val="006F6A47"/>
    <w:rsid w:val="006F6B49"/>
    <w:rsid w:val="006F6D37"/>
    <w:rsid w:val="006F6D95"/>
    <w:rsid w:val="006F745D"/>
    <w:rsid w:val="0070031A"/>
    <w:rsid w:val="00700A8F"/>
    <w:rsid w:val="00701193"/>
    <w:rsid w:val="00703042"/>
    <w:rsid w:val="007034E6"/>
    <w:rsid w:val="007035ED"/>
    <w:rsid w:val="00703780"/>
    <w:rsid w:val="00704CA1"/>
    <w:rsid w:val="007050B5"/>
    <w:rsid w:val="00705332"/>
    <w:rsid w:val="00705A88"/>
    <w:rsid w:val="00705C65"/>
    <w:rsid w:val="00706219"/>
    <w:rsid w:val="007067AC"/>
    <w:rsid w:val="00706872"/>
    <w:rsid w:val="00706DBF"/>
    <w:rsid w:val="00706F13"/>
    <w:rsid w:val="00706FF4"/>
    <w:rsid w:val="007072E6"/>
    <w:rsid w:val="007072E8"/>
    <w:rsid w:val="00707736"/>
    <w:rsid w:val="007077A9"/>
    <w:rsid w:val="007100D2"/>
    <w:rsid w:val="007101B0"/>
    <w:rsid w:val="007119E8"/>
    <w:rsid w:val="00711B6A"/>
    <w:rsid w:val="00712F5C"/>
    <w:rsid w:val="00713156"/>
    <w:rsid w:val="0071372F"/>
    <w:rsid w:val="0071385C"/>
    <w:rsid w:val="00713AF7"/>
    <w:rsid w:val="00713B59"/>
    <w:rsid w:val="00713EF8"/>
    <w:rsid w:val="0071405B"/>
    <w:rsid w:val="007142C4"/>
    <w:rsid w:val="00714490"/>
    <w:rsid w:val="00715ECA"/>
    <w:rsid w:val="0071618D"/>
    <w:rsid w:val="00716281"/>
    <w:rsid w:val="007162EB"/>
    <w:rsid w:val="007162EC"/>
    <w:rsid w:val="00716D49"/>
    <w:rsid w:val="00716F0B"/>
    <w:rsid w:val="0071723C"/>
    <w:rsid w:val="00717618"/>
    <w:rsid w:val="007177F7"/>
    <w:rsid w:val="00717E4E"/>
    <w:rsid w:val="00720E52"/>
    <w:rsid w:val="00721E09"/>
    <w:rsid w:val="00722EAF"/>
    <w:rsid w:val="0072323E"/>
    <w:rsid w:val="00723521"/>
    <w:rsid w:val="00723D94"/>
    <w:rsid w:val="00725AAD"/>
    <w:rsid w:val="00725C63"/>
    <w:rsid w:val="00725FA4"/>
    <w:rsid w:val="00726077"/>
    <w:rsid w:val="00726305"/>
    <w:rsid w:val="0072670E"/>
    <w:rsid w:val="0072734D"/>
    <w:rsid w:val="00727441"/>
    <w:rsid w:val="007277E3"/>
    <w:rsid w:val="00730903"/>
    <w:rsid w:val="00730AAF"/>
    <w:rsid w:val="00730C6B"/>
    <w:rsid w:val="0073151F"/>
    <w:rsid w:val="00731522"/>
    <w:rsid w:val="0073159F"/>
    <w:rsid w:val="00731687"/>
    <w:rsid w:val="0073171F"/>
    <w:rsid w:val="00731FAC"/>
    <w:rsid w:val="0073252A"/>
    <w:rsid w:val="00733026"/>
    <w:rsid w:val="0073327A"/>
    <w:rsid w:val="007334DE"/>
    <w:rsid w:val="00733B52"/>
    <w:rsid w:val="00733C86"/>
    <w:rsid w:val="00733DE0"/>
    <w:rsid w:val="00734194"/>
    <w:rsid w:val="0073427B"/>
    <w:rsid w:val="007346CF"/>
    <w:rsid w:val="0073488B"/>
    <w:rsid w:val="007349C6"/>
    <w:rsid w:val="00734DC6"/>
    <w:rsid w:val="007350BD"/>
    <w:rsid w:val="00735382"/>
    <w:rsid w:val="00735C17"/>
    <w:rsid w:val="00735F87"/>
    <w:rsid w:val="00735FAA"/>
    <w:rsid w:val="00736307"/>
    <w:rsid w:val="00736FA3"/>
    <w:rsid w:val="00736FE8"/>
    <w:rsid w:val="00737674"/>
    <w:rsid w:val="0073793F"/>
    <w:rsid w:val="00737AAD"/>
    <w:rsid w:val="00737B36"/>
    <w:rsid w:val="00737D63"/>
    <w:rsid w:val="0074004E"/>
    <w:rsid w:val="00740226"/>
    <w:rsid w:val="00740446"/>
    <w:rsid w:val="007405A4"/>
    <w:rsid w:val="007408B9"/>
    <w:rsid w:val="0074090B"/>
    <w:rsid w:val="00740A19"/>
    <w:rsid w:val="00740CE8"/>
    <w:rsid w:val="007434A9"/>
    <w:rsid w:val="007438A9"/>
    <w:rsid w:val="007441CA"/>
    <w:rsid w:val="0074435C"/>
    <w:rsid w:val="0074491E"/>
    <w:rsid w:val="00744B7B"/>
    <w:rsid w:val="007455DB"/>
    <w:rsid w:val="0074571F"/>
    <w:rsid w:val="007464B7"/>
    <w:rsid w:val="0074663A"/>
    <w:rsid w:val="007469DB"/>
    <w:rsid w:val="00747C23"/>
    <w:rsid w:val="00750706"/>
    <w:rsid w:val="00750C56"/>
    <w:rsid w:val="00750D48"/>
    <w:rsid w:val="00750E15"/>
    <w:rsid w:val="00750F3D"/>
    <w:rsid w:val="00751651"/>
    <w:rsid w:val="0075175E"/>
    <w:rsid w:val="00751EB7"/>
    <w:rsid w:val="007520B0"/>
    <w:rsid w:val="007521E0"/>
    <w:rsid w:val="00752BEC"/>
    <w:rsid w:val="00752C7B"/>
    <w:rsid w:val="00752FE9"/>
    <w:rsid w:val="0075331C"/>
    <w:rsid w:val="0075445A"/>
    <w:rsid w:val="00754BBE"/>
    <w:rsid w:val="00755418"/>
    <w:rsid w:val="007559D4"/>
    <w:rsid w:val="007559E4"/>
    <w:rsid w:val="00755A6B"/>
    <w:rsid w:val="00755CC8"/>
    <w:rsid w:val="00756202"/>
    <w:rsid w:val="007563D5"/>
    <w:rsid w:val="00756E5B"/>
    <w:rsid w:val="00756EDE"/>
    <w:rsid w:val="00757A75"/>
    <w:rsid w:val="00757E10"/>
    <w:rsid w:val="0076022D"/>
    <w:rsid w:val="00760237"/>
    <w:rsid w:val="007602E6"/>
    <w:rsid w:val="007603D6"/>
    <w:rsid w:val="007604A2"/>
    <w:rsid w:val="0076207E"/>
    <w:rsid w:val="007621BD"/>
    <w:rsid w:val="00762344"/>
    <w:rsid w:val="0076247A"/>
    <w:rsid w:val="00762753"/>
    <w:rsid w:val="00762AC1"/>
    <w:rsid w:val="0076383D"/>
    <w:rsid w:val="007640B7"/>
    <w:rsid w:val="00764C92"/>
    <w:rsid w:val="00764C93"/>
    <w:rsid w:val="00764E27"/>
    <w:rsid w:val="00764F6E"/>
    <w:rsid w:val="007653FE"/>
    <w:rsid w:val="007658BF"/>
    <w:rsid w:val="00765B89"/>
    <w:rsid w:val="00765C32"/>
    <w:rsid w:val="00766FF4"/>
    <w:rsid w:val="00767295"/>
    <w:rsid w:val="00767B62"/>
    <w:rsid w:val="00767CF2"/>
    <w:rsid w:val="00767ECC"/>
    <w:rsid w:val="0077031B"/>
    <w:rsid w:val="00770E7D"/>
    <w:rsid w:val="007721D7"/>
    <w:rsid w:val="00773C50"/>
    <w:rsid w:val="007741AF"/>
    <w:rsid w:val="00774325"/>
    <w:rsid w:val="00774C3F"/>
    <w:rsid w:val="00775131"/>
    <w:rsid w:val="00775964"/>
    <w:rsid w:val="00775B1D"/>
    <w:rsid w:val="007760F0"/>
    <w:rsid w:val="007760F7"/>
    <w:rsid w:val="007765FE"/>
    <w:rsid w:val="007776D0"/>
    <w:rsid w:val="007778F8"/>
    <w:rsid w:val="00777909"/>
    <w:rsid w:val="00780626"/>
    <w:rsid w:val="00781239"/>
    <w:rsid w:val="00781348"/>
    <w:rsid w:val="007816D9"/>
    <w:rsid w:val="00781806"/>
    <w:rsid w:val="0078190F"/>
    <w:rsid w:val="0078255F"/>
    <w:rsid w:val="00782797"/>
    <w:rsid w:val="00782B27"/>
    <w:rsid w:val="007836C4"/>
    <w:rsid w:val="007836CD"/>
    <w:rsid w:val="0078380C"/>
    <w:rsid w:val="00783C0F"/>
    <w:rsid w:val="00783D34"/>
    <w:rsid w:val="00784058"/>
    <w:rsid w:val="007840C8"/>
    <w:rsid w:val="007846BA"/>
    <w:rsid w:val="007849E9"/>
    <w:rsid w:val="00784B69"/>
    <w:rsid w:val="00784C11"/>
    <w:rsid w:val="00784DFE"/>
    <w:rsid w:val="00784F5F"/>
    <w:rsid w:val="007850D6"/>
    <w:rsid w:val="00785276"/>
    <w:rsid w:val="007856B3"/>
    <w:rsid w:val="00785A0D"/>
    <w:rsid w:val="00785C05"/>
    <w:rsid w:val="007862CE"/>
    <w:rsid w:val="00786433"/>
    <w:rsid w:val="00786CBC"/>
    <w:rsid w:val="007874B8"/>
    <w:rsid w:val="00787641"/>
    <w:rsid w:val="00787D26"/>
    <w:rsid w:val="0079071C"/>
    <w:rsid w:val="00790A37"/>
    <w:rsid w:val="00790CC7"/>
    <w:rsid w:val="00790CE3"/>
    <w:rsid w:val="00790D96"/>
    <w:rsid w:val="00790E42"/>
    <w:rsid w:val="00792E39"/>
    <w:rsid w:val="0079366B"/>
    <w:rsid w:val="007938A7"/>
    <w:rsid w:val="00793E11"/>
    <w:rsid w:val="007943F4"/>
    <w:rsid w:val="007944D8"/>
    <w:rsid w:val="007944EF"/>
    <w:rsid w:val="00794B3A"/>
    <w:rsid w:val="00794E2E"/>
    <w:rsid w:val="00795600"/>
    <w:rsid w:val="0079561E"/>
    <w:rsid w:val="00795BFB"/>
    <w:rsid w:val="00795DE8"/>
    <w:rsid w:val="007967E1"/>
    <w:rsid w:val="007972AE"/>
    <w:rsid w:val="00797458"/>
    <w:rsid w:val="00797BE8"/>
    <w:rsid w:val="00797C12"/>
    <w:rsid w:val="00797EC8"/>
    <w:rsid w:val="00797ED8"/>
    <w:rsid w:val="007A0096"/>
    <w:rsid w:val="007A033D"/>
    <w:rsid w:val="007A03DD"/>
    <w:rsid w:val="007A0542"/>
    <w:rsid w:val="007A0812"/>
    <w:rsid w:val="007A0981"/>
    <w:rsid w:val="007A0D9D"/>
    <w:rsid w:val="007A117B"/>
    <w:rsid w:val="007A2648"/>
    <w:rsid w:val="007A2DA8"/>
    <w:rsid w:val="007A3010"/>
    <w:rsid w:val="007A3431"/>
    <w:rsid w:val="007A3710"/>
    <w:rsid w:val="007A466E"/>
    <w:rsid w:val="007A4968"/>
    <w:rsid w:val="007A4C06"/>
    <w:rsid w:val="007A4E79"/>
    <w:rsid w:val="007A4EA1"/>
    <w:rsid w:val="007A50F5"/>
    <w:rsid w:val="007A5D0B"/>
    <w:rsid w:val="007A6181"/>
    <w:rsid w:val="007A6303"/>
    <w:rsid w:val="007A6415"/>
    <w:rsid w:val="007A68DB"/>
    <w:rsid w:val="007A68EC"/>
    <w:rsid w:val="007A6C40"/>
    <w:rsid w:val="007A6CCC"/>
    <w:rsid w:val="007A6FEE"/>
    <w:rsid w:val="007A7C44"/>
    <w:rsid w:val="007A7E22"/>
    <w:rsid w:val="007B02CA"/>
    <w:rsid w:val="007B11A1"/>
    <w:rsid w:val="007B1631"/>
    <w:rsid w:val="007B2149"/>
    <w:rsid w:val="007B2165"/>
    <w:rsid w:val="007B223E"/>
    <w:rsid w:val="007B2760"/>
    <w:rsid w:val="007B2A42"/>
    <w:rsid w:val="007B31EE"/>
    <w:rsid w:val="007B4232"/>
    <w:rsid w:val="007B4233"/>
    <w:rsid w:val="007B4920"/>
    <w:rsid w:val="007B4A93"/>
    <w:rsid w:val="007B4EE0"/>
    <w:rsid w:val="007B4EFB"/>
    <w:rsid w:val="007B5132"/>
    <w:rsid w:val="007B56BD"/>
    <w:rsid w:val="007B5A60"/>
    <w:rsid w:val="007B602C"/>
    <w:rsid w:val="007B6524"/>
    <w:rsid w:val="007B6F16"/>
    <w:rsid w:val="007B79DE"/>
    <w:rsid w:val="007C032B"/>
    <w:rsid w:val="007C1331"/>
    <w:rsid w:val="007C16BD"/>
    <w:rsid w:val="007C1AFB"/>
    <w:rsid w:val="007C1BDB"/>
    <w:rsid w:val="007C23A8"/>
    <w:rsid w:val="007C254B"/>
    <w:rsid w:val="007C2571"/>
    <w:rsid w:val="007C26C1"/>
    <w:rsid w:val="007C3861"/>
    <w:rsid w:val="007C3C86"/>
    <w:rsid w:val="007C4136"/>
    <w:rsid w:val="007C4A7F"/>
    <w:rsid w:val="007C4BFA"/>
    <w:rsid w:val="007C4F75"/>
    <w:rsid w:val="007C4FF9"/>
    <w:rsid w:val="007C5650"/>
    <w:rsid w:val="007C6257"/>
    <w:rsid w:val="007C63F2"/>
    <w:rsid w:val="007C679C"/>
    <w:rsid w:val="007C68FF"/>
    <w:rsid w:val="007C72E8"/>
    <w:rsid w:val="007D068B"/>
    <w:rsid w:val="007D069A"/>
    <w:rsid w:val="007D0AFE"/>
    <w:rsid w:val="007D0B26"/>
    <w:rsid w:val="007D1B99"/>
    <w:rsid w:val="007D1F8A"/>
    <w:rsid w:val="007D2030"/>
    <w:rsid w:val="007D2274"/>
    <w:rsid w:val="007D2348"/>
    <w:rsid w:val="007D2665"/>
    <w:rsid w:val="007D27B5"/>
    <w:rsid w:val="007D298C"/>
    <w:rsid w:val="007D2CC2"/>
    <w:rsid w:val="007D2DA2"/>
    <w:rsid w:val="007D349F"/>
    <w:rsid w:val="007D35D3"/>
    <w:rsid w:val="007D3E25"/>
    <w:rsid w:val="007D3EA1"/>
    <w:rsid w:val="007D4004"/>
    <w:rsid w:val="007D52A2"/>
    <w:rsid w:val="007D55B3"/>
    <w:rsid w:val="007D5890"/>
    <w:rsid w:val="007D6227"/>
    <w:rsid w:val="007D68A0"/>
    <w:rsid w:val="007D6B26"/>
    <w:rsid w:val="007D6B7F"/>
    <w:rsid w:val="007D773D"/>
    <w:rsid w:val="007D77D6"/>
    <w:rsid w:val="007E023A"/>
    <w:rsid w:val="007E0E8F"/>
    <w:rsid w:val="007E12D3"/>
    <w:rsid w:val="007E1472"/>
    <w:rsid w:val="007E16F1"/>
    <w:rsid w:val="007E1960"/>
    <w:rsid w:val="007E2164"/>
    <w:rsid w:val="007E2413"/>
    <w:rsid w:val="007E3597"/>
    <w:rsid w:val="007E3A2F"/>
    <w:rsid w:val="007E3C01"/>
    <w:rsid w:val="007E44FB"/>
    <w:rsid w:val="007E4DAD"/>
    <w:rsid w:val="007E5570"/>
    <w:rsid w:val="007E5760"/>
    <w:rsid w:val="007E6713"/>
    <w:rsid w:val="007E6902"/>
    <w:rsid w:val="007E6AB6"/>
    <w:rsid w:val="007E70F3"/>
    <w:rsid w:val="007E72EE"/>
    <w:rsid w:val="007E7746"/>
    <w:rsid w:val="007E79D0"/>
    <w:rsid w:val="007E7AB4"/>
    <w:rsid w:val="007E7BE5"/>
    <w:rsid w:val="007E7CE1"/>
    <w:rsid w:val="007F0836"/>
    <w:rsid w:val="007F0A05"/>
    <w:rsid w:val="007F1386"/>
    <w:rsid w:val="007F157C"/>
    <w:rsid w:val="007F20C3"/>
    <w:rsid w:val="007F22D5"/>
    <w:rsid w:val="007F295A"/>
    <w:rsid w:val="007F29FE"/>
    <w:rsid w:val="007F2A04"/>
    <w:rsid w:val="007F304F"/>
    <w:rsid w:val="007F31E6"/>
    <w:rsid w:val="007F3B17"/>
    <w:rsid w:val="007F3F5C"/>
    <w:rsid w:val="007F42EE"/>
    <w:rsid w:val="007F4A90"/>
    <w:rsid w:val="007F4CCD"/>
    <w:rsid w:val="007F58B3"/>
    <w:rsid w:val="007F5D20"/>
    <w:rsid w:val="007F5DFD"/>
    <w:rsid w:val="007F5E90"/>
    <w:rsid w:val="007F6048"/>
    <w:rsid w:val="007F61CD"/>
    <w:rsid w:val="007F61E1"/>
    <w:rsid w:val="007F64EB"/>
    <w:rsid w:val="007F7618"/>
    <w:rsid w:val="007F7620"/>
    <w:rsid w:val="00800495"/>
    <w:rsid w:val="008008D5"/>
    <w:rsid w:val="008009F0"/>
    <w:rsid w:val="00800CA2"/>
    <w:rsid w:val="00801554"/>
    <w:rsid w:val="008019B4"/>
    <w:rsid w:val="008019F8"/>
    <w:rsid w:val="00801C00"/>
    <w:rsid w:val="00801CAF"/>
    <w:rsid w:val="0080219D"/>
    <w:rsid w:val="00802ACF"/>
    <w:rsid w:val="00802AD0"/>
    <w:rsid w:val="00802DA6"/>
    <w:rsid w:val="0080335B"/>
    <w:rsid w:val="008035ED"/>
    <w:rsid w:val="00804054"/>
    <w:rsid w:val="0080428E"/>
    <w:rsid w:val="0080497F"/>
    <w:rsid w:val="00804AFC"/>
    <w:rsid w:val="00804CD3"/>
    <w:rsid w:val="008054A8"/>
    <w:rsid w:val="008056D8"/>
    <w:rsid w:val="00806267"/>
    <w:rsid w:val="00806C01"/>
    <w:rsid w:val="00810955"/>
    <w:rsid w:val="00810CAC"/>
    <w:rsid w:val="00810F4F"/>
    <w:rsid w:val="00811133"/>
    <w:rsid w:val="00811315"/>
    <w:rsid w:val="00811CFB"/>
    <w:rsid w:val="00811F6B"/>
    <w:rsid w:val="00812058"/>
    <w:rsid w:val="0081241D"/>
    <w:rsid w:val="00812FBC"/>
    <w:rsid w:val="0081334A"/>
    <w:rsid w:val="0081336E"/>
    <w:rsid w:val="00814511"/>
    <w:rsid w:val="008147AF"/>
    <w:rsid w:val="008148CC"/>
    <w:rsid w:val="008149EA"/>
    <w:rsid w:val="008151F7"/>
    <w:rsid w:val="0081545B"/>
    <w:rsid w:val="00815556"/>
    <w:rsid w:val="0081568E"/>
    <w:rsid w:val="00815697"/>
    <w:rsid w:val="008173C3"/>
    <w:rsid w:val="00817B3D"/>
    <w:rsid w:val="00820120"/>
    <w:rsid w:val="00820A19"/>
    <w:rsid w:val="008211A4"/>
    <w:rsid w:val="008215A3"/>
    <w:rsid w:val="00821959"/>
    <w:rsid w:val="00821982"/>
    <w:rsid w:val="008219A3"/>
    <w:rsid w:val="0082247E"/>
    <w:rsid w:val="00822A11"/>
    <w:rsid w:val="00823326"/>
    <w:rsid w:val="00823824"/>
    <w:rsid w:val="00823A9F"/>
    <w:rsid w:val="0082459B"/>
    <w:rsid w:val="00824A7A"/>
    <w:rsid w:val="00825633"/>
    <w:rsid w:val="00825C7C"/>
    <w:rsid w:val="0082603A"/>
    <w:rsid w:val="0082649B"/>
    <w:rsid w:val="00826A27"/>
    <w:rsid w:val="00826B97"/>
    <w:rsid w:val="00826CD5"/>
    <w:rsid w:val="00826EA4"/>
    <w:rsid w:val="008270D0"/>
    <w:rsid w:val="00827207"/>
    <w:rsid w:val="008273E5"/>
    <w:rsid w:val="0083064A"/>
    <w:rsid w:val="008313C1"/>
    <w:rsid w:val="008317E5"/>
    <w:rsid w:val="00831D64"/>
    <w:rsid w:val="00832160"/>
    <w:rsid w:val="00832665"/>
    <w:rsid w:val="00832EC8"/>
    <w:rsid w:val="00833172"/>
    <w:rsid w:val="00833548"/>
    <w:rsid w:val="00833C45"/>
    <w:rsid w:val="0083439D"/>
    <w:rsid w:val="008357F4"/>
    <w:rsid w:val="00835BDD"/>
    <w:rsid w:val="008362FA"/>
    <w:rsid w:val="008362FD"/>
    <w:rsid w:val="00836B40"/>
    <w:rsid w:val="00836BEF"/>
    <w:rsid w:val="00837227"/>
    <w:rsid w:val="008372CD"/>
    <w:rsid w:val="00837660"/>
    <w:rsid w:val="00837C8D"/>
    <w:rsid w:val="008405DC"/>
    <w:rsid w:val="00840614"/>
    <w:rsid w:val="00840782"/>
    <w:rsid w:val="008419D0"/>
    <w:rsid w:val="008424F1"/>
    <w:rsid w:val="008425F7"/>
    <w:rsid w:val="00842EED"/>
    <w:rsid w:val="0084360E"/>
    <w:rsid w:val="008436A1"/>
    <w:rsid w:val="0084396F"/>
    <w:rsid w:val="00843DB0"/>
    <w:rsid w:val="00843EC1"/>
    <w:rsid w:val="008442F1"/>
    <w:rsid w:val="00845436"/>
    <w:rsid w:val="0084580F"/>
    <w:rsid w:val="00845C39"/>
    <w:rsid w:val="00845EA5"/>
    <w:rsid w:val="008463C5"/>
    <w:rsid w:val="0084647D"/>
    <w:rsid w:val="00846541"/>
    <w:rsid w:val="0084693A"/>
    <w:rsid w:val="0084751A"/>
    <w:rsid w:val="00847850"/>
    <w:rsid w:val="00847DCF"/>
    <w:rsid w:val="00847DF4"/>
    <w:rsid w:val="0085097A"/>
    <w:rsid w:val="00850EC6"/>
    <w:rsid w:val="00851D85"/>
    <w:rsid w:val="00852599"/>
    <w:rsid w:val="008525E4"/>
    <w:rsid w:val="00852802"/>
    <w:rsid w:val="00852B02"/>
    <w:rsid w:val="00853E68"/>
    <w:rsid w:val="00854003"/>
    <w:rsid w:val="008548BA"/>
    <w:rsid w:val="008549B0"/>
    <w:rsid w:val="00854A40"/>
    <w:rsid w:val="00855252"/>
    <w:rsid w:val="00855BB9"/>
    <w:rsid w:val="0085613A"/>
    <w:rsid w:val="00856663"/>
    <w:rsid w:val="008567F2"/>
    <w:rsid w:val="00856AD3"/>
    <w:rsid w:val="00856EA2"/>
    <w:rsid w:val="008570E4"/>
    <w:rsid w:val="008570F3"/>
    <w:rsid w:val="0085725A"/>
    <w:rsid w:val="0085736A"/>
    <w:rsid w:val="00857520"/>
    <w:rsid w:val="00857E92"/>
    <w:rsid w:val="00860F20"/>
    <w:rsid w:val="00861441"/>
    <w:rsid w:val="0086184C"/>
    <w:rsid w:val="00861E8F"/>
    <w:rsid w:val="00862A1E"/>
    <w:rsid w:val="00862BE9"/>
    <w:rsid w:val="008642CD"/>
    <w:rsid w:val="008651F4"/>
    <w:rsid w:val="00865420"/>
    <w:rsid w:val="0086642C"/>
    <w:rsid w:val="00866BB4"/>
    <w:rsid w:val="0086793D"/>
    <w:rsid w:val="00867D83"/>
    <w:rsid w:val="00870F3E"/>
    <w:rsid w:val="00870F8D"/>
    <w:rsid w:val="008717C0"/>
    <w:rsid w:val="0087189E"/>
    <w:rsid w:val="00871FA9"/>
    <w:rsid w:val="008726A3"/>
    <w:rsid w:val="008727A2"/>
    <w:rsid w:val="00872AE4"/>
    <w:rsid w:val="00873150"/>
    <w:rsid w:val="00873B92"/>
    <w:rsid w:val="00874057"/>
    <w:rsid w:val="008745F5"/>
    <w:rsid w:val="00874842"/>
    <w:rsid w:val="00874853"/>
    <w:rsid w:val="0087490D"/>
    <w:rsid w:val="00874BEB"/>
    <w:rsid w:val="0087514D"/>
    <w:rsid w:val="00875336"/>
    <w:rsid w:val="008756ED"/>
    <w:rsid w:val="00875F7A"/>
    <w:rsid w:val="008760E3"/>
    <w:rsid w:val="008761F0"/>
    <w:rsid w:val="008762D0"/>
    <w:rsid w:val="0087657D"/>
    <w:rsid w:val="00876707"/>
    <w:rsid w:val="008768EB"/>
    <w:rsid w:val="00876BEE"/>
    <w:rsid w:val="00876E53"/>
    <w:rsid w:val="00877013"/>
    <w:rsid w:val="00877D2C"/>
    <w:rsid w:val="0088058C"/>
    <w:rsid w:val="008805BF"/>
    <w:rsid w:val="008807D5"/>
    <w:rsid w:val="00880832"/>
    <w:rsid w:val="00880AA5"/>
    <w:rsid w:val="00880FA7"/>
    <w:rsid w:val="0088164A"/>
    <w:rsid w:val="00881AD6"/>
    <w:rsid w:val="00881AE1"/>
    <w:rsid w:val="008827CF"/>
    <w:rsid w:val="00882FF0"/>
    <w:rsid w:val="00883C3F"/>
    <w:rsid w:val="00883DC6"/>
    <w:rsid w:val="0088485C"/>
    <w:rsid w:val="00884C59"/>
    <w:rsid w:val="00885C11"/>
    <w:rsid w:val="008860F7"/>
    <w:rsid w:val="00886A4D"/>
    <w:rsid w:val="00886EE1"/>
    <w:rsid w:val="00886FD2"/>
    <w:rsid w:val="0088722A"/>
    <w:rsid w:val="00887252"/>
    <w:rsid w:val="0088727D"/>
    <w:rsid w:val="00887408"/>
    <w:rsid w:val="008902F5"/>
    <w:rsid w:val="0089042B"/>
    <w:rsid w:val="00890BB6"/>
    <w:rsid w:val="00890C58"/>
    <w:rsid w:val="0089124E"/>
    <w:rsid w:val="0089164E"/>
    <w:rsid w:val="00891D88"/>
    <w:rsid w:val="00891DDF"/>
    <w:rsid w:val="0089266E"/>
    <w:rsid w:val="00892C90"/>
    <w:rsid w:val="00892D15"/>
    <w:rsid w:val="00892FA0"/>
    <w:rsid w:val="0089447A"/>
    <w:rsid w:val="00894F04"/>
    <w:rsid w:val="00894FD9"/>
    <w:rsid w:val="00895720"/>
    <w:rsid w:val="0089579D"/>
    <w:rsid w:val="00895B1E"/>
    <w:rsid w:val="00896333"/>
    <w:rsid w:val="0089647C"/>
    <w:rsid w:val="0089660F"/>
    <w:rsid w:val="00896B4F"/>
    <w:rsid w:val="00897336"/>
    <w:rsid w:val="00897976"/>
    <w:rsid w:val="00897C75"/>
    <w:rsid w:val="008A0804"/>
    <w:rsid w:val="008A0AB3"/>
    <w:rsid w:val="008A0B58"/>
    <w:rsid w:val="008A10B4"/>
    <w:rsid w:val="008A1185"/>
    <w:rsid w:val="008A3093"/>
    <w:rsid w:val="008A38F0"/>
    <w:rsid w:val="008A4297"/>
    <w:rsid w:val="008A42B8"/>
    <w:rsid w:val="008A437F"/>
    <w:rsid w:val="008A4460"/>
    <w:rsid w:val="008A46E2"/>
    <w:rsid w:val="008A4A05"/>
    <w:rsid w:val="008A4BE1"/>
    <w:rsid w:val="008A523A"/>
    <w:rsid w:val="008A58D7"/>
    <w:rsid w:val="008A6901"/>
    <w:rsid w:val="008A72F1"/>
    <w:rsid w:val="008A7B90"/>
    <w:rsid w:val="008A7C15"/>
    <w:rsid w:val="008B04E2"/>
    <w:rsid w:val="008B060B"/>
    <w:rsid w:val="008B07F1"/>
    <w:rsid w:val="008B0BBF"/>
    <w:rsid w:val="008B0C37"/>
    <w:rsid w:val="008B1238"/>
    <w:rsid w:val="008B19CE"/>
    <w:rsid w:val="008B1B05"/>
    <w:rsid w:val="008B230A"/>
    <w:rsid w:val="008B259C"/>
    <w:rsid w:val="008B2C50"/>
    <w:rsid w:val="008B2CA5"/>
    <w:rsid w:val="008B3EB7"/>
    <w:rsid w:val="008B4F50"/>
    <w:rsid w:val="008B58B9"/>
    <w:rsid w:val="008B5EA6"/>
    <w:rsid w:val="008B6158"/>
    <w:rsid w:val="008B63E2"/>
    <w:rsid w:val="008B6765"/>
    <w:rsid w:val="008B6D14"/>
    <w:rsid w:val="008B6D86"/>
    <w:rsid w:val="008B6E09"/>
    <w:rsid w:val="008B704E"/>
    <w:rsid w:val="008B71BA"/>
    <w:rsid w:val="008B7BDB"/>
    <w:rsid w:val="008B7F88"/>
    <w:rsid w:val="008B7FF5"/>
    <w:rsid w:val="008C059A"/>
    <w:rsid w:val="008C05EF"/>
    <w:rsid w:val="008C068C"/>
    <w:rsid w:val="008C09BC"/>
    <w:rsid w:val="008C0AD9"/>
    <w:rsid w:val="008C0F25"/>
    <w:rsid w:val="008C1130"/>
    <w:rsid w:val="008C13C8"/>
    <w:rsid w:val="008C1CBB"/>
    <w:rsid w:val="008C2066"/>
    <w:rsid w:val="008C210A"/>
    <w:rsid w:val="008C21E0"/>
    <w:rsid w:val="008C2228"/>
    <w:rsid w:val="008C2E2B"/>
    <w:rsid w:val="008C32F9"/>
    <w:rsid w:val="008C334D"/>
    <w:rsid w:val="008C3A66"/>
    <w:rsid w:val="008C50A9"/>
    <w:rsid w:val="008C5187"/>
    <w:rsid w:val="008C55D4"/>
    <w:rsid w:val="008C6B7F"/>
    <w:rsid w:val="008C6BDE"/>
    <w:rsid w:val="008C7166"/>
    <w:rsid w:val="008C7A9C"/>
    <w:rsid w:val="008C7D18"/>
    <w:rsid w:val="008D026C"/>
    <w:rsid w:val="008D0582"/>
    <w:rsid w:val="008D0921"/>
    <w:rsid w:val="008D18E6"/>
    <w:rsid w:val="008D1C6C"/>
    <w:rsid w:val="008D249D"/>
    <w:rsid w:val="008D260B"/>
    <w:rsid w:val="008D2884"/>
    <w:rsid w:val="008D3414"/>
    <w:rsid w:val="008D3A0B"/>
    <w:rsid w:val="008D3A16"/>
    <w:rsid w:val="008D3D6C"/>
    <w:rsid w:val="008D40F5"/>
    <w:rsid w:val="008D449C"/>
    <w:rsid w:val="008D5328"/>
    <w:rsid w:val="008D5497"/>
    <w:rsid w:val="008D570B"/>
    <w:rsid w:val="008D599A"/>
    <w:rsid w:val="008D5FA4"/>
    <w:rsid w:val="008D662B"/>
    <w:rsid w:val="008D7187"/>
    <w:rsid w:val="008D7258"/>
    <w:rsid w:val="008D7A9B"/>
    <w:rsid w:val="008E0060"/>
    <w:rsid w:val="008E065D"/>
    <w:rsid w:val="008E070A"/>
    <w:rsid w:val="008E0CBC"/>
    <w:rsid w:val="008E0CDB"/>
    <w:rsid w:val="008E1907"/>
    <w:rsid w:val="008E2088"/>
    <w:rsid w:val="008E23AE"/>
    <w:rsid w:val="008E23F8"/>
    <w:rsid w:val="008E2497"/>
    <w:rsid w:val="008E25AF"/>
    <w:rsid w:val="008E290B"/>
    <w:rsid w:val="008E2AE5"/>
    <w:rsid w:val="008E3058"/>
    <w:rsid w:val="008E312A"/>
    <w:rsid w:val="008E39D9"/>
    <w:rsid w:val="008E4071"/>
    <w:rsid w:val="008E4336"/>
    <w:rsid w:val="008E4AF1"/>
    <w:rsid w:val="008E5403"/>
    <w:rsid w:val="008E5A5B"/>
    <w:rsid w:val="008E5C29"/>
    <w:rsid w:val="008E5F4A"/>
    <w:rsid w:val="008E6AF9"/>
    <w:rsid w:val="008E7091"/>
    <w:rsid w:val="008E70C0"/>
    <w:rsid w:val="008E76AC"/>
    <w:rsid w:val="008F0079"/>
    <w:rsid w:val="008F0BDF"/>
    <w:rsid w:val="008F0E2D"/>
    <w:rsid w:val="008F0F70"/>
    <w:rsid w:val="008F1310"/>
    <w:rsid w:val="008F14E9"/>
    <w:rsid w:val="008F1DCC"/>
    <w:rsid w:val="008F21F6"/>
    <w:rsid w:val="008F244B"/>
    <w:rsid w:val="008F24AD"/>
    <w:rsid w:val="008F252A"/>
    <w:rsid w:val="008F25A1"/>
    <w:rsid w:val="008F2981"/>
    <w:rsid w:val="008F2E14"/>
    <w:rsid w:val="008F4B7E"/>
    <w:rsid w:val="008F4EC3"/>
    <w:rsid w:val="008F56B0"/>
    <w:rsid w:val="008F5702"/>
    <w:rsid w:val="008F5A91"/>
    <w:rsid w:val="008F5BB7"/>
    <w:rsid w:val="008F6ADF"/>
    <w:rsid w:val="008F7011"/>
    <w:rsid w:val="008F7167"/>
    <w:rsid w:val="008F71DA"/>
    <w:rsid w:val="008F75F7"/>
    <w:rsid w:val="0090001A"/>
    <w:rsid w:val="00900414"/>
    <w:rsid w:val="00900865"/>
    <w:rsid w:val="00900F25"/>
    <w:rsid w:val="00901884"/>
    <w:rsid w:val="00901ADF"/>
    <w:rsid w:val="00901D49"/>
    <w:rsid w:val="00901E79"/>
    <w:rsid w:val="00902026"/>
    <w:rsid w:val="00902075"/>
    <w:rsid w:val="00902628"/>
    <w:rsid w:val="0090313B"/>
    <w:rsid w:val="0090403A"/>
    <w:rsid w:val="0090421E"/>
    <w:rsid w:val="0090486B"/>
    <w:rsid w:val="009049D3"/>
    <w:rsid w:val="00904C46"/>
    <w:rsid w:val="009052CD"/>
    <w:rsid w:val="00906109"/>
    <w:rsid w:val="00906235"/>
    <w:rsid w:val="009062EC"/>
    <w:rsid w:val="00906787"/>
    <w:rsid w:val="00906AE9"/>
    <w:rsid w:val="009075FD"/>
    <w:rsid w:val="00907D1B"/>
    <w:rsid w:val="00907F0A"/>
    <w:rsid w:val="009105B8"/>
    <w:rsid w:val="0091075C"/>
    <w:rsid w:val="00910F3D"/>
    <w:rsid w:val="0091225F"/>
    <w:rsid w:val="00912268"/>
    <w:rsid w:val="0091246D"/>
    <w:rsid w:val="00912E44"/>
    <w:rsid w:val="00913326"/>
    <w:rsid w:val="0091362D"/>
    <w:rsid w:val="00913793"/>
    <w:rsid w:val="009137B9"/>
    <w:rsid w:val="009139A6"/>
    <w:rsid w:val="00913A6C"/>
    <w:rsid w:val="0091421A"/>
    <w:rsid w:val="009148E3"/>
    <w:rsid w:val="00914939"/>
    <w:rsid w:val="00915EA1"/>
    <w:rsid w:val="00915EAA"/>
    <w:rsid w:val="00916645"/>
    <w:rsid w:val="00916680"/>
    <w:rsid w:val="00916F7C"/>
    <w:rsid w:val="0091709C"/>
    <w:rsid w:val="0091734F"/>
    <w:rsid w:val="0091750C"/>
    <w:rsid w:val="00917580"/>
    <w:rsid w:val="00920064"/>
    <w:rsid w:val="0092085C"/>
    <w:rsid w:val="00920D4C"/>
    <w:rsid w:val="009220E9"/>
    <w:rsid w:val="00922770"/>
    <w:rsid w:val="00922DEB"/>
    <w:rsid w:val="009231CD"/>
    <w:rsid w:val="009239A8"/>
    <w:rsid w:val="00923C9E"/>
    <w:rsid w:val="00923FCA"/>
    <w:rsid w:val="0092451E"/>
    <w:rsid w:val="009245A2"/>
    <w:rsid w:val="00924956"/>
    <w:rsid w:val="009255FA"/>
    <w:rsid w:val="00925C6A"/>
    <w:rsid w:val="00925F17"/>
    <w:rsid w:val="009263F4"/>
    <w:rsid w:val="0092683D"/>
    <w:rsid w:val="00927593"/>
    <w:rsid w:val="00927CC9"/>
    <w:rsid w:val="00927E4E"/>
    <w:rsid w:val="009305CC"/>
    <w:rsid w:val="00930A00"/>
    <w:rsid w:val="00930C71"/>
    <w:rsid w:val="00931A39"/>
    <w:rsid w:val="00931BBD"/>
    <w:rsid w:val="00931C45"/>
    <w:rsid w:val="00931CC3"/>
    <w:rsid w:val="00931EDF"/>
    <w:rsid w:val="00932683"/>
    <w:rsid w:val="00932A87"/>
    <w:rsid w:val="00932C05"/>
    <w:rsid w:val="00932FC2"/>
    <w:rsid w:val="009332F1"/>
    <w:rsid w:val="009334DE"/>
    <w:rsid w:val="009337CC"/>
    <w:rsid w:val="00933CFD"/>
    <w:rsid w:val="009343F9"/>
    <w:rsid w:val="009358C7"/>
    <w:rsid w:val="00935A1B"/>
    <w:rsid w:val="00935CCA"/>
    <w:rsid w:val="0093665A"/>
    <w:rsid w:val="009369BC"/>
    <w:rsid w:val="009374DF"/>
    <w:rsid w:val="009375A9"/>
    <w:rsid w:val="00937659"/>
    <w:rsid w:val="009376AF"/>
    <w:rsid w:val="0094021B"/>
    <w:rsid w:val="00940717"/>
    <w:rsid w:val="00940D81"/>
    <w:rsid w:val="009411C2"/>
    <w:rsid w:val="00941309"/>
    <w:rsid w:val="009414EA"/>
    <w:rsid w:val="00941605"/>
    <w:rsid w:val="00941797"/>
    <w:rsid w:val="00942519"/>
    <w:rsid w:val="009429E7"/>
    <w:rsid w:val="0094354F"/>
    <w:rsid w:val="009437AF"/>
    <w:rsid w:val="009437C6"/>
    <w:rsid w:val="009438DE"/>
    <w:rsid w:val="00943926"/>
    <w:rsid w:val="00943D52"/>
    <w:rsid w:val="009443D0"/>
    <w:rsid w:val="00944753"/>
    <w:rsid w:val="00944AD6"/>
    <w:rsid w:val="00944EA1"/>
    <w:rsid w:val="00945196"/>
    <w:rsid w:val="009453B6"/>
    <w:rsid w:val="009455DB"/>
    <w:rsid w:val="00945940"/>
    <w:rsid w:val="0094596B"/>
    <w:rsid w:val="00945F35"/>
    <w:rsid w:val="0094601E"/>
    <w:rsid w:val="0094652D"/>
    <w:rsid w:val="009467AC"/>
    <w:rsid w:val="00946EEA"/>
    <w:rsid w:val="00947F27"/>
    <w:rsid w:val="00950B22"/>
    <w:rsid w:val="0095109B"/>
    <w:rsid w:val="00951901"/>
    <w:rsid w:val="00951A45"/>
    <w:rsid w:val="00951DE0"/>
    <w:rsid w:val="00951F79"/>
    <w:rsid w:val="00952180"/>
    <w:rsid w:val="0095357C"/>
    <w:rsid w:val="00954060"/>
    <w:rsid w:val="009542A4"/>
    <w:rsid w:val="009544AC"/>
    <w:rsid w:val="009548E4"/>
    <w:rsid w:val="00954A87"/>
    <w:rsid w:val="00954F8E"/>
    <w:rsid w:val="00955842"/>
    <w:rsid w:val="00955C7B"/>
    <w:rsid w:val="00956A81"/>
    <w:rsid w:val="00956AAB"/>
    <w:rsid w:val="00957357"/>
    <w:rsid w:val="009573EF"/>
    <w:rsid w:val="0095757D"/>
    <w:rsid w:val="00957BAC"/>
    <w:rsid w:val="00957E1B"/>
    <w:rsid w:val="00960216"/>
    <w:rsid w:val="00960362"/>
    <w:rsid w:val="009603B1"/>
    <w:rsid w:val="00960488"/>
    <w:rsid w:val="009615E7"/>
    <w:rsid w:val="00961BC5"/>
    <w:rsid w:val="00962638"/>
    <w:rsid w:val="00962AD6"/>
    <w:rsid w:val="00962BC4"/>
    <w:rsid w:val="00962BE2"/>
    <w:rsid w:val="00962E6B"/>
    <w:rsid w:val="00962FF1"/>
    <w:rsid w:val="009634EF"/>
    <w:rsid w:val="009639BE"/>
    <w:rsid w:val="00964009"/>
    <w:rsid w:val="00964377"/>
    <w:rsid w:val="009643EF"/>
    <w:rsid w:val="00964566"/>
    <w:rsid w:val="009648BA"/>
    <w:rsid w:val="00964C6F"/>
    <w:rsid w:val="00964D14"/>
    <w:rsid w:val="00965AB4"/>
    <w:rsid w:val="00965BF8"/>
    <w:rsid w:val="00965FC4"/>
    <w:rsid w:val="009660E5"/>
    <w:rsid w:val="0096617E"/>
    <w:rsid w:val="00966688"/>
    <w:rsid w:val="0096683B"/>
    <w:rsid w:val="00966B6A"/>
    <w:rsid w:val="00966CD8"/>
    <w:rsid w:val="00967096"/>
    <w:rsid w:val="009673CB"/>
    <w:rsid w:val="009701E1"/>
    <w:rsid w:val="009703C8"/>
    <w:rsid w:val="00970902"/>
    <w:rsid w:val="009709DA"/>
    <w:rsid w:val="00970A37"/>
    <w:rsid w:val="00970C43"/>
    <w:rsid w:val="00971C82"/>
    <w:rsid w:val="00972587"/>
    <w:rsid w:val="00972994"/>
    <w:rsid w:val="00972DA5"/>
    <w:rsid w:val="009735D0"/>
    <w:rsid w:val="0097405E"/>
    <w:rsid w:val="00974AB5"/>
    <w:rsid w:val="00974F20"/>
    <w:rsid w:val="00976B11"/>
    <w:rsid w:val="00977281"/>
    <w:rsid w:val="0098094E"/>
    <w:rsid w:val="00980B18"/>
    <w:rsid w:val="00980D25"/>
    <w:rsid w:val="009812B3"/>
    <w:rsid w:val="009812FD"/>
    <w:rsid w:val="00981AAD"/>
    <w:rsid w:val="00981B08"/>
    <w:rsid w:val="00981B86"/>
    <w:rsid w:val="00981D5B"/>
    <w:rsid w:val="009830DC"/>
    <w:rsid w:val="009831ED"/>
    <w:rsid w:val="00983429"/>
    <w:rsid w:val="00983459"/>
    <w:rsid w:val="00983883"/>
    <w:rsid w:val="00983C93"/>
    <w:rsid w:val="0098453B"/>
    <w:rsid w:val="00984B62"/>
    <w:rsid w:val="00984D21"/>
    <w:rsid w:val="009850E6"/>
    <w:rsid w:val="00985130"/>
    <w:rsid w:val="00985A8F"/>
    <w:rsid w:val="00985D19"/>
    <w:rsid w:val="0098706D"/>
    <w:rsid w:val="00987290"/>
    <w:rsid w:val="009872CA"/>
    <w:rsid w:val="0098741E"/>
    <w:rsid w:val="009877D6"/>
    <w:rsid w:val="009878F6"/>
    <w:rsid w:val="0099012E"/>
    <w:rsid w:val="009904F2"/>
    <w:rsid w:val="00990C1B"/>
    <w:rsid w:val="00990C53"/>
    <w:rsid w:val="00990DE6"/>
    <w:rsid w:val="00990F62"/>
    <w:rsid w:val="009911BA"/>
    <w:rsid w:val="00991351"/>
    <w:rsid w:val="009925B1"/>
    <w:rsid w:val="009932B4"/>
    <w:rsid w:val="009935FB"/>
    <w:rsid w:val="00993753"/>
    <w:rsid w:val="009941B9"/>
    <w:rsid w:val="00994402"/>
    <w:rsid w:val="00994480"/>
    <w:rsid w:val="009948C8"/>
    <w:rsid w:val="009948E6"/>
    <w:rsid w:val="00994B83"/>
    <w:rsid w:val="00994CD3"/>
    <w:rsid w:val="00994D6A"/>
    <w:rsid w:val="009956F7"/>
    <w:rsid w:val="00995D8A"/>
    <w:rsid w:val="0099641B"/>
    <w:rsid w:val="00996484"/>
    <w:rsid w:val="0099659B"/>
    <w:rsid w:val="0099719C"/>
    <w:rsid w:val="009A02B4"/>
    <w:rsid w:val="009A06B3"/>
    <w:rsid w:val="009A087F"/>
    <w:rsid w:val="009A0EE5"/>
    <w:rsid w:val="009A1DC1"/>
    <w:rsid w:val="009A20BE"/>
    <w:rsid w:val="009A3366"/>
    <w:rsid w:val="009A336C"/>
    <w:rsid w:val="009A3545"/>
    <w:rsid w:val="009A3F9D"/>
    <w:rsid w:val="009A4E4B"/>
    <w:rsid w:val="009A4FC0"/>
    <w:rsid w:val="009A5729"/>
    <w:rsid w:val="009A5AA4"/>
    <w:rsid w:val="009A5D41"/>
    <w:rsid w:val="009A68B1"/>
    <w:rsid w:val="009A6C2C"/>
    <w:rsid w:val="009A6F7D"/>
    <w:rsid w:val="009A79D4"/>
    <w:rsid w:val="009A7C51"/>
    <w:rsid w:val="009B0F9A"/>
    <w:rsid w:val="009B14AA"/>
    <w:rsid w:val="009B1B8C"/>
    <w:rsid w:val="009B1F53"/>
    <w:rsid w:val="009B23A6"/>
    <w:rsid w:val="009B2593"/>
    <w:rsid w:val="009B2C36"/>
    <w:rsid w:val="009B2E1C"/>
    <w:rsid w:val="009B3252"/>
    <w:rsid w:val="009B337C"/>
    <w:rsid w:val="009B3828"/>
    <w:rsid w:val="009B3ADB"/>
    <w:rsid w:val="009B4184"/>
    <w:rsid w:val="009B4239"/>
    <w:rsid w:val="009B45AC"/>
    <w:rsid w:val="009B48C9"/>
    <w:rsid w:val="009B4B5D"/>
    <w:rsid w:val="009B4C7C"/>
    <w:rsid w:val="009B56E2"/>
    <w:rsid w:val="009B5C7D"/>
    <w:rsid w:val="009B68EF"/>
    <w:rsid w:val="009B691E"/>
    <w:rsid w:val="009B69C8"/>
    <w:rsid w:val="009B6A20"/>
    <w:rsid w:val="009B6A6C"/>
    <w:rsid w:val="009B7324"/>
    <w:rsid w:val="009B7519"/>
    <w:rsid w:val="009B7804"/>
    <w:rsid w:val="009B7B54"/>
    <w:rsid w:val="009C079F"/>
    <w:rsid w:val="009C1120"/>
    <w:rsid w:val="009C1D2C"/>
    <w:rsid w:val="009C21D6"/>
    <w:rsid w:val="009C2933"/>
    <w:rsid w:val="009C2DBB"/>
    <w:rsid w:val="009C2E07"/>
    <w:rsid w:val="009C3062"/>
    <w:rsid w:val="009C3292"/>
    <w:rsid w:val="009C376C"/>
    <w:rsid w:val="009C3D7E"/>
    <w:rsid w:val="009C3EF6"/>
    <w:rsid w:val="009C4035"/>
    <w:rsid w:val="009C4064"/>
    <w:rsid w:val="009C427C"/>
    <w:rsid w:val="009C45F9"/>
    <w:rsid w:val="009C4EA2"/>
    <w:rsid w:val="009C52FC"/>
    <w:rsid w:val="009C5647"/>
    <w:rsid w:val="009C5F6E"/>
    <w:rsid w:val="009C74E5"/>
    <w:rsid w:val="009C7B7F"/>
    <w:rsid w:val="009C7E66"/>
    <w:rsid w:val="009D0209"/>
    <w:rsid w:val="009D09F5"/>
    <w:rsid w:val="009D0F9B"/>
    <w:rsid w:val="009D1A58"/>
    <w:rsid w:val="009D2424"/>
    <w:rsid w:val="009D27AF"/>
    <w:rsid w:val="009D28E1"/>
    <w:rsid w:val="009D3126"/>
    <w:rsid w:val="009D32D7"/>
    <w:rsid w:val="009D41AB"/>
    <w:rsid w:val="009D436C"/>
    <w:rsid w:val="009D467A"/>
    <w:rsid w:val="009D49D1"/>
    <w:rsid w:val="009D4CB2"/>
    <w:rsid w:val="009D50C6"/>
    <w:rsid w:val="009D53F5"/>
    <w:rsid w:val="009D65C2"/>
    <w:rsid w:val="009D6B71"/>
    <w:rsid w:val="009D6CCD"/>
    <w:rsid w:val="009D7722"/>
    <w:rsid w:val="009E000E"/>
    <w:rsid w:val="009E00B3"/>
    <w:rsid w:val="009E092E"/>
    <w:rsid w:val="009E0B1A"/>
    <w:rsid w:val="009E0D43"/>
    <w:rsid w:val="009E1289"/>
    <w:rsid w:val="009E1533"/>
    <w:rsid w:val="009E1722"/>
    <w:rsid w:val="009E1751"/>
    <w:rsid w:val="009E194F"/>
    <w:rsid w:val="009E1A0C"/>
    <w:rsid w:val="009E2302"/>
    <w:rsid w:val="009E26C8"/>
    <w:rsid w:val="009E2C85"/>
    <w:rsid w:val="009E2CC3"/>
    <w:rsid w:val="009E3FDF"/>
    <w:rsid w:val="009E41B0"/>
    <w:rsid w:val="009E452E"/>
    <w:rsid w:val="009E46B1"/>
    <w:rsid w:val="009E4ABB"/>
    <w:rsid w:val="009E4B89"/>
    <w:rsid w:val="009E5153"/>
    <w:rsid w:val="009E54F5"/>
    <w:rsid w:val="009E5537"/>
    <w:rsid w:val="009E583D"/>
    <w:rsid w:val="009E5E16"/>
    <w:rsid w:val="009E6686"/>
    <w:rsid w:val="009E74AB"/>
    <w:rsid w:val="009E77D6"/>
    <w:rsid w:val="009E7938"/>
    <w:rsid w:val="009E7AA1"/>
    <w:rsid w:val="009F0C23"/>
    <w:rsid w:val="009F0C65"/>
    <w:rsid w:val="009F0D1D"/>
    <w:rsid w:val="009F0E9C"/>
    <w:rsid w:val="009F13EA"/>
    <w:rsid w:val="009F1AD1"/>
    <w:rsid w:val="009F1B9F"/>
    <w:rsid w:val="009F31B7"/>
    <w:rsid w:val="009F34EE"/>
    <w:rsid w:val="009F3DFB"/>
    <w:rsid w:val="009F3F7C"/>
    <w:rsid w:val="009F424E"/>
    <w:rsid w:val="009F453D"/>
    <w:rsid w:val="009F4841"/>
    <w:rsid w:val="009F4A30"/>
    <w:rsid w:val="009F4A54"/>
    <w:rsid w:val="009F4BEC"/>
    <w:rsid w:val="009F4C11"/>
    <w:rsid w:val="009F4FC1"/>
    <w:rsid w:val="009F5486"/>
    <w:rsid w:val="009F569A"/>
    <w:rsid w:val="009F5874"/>
    <w:rsid w:val="009F5B38"/>
    <w:rsid w:val="009F5DEB"/>
    <w:rsid w:val="009F6EB9"/>
    <w:rsid w:val="00A005E4"/>
    <w:rsid w:val="00A00792"/>
    <w:rsid w:val="00A008D6"/>
    <w:rsid w:val="00A00B3E"/>
    <w:rsid w:val="00A0142A"/>
    <w:rsid w:val="00A014B4"/>
    <w:rsid w:val="00A01C03"/>
    <w:rsid w:val="00A01C3F"/>
    <w:rsid w:val="00A02CC2"/>
    <w:rsid w:val="00A02F86"/>
    <w:rsid w:val="00A030AA"/>
    <w:rsid w:val="00A031F5"/>
    <w:rsid w:val="00A03466"/>
    <w:rsid w:val="00A03680"/>
    <w:rsid w:val="00A037E4"/>
    <w:rsid w:val="00A0384F"/>
    <w:rsid w:val="00A03A07"/>
    <w:rsid w:val="00A03C1A"/>
    <w:rsid w:val="00A0486B"/>
    <w:rsid w:val="00A04C8C"/>
    <w:rsid w:val="00A05198"/>
    <w:rsid w:val="00A059F2"/>
    <w:rsid w:val="00A05ABE"/>
    <w:rsid w:val="00A063D5"/>
    <w:rsid w:val="00A06511"/>
    <w:rsid w:val="00A06F9F"/>
    <w:rsid w:val="00A07927"/>
    <w:rsid w:val="00A07CA7"/>
    <w:rsid w:val="00A07EAF"/>
    <w:rsid w:val="00A1039F"/>
    <w:rsid w:val="00A10475"/>
    <w:rsid w:val="00A10956"/>
    <w:rsid w:val="00A1100D"/>
    <w:rsid w:val="00A11A0D"/>
    <w:rsid w:val="00A1206B"/>
    <w:rsid w:val="00A12914"/>
    <w:rsid w:val="00A12ABD"/>
    <w:rsid w:val="00A132F1"/>
    <w:rsid w:val="00A133FD"/>
    <w:rsid w:val="00A13AAA"/>
    <w:rsid w:val="00A13B12"/>
    <w:rsid w:val="00A13B96"/>
    <w:rsid w:val="00A145C9"/>
    <w:rsid w:val="00A14705"/>
    <w:rsid w:val="00A14856"/>
    <w:rsid w:val="00A14881"/>
    <w:rsid w:val="00A14D76"/>
    <w:rsid w:val="00A15154"/>
    <w:rsid w:val="00A15255"/>
    <w:rsid w:val="00A1527F"/>
    <w:rsid w:val="00A15784"/>
    <w:rsid w:val="00A15ACB"/>
    <w:rsid w:val="00A15B95"/>
    <w:rsid w:val="00A15FFB"/>
    <w:rsid w:val="00A1638F"/>
    <w:rsid w:val="00A16473"/>
    <w:rsid w:val="00A1669A"/>
    <w:rsid w:val="00A170C9"/>
    <w:rsid w:val="00A17144"/>
    <w:rsid w:val="00A17B1C"/>
    <w:rsid w:val="00A207CB"/>
    <w:rsid w:val="00A21002"/>
    <w:rsid w:val="00A218D0"/>
    <w:rsid w:val="00A21A12"/>
    <w:rsid w:val="00A21C8E"/>
    <w:rsid w:val="00A22168"/>
    <w:rsid w:val="00A22B88"/>
    <w:rsid w:val="00A22FA3"/>
    <w:rsid w:val="00A23F61"/>
    <w:rsid w:val="00A23FDB"/>
    <w:rsid w:val="00A25C9E"/>
    <w:rsid w:val="00A25FD7"/>
    <w:rsid w:val="00A2600A"/>
    <w:rsid w:val="00A26512"/>
    <w:rsid w:val="00A26664"/>
    <w:rsid w:val="00A2691F"/>
    <w:rsid w:val="00A2764D"/>
    <w:rsid w:val="00A27708"/>
    <w:rsid w:val="00A2778E"/>
    <w:rsid w:val="00A27B04"/>
    <w:rsid w:val="00A3004C"/>
    <w:rsid w:val="00A304A8"/>
    <w:rsid w:val="00A308E0"/>
    <w:rsid w:val="00A30A8A"/>
    <w:rsid w:val="00A30AF4"/>
    <w:rsid w:val="00A3130F"/>
    <w:rsid w:val="00A31A15"/>
    <w:rsid w:val="00A31F8D"/>
    <w:rsid w:val="00A323B4"/>
    <w:rsid w:val="00A323CF"/>
    <w:rsid w:val="00A324B8"/>
    <w:rsid w:val="00A3269D"/>
    <w:rsid w:val="00A327B1"/>
    <w:rsid w:val="00A32EED"/>
    <w:rsid w:val="00A330C1"/>
    <w:rsid w:val="00A3317F"/>
    <w:rsid w:val="00A3381A"/>
    <w:rsid w:val="00A33BD9"/>
    <w:rsid w:val="00A33FF9"/>
    <w:rsid w:val="00A3520F"/>
    <w:rsid w:val="00A35238"/>
    <w:rsid w:val="00A352B3"/>
    <w:rsid w:val="00A35B05"/>
    <w:rsid w:val="00A35D58"/>
    <w:rsid w:val="00A372D8"/>
    <w:rsid w:val="00A37829"/>
    <w:rsid w:val="00A37E8D"/>
    <w:rsid w:val="00A40490"/>
    <w:rsid w:val="00A404FB"/>
    <w:rsid w:val="00A40B35"/>
    <w:rsid w:val="00A41D76"/>
    <w:rsid w:val="00A42CDF"/>
    <w:rsid w:val="00A42D4B"/>
    <w:rsid w:val="00A43AFF"/>
    <w:rsid w:val="00A43CB8"/>
    <w:rsid w:val="00A43D29"/>
    <w:rsid w:val="00A442E4"/>
    <w:rsid w:val="00A44ECC"/>
    <w:rsid w:val="00A45089"/>
    <w:rsid w:val="00A45574"/>
    <w:rsid w:val="00A45723"/>
    <w:rsid w:val="00A45A92"/>
    <w:rsid w:val="00A462B1"/>
    <w:rsid w:val="00A4672B"/>
    <w:rsid w:val="00A468DF"/>
    <w:rsid w:val="00A46DDC"/>
    <w:rsid w:val="00A46F17"/>
    <w:rsid w:val="00A47127"/>
    <w:rsid w:val="00A47413"/>
    <w:rsid w:val="00A47BF1"/>
    <w:rsid w:val="00A50106"/>
    <w:rsid w:val="00A518EA"/>
    <w:rsid w:val="00A519EB"/>
    <w:rsid w:val="00A51ED5"/>
    <w:rsid w:val="00A525B0"/>
    <w:rsid w:val="00A5264B"/>
    <w:rsid w:val="00A52A2B"/>
    <w:rsid w:val="00A52F01"/>
    <w:rsid w:val="00A5344A"/>
    <w:rsid w:val="00A53CA5"/>
    <w:rsid w:val="00A53E5B"/>
    <w:rsid w:val="00A53F53"/>
    <w:rsid w:val="00A5417D"/>
    <w:rsid w:val="00A542BB"/>
    <w:rsid w:val="00A5438A"/>
    <w:rsid w:val="00A55301"/>
    <w:rsid w:val="00A55337"/>
    <w:rsid w:val="00A558AA"/>
    <w:rsid w:val="00A559D7"/>
    <w:rsid w:val="00A559E0"/>
    <w:rsid w:val="00A55AF1"/>
    <w:rsid w:val="00A56380"/>
    <w:rsid w:val="00A57120"/>
    <w:rsid w:val="00A57375"/>
    <w:rsid w:val="00A579AE"/>
    <w:rsid w:val="00A57F21"/>
    <w:rsid w:val="00A60347"/>
    <w:rsid w:val="00A607DD"/>
    <w:rsid w:val="00A61518"/>
    <w:rsid w:val="00A6180C"/>
    <w:rsid w:val="00A619B2"/>
    <w:rsid w:val="00A61F06"/>
    <w:rsid w:val="00A62E8F"/>
    <w:rsid w:val="00A638FA"/>
    <w:rsid w:val="00A63D7C"/>
    <w:rsid w:val="00A63F89"/>
    <w:rsid w:val="00A6458E"/>
    <w:rsid w:val="00A64F1B"/>
    <w:rsid w:val="00A651D3"/>
    <w:rsid w:val="00A658DB"/>
    <w:rsid w:val="00A65CAD"/>
    <w:rsid w:val="00A65F5D"/>
    <w:rsid w:val="00A66723"/>
    <w:rsid w:val="00A66F3B"/>
    <w:rsid w:val="00A670CF"/>
    <w:rsid w:val="00A6719E"/>
    <w:rsid w:val="00A672B3"/>
    <w:rsid w:val="00A67DB6"/>
    <w:rsid w:val="00A700FA"/>
    <w:rsid w:val="00A70660"/>
    <w:rsid w:val="00A70B57"/>
    <w:rsid w:val="00A70E47"/>
    <w:rsid w:val="00A71636"/>
    <w:rsid w:val="00A718E2"/>
    <w:rsid w:val="00A7260F"/>
    <w:rsid w:val="00A73750"/>
    <w:rsid w:val="00A738B4"/>
    <w:rsid w:val="00A73C19"/>
    <w:rsid w:val="00A73D68"/>
    <w:rsid w:val="00A73E9D"/>
    <w:rsid w:val="00A74961"/>
    <w:rsid w:val="00A74D02"/>
    <w:rsid w:val="00A74FFB"/>
    <w:rsid w:val="00A754FC"/>
    <w:rsid w:val="00A75AC0"/>
    <w:rsid w:val="00A766B4"/>
    <w:rsid w:val="00A76713"/>
    <w:rsid w:val="00A76797"/>
    <w:rsid w:val="00A767F8"/>
    <w:rsid w:val="00A778CC"/>
    <w:rsid w:val="00A7793A"/>
    <w:rsid w:val="00A77C2B"/>
    <w:rsid w:val="00A77D37"/>
    <w:rsid w:val="00A804AC"/>
    <w:rsid w:val="00A805E4"/>
    <w:rsid w:val="00A817F9"/>
    <w:rsid w:val="00A81AD1"/>
    <w:rsid w:val="00A81B31"/>
    <w:rsid w:val="00A81EEF"/>
    <w:rsid w:val="00A8229D"/>
    <w:rsid w:val="00A827A9"/>
    <w:rsid w:val="00A82F36"/>
    <w:rsid w:val="00A832F2"/>
    <w:rsid w:val="00A833D4"/>
    <w:rsid w:val="00A83C4F"/>
    <w:rsid w:val="00A83D02"/>
    <w:rsid w:val="00A84190"/>
    <w:rsid w:val="00A841C9"/>
    <w:rsid w:val="00A8420E"/>
    <w:rsid w:val="00A845B2"/>
    <w:rsid w:val="00A84868"/>
    <w:rsid w:val="00A84B66"/>
    <w:rsid w:val="00A85147"/>
    <w:rsid w:val="00A85D5C"/>
    <w:rsid w:val="00A869FA"/>
    <w:rsid w:val="00A86CAC"/>
    <w:rsid w:val="00A86D84"/>
    <w:rsid w:val="00A8703A"/>
    <w:rsid w:val="00A8722F"/>
    <w:rsid w:val="00A874D8"/>
    <w:rsid w:val="00A879E2"/>
    <w:rsid w:val="00A90427"/>
    <w:rsid w:val="00A90485"/>
    <w:rsid w:val="00A9109E"/>
    <w:rsid w:val="00A91312"/>
    <w:rsid w:val="00A9154C"/>
    <w:rsid w:val="00A91630"/>
    <w:rsid w:val="00A918EE"/>
    <w:rsid w:val="00A91942"/>
    <w:rsid w:val="00A9196B"/>
    <w:rsid w:val="00A91D05"/>
    <w:rsid w:val="00A91F32"/>
    <w:rsid w:val="00A92658"/>
    <w:rsid w:val="00A927C6"/>
    <w:rsid w:val="00A92BE8"/>
    <w:rsid w:val="00A931CE"/>
    <w:rsid w:val="00A93441"/>
    <w:rsid w:val="00A934EF"/>
    <w:rsid w:val="00A93B15"/>
    <w:rsid w:val="00A94591"/>
    <w:rsid w:val="00A9459C"/>
    <w:rsid w:val="00A94DC4"/>
    <w:rsid w:val="00A95752"/>
    <w:rsid w:val="00A95DFA"/>
    <w:rsid w:val="00A972D8"/>
    <w:rsid w:val="00A97558"/>
    <w:rsid w:val="00A97839"/>
    <w:rsid w:val="00A97A81"/>
    <w:rsid w:val="00AA0382"/>
    <w:rsid w:val="00AA07E2"/>
    <w:rsid w:val="00AA0DAD"/>
    <w:rsid w:val="00AA109C"/>
    <w:rsid w:val="00AA1407"/>
    <w:rsid w:val="00AA1618"/>
    <w:rsid w:val="00AA1774"/>
    <w:rsid w:val="00AA191A"/>
    <w:rsid w:val="00AA1D7F"/>
    <w:rsid w:val="00AA20A2"/>
    <w:rsid w:val="00AA2407"/>
    <w:rsid w:val="00AA2DA0"/>
    <w:rsid w:val="00AA2F27"/>
    <w:rsid w:val="00AA327B"/>
    <w:rsid w:val="00AA354A"/>
    <w:rsid w:val="00AA37EF"/>
    <w:rsid w:val="00AA40B2"/>
    <w:rsid w:val="00AA457F"/>
    <w:rsid w:val="00AA49ED"/>
    <w:rsid w:val="00AA4C11"/>
    <w:rsid w:val="00AA4CC7"/>
    <w:rsid w:val="00AA5303"/>
    <w:rsid w:val="00AA537B"/>
    <w:rsid w:val="00AA5640"/>
    <w:rsid w:val="00AA5E8E"/>
    <w:rsid w:val="00AA5F32"/>
    <w:rsid w:val="00AA5FE2"/>
    <w:rsid w:val="00AA66A8"/>
    <w:rsid w:val="00AA6841"/>
    <w:rsid w:val="00AA6B0F"/>
    <w:rsid w:val="00AA6F7E"/>
    <w:rsid w:val="00AA73F6"/>
    <w:rsid w:val="00AA7476"/>
    <w:rsid w:val="00AA75DC"/>
    <w:rsid w:val="00AA7ADD"/>
    <w:rsid w:val="00AB0086"/>
    <w:rsid w:val="00AB0C09"/>
    <w:rsid w:val="00AB1227"/>
    <w:rsid w:val="00AB2106"/>
    <w:rsid w:val="00AB23D6"/>
    <w:rsid w:val="00AB2581"/>
    <w:rsid w:val="00AB2BAD"/>
    <w:rsid w:val="00AB2D24"/>
    <w:rsid w:val="00AB34E7"/>
    <w:rsid w:val="00AB3700"/>
    <w:rsid w:val="00AB47A5"/>
    <w:rsid w:val="00AB47F3"/>
    <w:rsid w:val="00AB49B0"/>
    <w:rsid w:val="00AB4DA7"/>
    <w:rsid w:val="00AB505D"/>
    <w:rsid w:val="00AB56F2"/>
    <w:rsid w:val="00AB5AAF"/>
    <w:rsid w:val="00AB5EFE"/>
    <w:rsid w:val="00AB650B"/>
    <w:rsid w:val="00AB6967"/>
    <w:rsid w:val="00AB6CA7"/>
    <w:rsid w:val="00AB742E"/>
    <w:rsid w:val="00AC00F7"/>
    <w:rsid w:val="00AC104D"/>
    <w:rsid w:val="00AC2044"/>
    <w:rsid w:val="00AC3BFC"/>
    <w:rsid w:val="00AC3D48"/>
    <w:rsid w:val="00AC3DC1"/>
    <w:rsid w:val="00AC47C2"/>
    <w:rsid w:val="00AC4E09"/>
    <w:rsid w:val="00AC5575"/>
    <w:rsid w:val="00AC6106"/>
    <w:rsid w:val="00AC6BAF"/>
    <w:rsid w:val="00AC6ED0"/>
    <w:rsid w:val="00AC78E4"/>
    <w:rsid w:val="00AC7EB8"/>
    <w:rsid w:val="00ACB92A"/>
    <w:rsid w:val="00AD01E4"/>
    <w:rsid w:val="00AD02CB"/>
    <w:rsid w:val="00AD02E9"/>
    <w:rsid w:val="00AD0858"/>
    <w:rsid w:val="00AD0913"/>
    <w:rsid w:val="00AD0C64"/>
    <w:rsid w:val="00AD15F8"/>
    <w:rsid w:val="00AD173D"/>
    <w:rsid w:val="00AD2E13"/>
    <w:rsid w:val="00AD2FC8"/>
    <w:rsid w:val="00AD353B"/>
    <w:rsid w:val="00AD3624"/>
    <w:rsid w:val="00AD36E9"/>
    <w:rsid w:val="00AD3728"/>
    <w:rsid w:val="00AD3821"/>
    <w:rsid w:val="00AD39C1"/>
    <w:rsid w:val="00AD4025"/>
    <w:rsid w:val="00AD41D0"/>
    <w:rsid w:val="00AD4AEE"/>
    <w:rsid w:val="00AD4C51"/>
    <w:rsid w:val="00AD509A"/>
    <w:rsid w:val="00AD5474"/>
    <w:rsid w:val="00AD6547"/>
    <w:rsid w:val="00AD6ACD"/>
    <w:rsid w:val="00AD70BA"/>
    <w:rsid w:val="00AD7A62"/>
    <w:rsid w:val="00AD7D55"/>
    <w:rsid w:val="00AE02C3"/>
    <w:rsid w:val="00AE02E3"/>
    <w:rsid w:val="00AE08DF"/>
    <w:rsid w:val="00AE0F76"/>
    <w:rsid w:val="00AE3048"/>
    <w:rsid w:val="00AE30CB"/>
    <w:rsid w:val="00AE365C"/>
    <w:rsid w:val="00AE3DDB"/>
    <w:rsid w:val="00AE3E57"/>
    <w:rsid w:val="00AE42A4"/>
    <w:rsid w:val="00AE445F"/>
    <w:rsid w:val="00AE4C7C"/>
    <w:rsid w:val="00AE51B5"/>
    <w:rsid w:val="00AE5534"/>
    <w:rsid w:val="00AE5765"/>
    <w:rsid w:val="00AE650D"/>
    <w:rsid w:val="00AE7340"/>
    <w:rsid w:val="00AE74CB"/>
    <w:rsid w:val="00AE77E5"/>
    <w:rsid w:val="00AE7827"/>
    <w:rsid w:val="00AE7AE2"/>
    <w:rsid w:val="00AE7F70"/>
    <w:rsid w:val="00AF059F"/>
    <w:rsid w:val="00AF0A91"/>
    <w:rsid w:val="00AF0F0B"/>
    <w:rsid w:val="00AF16D2"/>
    <w:rsid w:val="00AF18F7"/>
    <w:rsid w:val="00AF1BBD"/>
    <w:rsid w:val="00AF2342"/>
    <w:rsid w:val="00AF23D5"/>
    <w:rsid w:val="00AF297B"/>
    <w:rsid w:val="00AF2D35"/>
    <w:rsid w:val="00AF2DF3"/>
    <w:rsid w:val="00AF2E92"/>
    <w:rsid w:val="00AF36CA"/>
    <w:rsid w:val="00AF3804"/>
    <w:rsid w:val="00AF38ED"/>
    <w:rsid w:val="00AF3DAF"/>
    <w:rsid w:val="00AF3FC0"/>
    <w:rsid w:val="00AF4EAB"/>
    <w:rsid w:val="00AF4FC6"/>
    <w:rsid w:val="00AF5E5B"/>
    <w:rsid w:val="00AF5F90"/>
    <w:rsid w:val="00AF604D"/>
    <w:rsid w:val="00AF60DD"/>
    <w:rsid w:val="00AF6A39"/>
    <w:rsid w:val="00AF6C45"/>
    <w:rsid w:val="00AF6EA9"/>
    <w:rsid w:val="00AF7460"/>
    <w:rsid w:val="00AF764F"/>
    <w:rsid w:val="00B0057F"/>
    <w:rsid w:val="00B006F6"/>
    <w:rsid w:val="00B0147B"/>
    <w:rsid w:val="00B01E07"/>
    <w:rsid w:val="00B01ECA"/>
    <w:rsid w:val="00B0299C"/>
    <w:rsid w:val="00B02EAB"/>
    <w:rsid w:val="00B035E9"/>
    <w:rsid w:val="00B0392F"/>
    <w:rsid w:val="00B04002"/>
    <w:rsid w:val="00B04C69"/>
    <w:rsid w:val="00B05586"/>
    <w:rsid w:val="00B055CD"/>
    <w:rsid w:val="00B05F6D"/>
    <w:rsid w:val="00B06873"/>
    <w:rsid w:val="00B06D61"/>
    <w:rsid w:val="00B07079"/>
    <w:rsid w:val="00B07F26"/>
    <w:rsid w:val="00B10207"/>
    <w:rsid w:val="00B103A0"/>
    <w:rsid w:val="00B10D6F"/>
    <w:rsid w:val="00B11DC2"/>
    <w:rsid w:val="00B11DEF"/>
    <w:rsid w:val="00B124F4"/>
    <w:rsid w:val="00B13155"/>
    <w:rsid w:val="00B1366D"/>
    <w:rsid w:val="00B13D21"/>
    <w:rsid w:val="00B14147"/>
    <w:rsid w:val="00B14194"/>
    <w:rsid w:val="00B141E7"/>
    <w:rsid w:val="00B143D1"/>
    <w:rsid w:val="00B143D2"/>
    <w:rsid w:val="00B14AC6"/>
    <w:rsid w:val="00B14D24"/>
    <w:rsid w:val="00B150F6"/>
    <w:rsid w:val="00B15AC3"/>
    <w:rsid w:val="00B15E35"/>
    <w:rsid w:val="00B15F21"/>
    <w:rsid w:val="00B16882"/>
    <w:rsid w:val="00B16B72"/>
    <w:rsid w:val="00B1788B"/>
    <w:rsid w:val="00B178C5"/>
    <w:rsid w:val="00B200A1"/>
    <w:rsid w:val="00B20360"/>
    <w:rsid w:val="00B205C0"/>
    <w:rsid w:val="00B2081C"/>
    <w:rsid w:val="00B20C96"/>
    <w:rsid w:val="00B20EF4"/>
    <w:rsid w:val="00B20F05"/>
    <w:rsid w:val="00B212F6"/>
    <w:rsid w:val="00B21344"/>
    <w:rsid w:val="00B214A7"/>
    <w:rsid w:val="00B217B8"/>
    <w:rsid w:val="00B21BC9"/>
    <w:rsid w:val="00B21FC6"/>
    <w:rsid w:val="00B22365"/>
    <w:rsid w:val="00B22BD8"/>
    <w:rsid w:val="00B22E6F"/>
    <w:rsid w:val="00B22EC1"/>
    <w:rsid w:val="00B23685"/>
    <w:rsid w:val="00B23DA1"/>
    <w:rsid w:val="00B242DC"/>
    <w:rsid w:val="00B2465A"/>
    <w:rsid w:val="00B2467D"/>
    <w:rsid w:val="00B24FBE"/>
    <w:rsid w:val="00B2559D"/>
    <w:rsid w:val="00B25A13"/>
    <w:rsid w:val="00B25D61"/>
    <w:rsid w:val="00B277C3"/>
    <w:rsid w:val="00B279F2"/>
    <w:rsid w:val="00B30248"/>
    <w:rsid w:val="00B30A5D"/>
    <w:rsid w:val="00B311E2"/>
    <w:rsid w:val="00B3286C"/>
    <w:rsid w:val="00B3348E"/>
    <w:rsid w:val="00B33771"/>
    <w:rsid w:val="00B33A14"/>
    <w:rsid w:val="00B33AB2"/>
    <w:rsid w:val="00B33F71"/>
    <w:rsid w:val="00B3473D"/>
    <w:rsid w:val="00B34AC0"/>
    <w:rsid w:val="00B351B4"/>
    <w:rsid w:val="00B35286"/>
    <w:rsid w:val="00B368ED"/>
    <w:rsid w:val="00B36FCB"/>
    <w:rsid w:val="00B3716A"/>
    <w:rsid w:val="00B37398"/>
    <w:rsid w:val="00B375BC"/>
    <w:rsid w:val="00B3765F"/>
    <w:rsid w:val="00B4060C"/>
    <w:rsid w:val="00B406B8"/>
    <w:rsid w:val="00B4194D"/>
    <w:rsid w:val="00B41ABA"/>
    <w:rsid w:val="00B41D7A"/>
    <w:rsid w:val="00B42D6D"/>
    <w:rsid w:val="00B43043"/>
    <w:rsid w:val="00B430F7"/>
    <w:rsid w:val="00B43B32"/>
    <w:rsid w:val="00B446E7"/>
    <w:rsid w:val="00B45385"/>
    <w:rsid w:val="00B456F4"/>
    <w:rsid w:val="00B45745"/>
    <w:rsid w:val="00B467D0"/>
    <w:rsid w:val="00B46906"/>
    <w:rsid w:val="00B46BCA"/>
    <w:rsid w:val="00B46EEC"/>
    <w:rsid w:val="00B478AA"/>
    <w:rsid w:val="00B506B3"/>
    <w:rsid w:val="00B50B3D"/>
    <w:rsid w:val="00B50C0B"/>
    <w:rsid w:val="00B50EE9"/>
    <w:rsid w:val="00B51893"/>
    <w:rsid w:val="00B51A75"/>
    <w:rsid w:val="00B51E64"/>
    <w:rsid w:val="00B52176"/>
    <w:rsid w:val="00B5241C"/>
    <w:rsid w:val="00B5262D"/>
    <w:rsid w:val="00B5365A"/>
    <w:rsid w:val="00B53739"/>
    <w:rsid w:val="00B53E6E"/>
    <w:rsid w:val="00B53F43"/>
    <w:rsid w:val="00B546D7"/>
    <w:rsid w:val="00B548A8"/>
    <w:rsid w:val="00B54BAF"/>
    <w:rsid w:val="00B55004"/>
    <w:rsid w:val="00B56561"/>
    <w:rsid w:val="00B566C9"/>
    <w:rsid w:val="00B56962"/>
    <w:rsid w:val="00B5763A"/>
    <w:rsid w:val="00B601D4"/>
    <w:rsid w:val="00B60786"/>
    <w:rsid w:val="00B61470"/>
    <w:rsid w:val="00B61519"/>
    <w:rsid w:val="00B61B1D"/>
    <w:rsid w:val="00B61B6C"/>
    <w:rsid w:val="00B62058"/>
    <w:rsid w:val="00B62071"/>
    <w:rsid w:val="00B62390"/>
    <w:rsid w:val="00B62972"/>
    <w:rsid w:val="00B630C5"/>
    <w:rsid w:val="00B631E9"/>
    <w:rsid w:val="00B638CC"/>
    <w:rsid w:val="00B64157"/>
    <w:rsid w:val="00B644BC"/>
    <w:rsid w:val="00B644BF"/>
    <w:rsid w:val="00B64943"/>
    <w:rsid w:val="00B64C48"/>
    <w:rsid w:val="00B64C55"/>
    <w:rsid w:val="00B64D62"/>
    <w:rsid w:val="00B65205"/>
    <w:rsid w:val="00B653FE"/>
    <w:rsid w:val="00B659E4"/>
    <w:rsid w:val="00B65DBB"/>
    <w:rsid w:val="00B661B4"/>
    <w:rsid w:val="00B664E7"/>
    <w:rsid w:val="00B6696B"/>
    <w:rsid w:val="00B66F26"/>
    <w:rsid w:val="00B671BA"/>
    <w:rsid w:val="00B67587"/>
    <w:rsid w:val="00B67652"/>
    <w:rsid w:val="00B707F5"/>
    <w:rsid w:val="00B7100A"/>
    <w:rsid w:val="00B7104F"/>
    <w:rsid w:val="00B712B1"/>
    <w:rsid w:val="00B71902"/>
    <w:rsid w:val="00B7196F"/>
    <w:rsid w:val="00B71F51"/>
    <w:rsid w:val="00B72197"/>
    <w:rsid w:val="00B72582"/>
    <w:rsid w:val="00B726AD"/>
    <w:rsid w:val="00B7278C"/>
    <w:rsid w:val="00B7333A"/>
    <w:rsid w:val="00B73532"/>
    <w:rsid w:val="00B7373D"/>
    <w:rsid w:val="00B7385C"/>
    <w:rsid w:val="00B73925"/>
    <w:rsid w:val="00B739CB"/>
    <w:rsid w:val="00B73B78"/>
    <w:rsid w:val="00B73C0F"/>
    <w:rsid w:val="00B748AD"/>
    <w:rsid w:val="00B74B7E"/>
    <w:rsid w:val="00B74C6C"/>
    <w:rsid w:val="00B752D4"/>
    <w:rsid w:val="00B7535D"/>
    <w:rsid w:val="00B75C78"/>
    <w:rsid w:val="00B75D1B"/>
    <w:rsid w:val="00B75E3F"/>
    <w:rsid w:val="00B75F8F"/>
    <w:rsid w:val="00B7661E"/>
    <w:rsid w:val="00B769B4"/>
    <w:rsid w:val="00B76FD3"/>
    <w:rsid w:val="00B76FDE"/>
    <w:rsid w:val="00B76FF8"/>
    <w:rsid w:val="00B77655"/>
    <w:rsid w:val="00B77683"/>
    <w:rsid w:val="00B77A3D"/>
    <w:rsid w:val="00B77C76"/>
    <w:rsid w:val="00B8041D"/>
    <w:rsid w:val="00B8085E"/>
    <w:rsid w:val="00B80DE5"/>
    <w:rsid w:val="00B810D5"/>
    <w:rsid w:val="00B810E5"/>
    <w:rsid w:val="00B811DD"/>
    <w:rsid w:val="00B81A72"/>
    <w:rsid w:val="00B81F20"/>
    <w:rsid w:val="00B81FC7"/>
    <w:rsid w:val="00B82AB3"/>
    <w:rsid w:val="00B82BA2"/>
    <w:rsid w:val="00B83144"/>
    <w:rsid w:val="00B832B1"/>
    <w:rsid w:val="00B833AB"/>
    <w:rsid w:val="00B8365F"/>
    <w:rsid w:val="00B84898"/>
    <w:rsid w:val="00B84C6C"/>
    <w:rsid w:val="00B851BA"/>
    <w:rsid w:val="00B8564C"/>
    <w:rsid w:val="00B8598E"/>
    <w:rsid w:val="00B85A56"/>
    <w:rsid w:val="00B86109"/>
    <w:rsid w:val="00B862C8"/>
    <w:rsid w:val="00B86335"/>
    <w:rsid w:val="00B86636"/>
    <w:rsid w:val="00B86C41"/>
    <w:rsid w:val="00B87806"/>
    <w:rsid w:val="00B878B4"/>
    <w:rsid w:val="00B879C9"/>
    <w:rsid w:val="00B87EC9"/>
    <w:rsid w:val="00B905F8"/>
    <w:rsid w:val="00B90722"/>
    <w:rsid w:val="00B9081B"/>
    <w:rsid w:val="00B90DD6"/>
    <w:rsid w:val="00B91182"/>
    <w:rsid w:val="00B9204C"/>
    <w:rsid w:val="00B9225D"/>
    <w:rsid w:val="00B922D9"/>
    <w:rsid w:val="00B92427"/>
    <w:rsid w:val="00B92913"/>
    <w:rsid w:val="00B9305C"/>
    <w:rsid w:val="00B93252"/>
    <w:rsid w:val="00B932EA"/>
    <w:rsid w:val="00B938C1"/>
    <w:rsid w:val="00B93A56"/>
    <w:rsid w:val="00B93C44"/>
    <w:rsid w:val="00B943B1"/>
    <w:rsid w:val="00B94EE6"/>
    <w:rsid w:val="00B9501F"/>
    <w:rsid w:val="00B95C18"/>
    <w:rsid w:val="00B95D8F"/>
    <w:rsid w:val="00B962B6"/>
    <w:rsid w:val="00B96A63"/>
    <w:rsid w:val="00B96C3C"/>
    <w:rsid w:val="00B972F0"/>
    <w:rsid w:val="00B97A63"/>
    <w:rsid w:val="00B97AAE"/>
    <w:rsid w:val="00B97B16"/>
    <w:rsid w:val="00B97CE9"/>
    <w:rsid w:val="00BA0132"/>
    <w:rsid w:val="00BA0711"/>
    <w:rsid w:val="00BA1213"/>
    <w:rsid w:val="00BA127C"/>
    <w:rsid w:val="00BA154F"/>
    <w:rsid w:val="00BA1578"/>
    <w:rsid w:val="00BA21E5"/>
    <w:rsid w:val="00BA2E18"/>
    <w:rsid w:val="00BA2FA0"/>
    <w:rsid w:val="00BA39C3"/>
    <w:rsid w:val="00BA3AA4"/>
    <w:rsid w:val="00BA45CA"/>
    <w:rsid w:val="00BA45FB"/>
    <w:rsid w:val="00BA52FF"/>
    <w:rsid w:val="00BA5D76"/>
    <w:rsid w:val="00BA5E24"/>
    <w:rsid w:val="00BA63AF"/>
    <w:rsid w:val="00BA640A"/>
    <w:rsid w:val="00BA677D"/>
    <w:rsid w:val="00BA6CDC"/>
    <w:rsid w:val="00BA6D35"/>
    <w:rsid w:val="00BA6E7B"/>
    <w:rsid w:val="00BA78A8"/>
    <w:rsid w:val="00BB03F5"/>
    <w:rsid w:val="00BB052F"/>
    <w:rsid w:val="00BB06E5"/>
    <w:rsid w:val="00BB0E36"/>
    <w:rsid w:val="00BB104F"/>
    <w:rsid w:val="00BB182A"/>
    <w:rsid w:val="00BB19E9"/>
    <w:rsid w:val="00BB1AC2"/>
    <w:rsid w:val="00BB1ED6"/>
    <w:rsid w:val="00BB2C38"/>
    <w:rsid w:val="00BB316F"/>
    <w:rsid w:val="00BB332F"/>
    <w:rsid w:val="00BB47E4"/>
    <w:rsid w:val="00BB4894"/>
    <w:rsid w:val="00BB4E7E"/>
    <w:rsid w:val="00BB53BE"/>
    <w:rsid w:val="00BB587A"/>
    <w:rsid w:val="00BB61D5"/>
    <w:rsid w:val="00BB7634"/>
    <w:rsid w:val="00BB7ACB"/>
    <w:rsid w:val="00BB7CCC"/>
    <w:rsid w:val="00BC03AA"/>
    <w:rsid w:val="00BC0612"/>
    <w:rsid w:val="00BC15B7"/>
    <w:rsid w:val="00BC1A61"/>
    <w:rsid w:val="00BC203A"/>
    <w:rsid w:val="00BC2575"/>
    <w:rsid w:val="00BC328D"/>
    <w:rsid w:val="00BC38FD"/>
    <w:rsid w:val="00BC3CCB"/>
    <w:rsid w:val="00BC3F31"/>
    <w:rsid w:val="00BC4239"/>
    <w:rsid w:val="00BC4F05"/>
    <w:rsid w:val="00BC5710"/>
    <w:rsid w:val="00BC5B32"/>
    <w:rsid w:val="00BC5B6B"/>
    <w:rsid w:val="00BC5BD7"/>
    <w:rsid w:val="00BC6D6C"/>
    <w:rsid w:val="00BC7334"/>
    <w:rsid w:val="00BD0092"/>
    <w:rsid w:val="00BD0AFD"/>
    <w:rsid w:val="00BD0CE8"/>
    <w:rsid w:val="00BD0F39"/>
    <w:rsid w:val="00BD174E"/>
    <w:rsid w:val="00BD1931"/>
    <w:rsid w:val="00BD1B13"/>
    <w:rsid w:val="00BD1EFF"/>
    <w:rsid w:val="00BD1F4A"/>
    <w:rsid w:val="00BD2A74"/>
    <w:rsid w:val="00BD2C3C"/>
    <w:rsid w:val="00BD327E"/>
    <w:rsid w:val="00BD3471"/>
    <w:rsid w:val="00BD3653"/>
    <w:rsid w:val="00BD3818"/>
    <w:rsid w:val="00BD4140"/>
    <w:rsid w:val="00BD4BC0"/>
    <w:rsid w:val="00BD4C6A"/>
    <w:rsid w:val="00BD4ECF"/>
    <w:rsid w:val="00BD533E"/>
    <w:rsid w:val="00BD5724"/>
    <w:rsid w:val="00BD63CE"/>
    <w:rsid w:val="00BD6554"/>
    <w:rsid w:val="00BD6BBA"/>
    <w:rsid w:val="00BD6C03"/>
    <w:rsid w:val="00BD6DF8"/>
    <w:rsid w:val="00BD6EE4"/>
    <w:rsid w:val="00BD73F1"/>
    <w:rsid w:val="00BD79C1"/>
    <w:rsid w:val="00BD7DC9"/>
    <w:rsid w:val="00BE0A08"/>
    <w:rsid w:val="00BE0B82"/>
    <w:rsid w:val="00BE0E2B"/>
    <w:rsid w:val="00BE141A"/>
    <w:rsid w:val="00BE166D"/>
    <w:rsid w:val="00BE2B53"/>
    <w:rsid w:val="00BE2C6E"/>
    <w:rsid w:val="00BE3993"/>
    <w:rsid w:val="00BE405C"/>
    <w:rsid w:val="00BE43F1"/>
    <w:rsid w:val="00BE4CCA"/>
    <w:rsid w:val="00BE5CF7"/>
    <w:rsid w:val="00BE5DE0"/>
    <w:rsid w:val="00BE6520"/>
    <w:rsid w:val="00BE6A04"/>
    <w:rsid w:val="00BE7348"/>
    <w:rsid w:val="00BE743E"/>
    <w:rsid w:val="00BE7AA9"/>
    <w:rsid w:val="00BE7BDE"/>
    <w:rsid w:val="00BF026B"/>
    <w:rsid w:val="00BF0875"/>
    <w:rsid w:val="00BF133C"/>
    <w:rsid w:val="00BF1576"/>
    <w:rsid w:val="00BF16B5"/>
    <w:rsid w:val="00BF1D09"/>
    <w:rsid w:val="00BF1EB9"/>
    <w:rsid w:val="00BF2346"/>
    <w:rsid w:val="00BF23F6"/>
    <w:rsid w:val="00BF2C95"/>
    <w:rsid w:val="00BF37AA"/>
    <w:rsid w:val="00BF38CC"/>
    <w:rsid w:val="00BF39AE"/>
    <w:rsid w:val="00BF3C72"/>
    <w:rsid w:val="00BF474E"/>
    <w:rsid w:val="00BF491C"/>
    <w:rsid w:val="00BF51B4"/>
    <w:rsid w:val="00BF52EE"/>
    <w:rsid w:val="00BF59CF"/>
    <w:rsid w:val="00BF5D61"/>
    <w:rsid w:val="00BF60A7"/>
    <w:rsid w:val="00BF6B12"/>
    <w:rsid w:val="00BF6FA8"/>
    <w:rsid w:val="00BF7132"/>
    <w:rsid w:val="00BF7AB1"/>
    <w:rsid w:val="00BF7E16"/>
    <w:rsid w:val="00C00773"/>
    <w:rsid w:val="00C00A31"/>
    <w:rsid w:val="00C012CE"/>
    <w:rsid w:val="00C01A88"/>
    <w:rsid w:val="00C02137"/>
    <w:rsid w:val="00C03235"/>
    <w:rsid w:val="00C0334F"/>
    <w:rsid w:val="00C034CB"/>
    <w:rsid w:val="00C03C9C"/>
    <w:rsid w:val="00C0428F"/>
    <w:rsid w:val="00C04B8B"/>
    <w:rsid w:val="00C04D2E"/>
    <w:rsid w:val="00C05049"/>
    <w:rsid w:val="00C051A8"/>
    <w:rsid w:val="00C05287"/>
    <w:rsid w:val="00C054BC"/>
    <w:rsid w:val="00C06274"/>
    <w:rsid w:val="00C06B50"/>
    <w:rsid w:val="00C06ECA"/>
    <w:rsid w:val="00C07569"/>
    <w:rsid w:val="00C10497"/>
    <w:rsid w:val="00C10D90"/>
    <w:rsid w:val="00C11201"/>
    <w:rsid w:val="00C1157E"/>
    <w:rsid w:val="00C119E4"/>
    <w:rsid w:val="00C11A87"/>
    <w:rsid w:val="00C11D0F"/>
    <w:rsid w:val="00C12A70"/>
    <w:rsid w:val="00C12AD2"/>
    <w:rsid w:val="00C12CF4"/>
    <w:rsid w:val="00C12F3D"/>
    <w:rsid w:val="00C136CB"/>
    <w:rsid w:val="00C13EDB"/>
    <w:rsid w:val="00C13F54"/>
    <w:rsid w:val="00C14333"/>
    <w:rsid w:val="00C14FE2"/>
    <w:rsid w:val="00C15433"/>
    <w:rsid w:val="00C1567B"/>
    <w:rsid w:val="00C1587B"/>
    <w:rsid w:val="00C16717"/>
    <w:rsid w:val="00C16B7A"/>
    <w:rsid w:val="00C16D33"/>
    <w:rsid w:val="00C16EEF"/>
    <w:rsid w:val="00C17897"/>
    <w:rsid w:val="00C17D4A"/>
    <w:rsid w:val="00C2003A"/>
    <w:rsid w:val="00C210FF"/>
    <w:rsid w:val="00C21A70"/>
    <w:rsid w:val="00C21BDD"/>
    <w:rsid w:val="00C21C55"/>
    <w:rsid w:val="00C223B7"/>
    <w:rsid w:val="00C22633"/>
    <w:rsid w:val="00C22976"/>
    <w:rsid w:val="00C23251"/>
    <w:rsid w:val="00C23789"/>
    <w:rsid w:val="00C24416"/>
    <w:rsid w:val="00C2487A"/>
    <w:rsid w:val="00C259C4"/>
    <w:rsid w:val="00C266DF"/>
    <w:rsid w:val="00C26768"/>
    <w:rsid w:val="00C26A63"/>
    <w:rsid w:val="00C276E2"/>
    <w:rsid w:val="00C277C8"/>
    <w:rsid w:val="00C27979"/>
    <w:rsid w:val="00C27C14"/>
    <w:rsid w:val="00C27D95"/>
    <w:rsid w:val="00C305F7"/>
    <w:rsid w:val="00C307F8"/>
    <w:rsid w:val="00C30F95"/>
    <w:rsid w:val="00C3175E"/>
    <w:rsid w:val="00C32CB9"/>
    <w:rsid w:val="00C32D6B"/>
    <w:rsid w:val="00C32D7F"/>
    <w:rsid w:val="00C333C6"/>
    <w:rsid w:val="00C33644"/>
    <w:rsid w:val="00C33B57"/>
    <w:rsid w:val="00C347FB"/>
    <w:rsid w:val="00C359EB"/>
    <w:rsid w:val="00C35A3A"/>
    <w:rsid w:val="00C3607C"/>
    <w:rsid w:val="00C362A1"/>
    <w:rsid w:val="00C362ED"/>
    <w:rsid w:val="00C36686"/>
    <w:rsid w:val="00C36D79"/>
    <w:rsid w:val="00C36F36"/>
    <w:rsid w:val="00C37571"/>
    <w:rsid w:val="00C377BF"/>
    <w:rsid w:val="00C407AD"/>
    <w:rsid w:val="00C409D5"/>
    <w:rsid w:val="00C40F56"/>
    <w:rsid w:val="00C41465"/>
    <w:rsid w:val="00C418B7"/>
    <w:rsid w:val="00C41E36"/>
    <w:rsid w:val="00C42026"/>
    <w:rsid w:val="00C420C3"/>
    <w:rsid w:val="00C42A0D"/>
    <w:rsid w:val="00C42E2A"/>
    <w:rsid w:val="00C43276"/>
    <w:rsid w:val="00C43316"/>
    <w:rsid w:val="00C435C3"/>
    <w:rsid w:val="00C43649"/>
    <w:rsid w:val="00C441C9"/>
    <w:rsid w:val="00C44450"/>
    <w:rsid w:val="00C44812"/>
    <w:rsid w:val="00C44877"/>
    <w:rsid w:val="00C44D01"/>
    <w:rsid w:val="00C44E5F"/>
    <w:rsid w:val="00C44FFB"/>
    <w:rsid w:val="00C45270"/>
    <w:rsid w:val="00C458EF"/>
    <w:rsid w:val="00C459AC"/>
    <w:rsid w:val="00C45F3D"/>
    <w:rsid w:val="00C45F47"/>
    <w:rsid w:val="00C45F49"/>
    <w:rsid w:val="00C460D0"/>
    <w:rsid w:val="00C46461"/>
    <w:rsid w:val="00C466F9"/>
    <w:rsid w:val="00C468C3"/>
    <w:rsid w:val="00C46C23"/>
    <w:rsid w:val="00C4762E"/>
    <w:rsid w:val="00C500A8"/>
    <w:rsid w:val="00C5085F"/>
    <w:rsid w:val="00C50C7A"/>
    <w:rsid w:val="00C50D05"/>
    <w:rsid w:val="00C51440"/>
    <w:rsid w:val="00C518F9"/>
    <w:rsid w:val="00C51B7C"/>
    <w:rsid w:val="00C51ED3"/>
    <w:rsid w:val="00C51EFD"/>
    <w:rsid w:val="00C5221E"/>
    <w:rsid w:val="00C529A4"/>
    <w:rsid w:val="00C52A8C"/>
    <w:rsid w:val="00C52D75"/>
    <w:rsid w:val="00C53173"/>
    <w:rsid w:val="00C53737"/>
    <w:rsid w:val="00C53C55"/>
    <w:rsid w:val="00C53F44"/>
    <w:rsid w:val="00C54252"/>
    <w:rsid w:val="00C5473B"/>
    <w:rsid w:val="00C549C6"/>
    <w:rsid w:val="00C54EBC"/>
    <w:rsid w:val="00C55269"/>
    <w:rsid w:val="00C55A01"/>
    <w:rsid w:val="00C55F33"/>
    <w:rsid w:val="00C5665E"/>
    <w:rsid w:val="00C56A75"/>
    <w:rsid w:val="00C57D8E"/>
    <w:rsid w:val="00C57EB2"/>
    <w:rsid w:val="00C57FE8"/>
    <w:rsid w:val="00C60C34"/>
    <w:rsid w:val="00C60E37"/>
    <w:rsid w:val="00C613F9"/>
    <w:rsid w:val="00C61561"/>
    <w:rsid w:val="00C61CF5"/>
    <w:rsid w:val="00C6234B"/>
    <w:rsid w:val="00C626B4"/>
    <w:rsid w:val="00C63142"/>
    <w:rsid w:val="00C63EAE"/>
    <w:rsid w:val="00C63EC7"/>
    <w:rsid w:val="00C642F4"/>
    <w:rsid w:val="00C64319"/>
    <w:rsid w:val="00C64880"/>
    <w:rsid w:val="00C64BF0"/>
    <w:rsid w:val="00C64C8A"/>
    <w:rsid w:val="00C64F3E"/>
    <w:rsid w:val="00C65579"/>
    <w:rsid w:val="00C659F0"/>
    <w:rsid w:val="00C65CD2"/>
    <w:rsid w:val="00C6667A"/>
    <w:rsid w:val="00C67661"/>
    <w:rsid w:val="00C67A5F"/>
    <w:rsid w:val="00C7020B"/>
    <w:rsid w:val="00C70B18"/>
    <w:rsid w:val="00C70B29"/>
    <w:rsid w:val="00C70D3E"/>
    <w:rsid w:val="00C70E9C"/>
    <w:rsid w:val="00C711C5"/>
    <w:rsid w:val="00C7165C"/>
    <w:rsid w:val="00C72645"/>
    <w:rsid w:val="00C73159"/>
    <w:rsid w:val="00C73260"/>
    <w:rsid w:val="00C73C0F"/>
    <w:rsid w:val="00C73DF6"/>
    <w:rsid w:val="00C73F84"/>
    <w:rsid w:val="00C749C7"/>
    <w:rsid w:val="00C74E38"/>
    <w:rsid w:val="00C75045"/>
    <w:rsid w:val="00C75C22"/>
    <w:rsid w:val="00C76060"/>
    <w:rsid w:val="00C761C3"/>
    <w:rsid w:val="00C7629F"/>
    <w:rsid w:val="00C7643D"/>
    <w:rsid w:val="00C764C1"/>
    <w:rsid w:val="00C769DD"/>
    <w:rsid w:val="00C76F51"/>
    <w:rsid w:val="00C7706B"/>
    <w:rsid w:val="00C770C0"/>
    <w:rsid w:val="00C77226"/>
    <w:rsid w:val="00C7753F"/>
    <w:rsid w:val="00C7772C"/>
    <w:rsid w:val="00C778A0"/>
    <w:rsid w:val="00C80033"/>
    <w:rsid w:val="00C8017B"/>
    <w:rsid w:val="00C80334"/>
    <w:rsid w:val="00C803AD"/>
    <w:rsid w:val="00C803B7"/>
    <w:rsid w:val="00C808CA"/>
    <w:rsid w:val="00C808F9"/>
    <w:rsid w:val="00C80B9C"/>
    <w:rsid w:val="00C80BAA"/>
    <w:rsid w:val="00C816DD"/>
    <w:rsid w:val="00C81B6A"/>
    <w:rsid w:val="00C81CA6"/>
    <w:rsid w:val="00C82640"/>
    <w:rsid w:val="00C8310E"/>
    <w:rsid w:val="00C83DA5"/>
    <w:rsid w:val="00C84256"/>
    <w:rsid w:val="00C84F88"/>
    <w:rsid w:val="00C859AE"/>
    <w:rsid w:val="00C859BB"/>
    <w:rsid w:val="00C85EEC"/>
    <w:rsid w:val="00C8661B"/>
    <w:rsid w:val="00C86795"/>
    <w:rsid w:val="00C869B9"/>
    <w:rsid w:val="00C86E19"/>
    <w:rsid w:val="00C872BE"/>
    <w:rsid w:val="00C9055E"/>
    <w:rsid w:val="00C90B56"/>
    <w:rsid w:val="00C90C11"/>
    <w:rsid w:val="00C914B1"/>
    <w:rsid w:val="00C9169C"/>
    <w:rsid w:val="00C91D17"/>
    <w:rsid w:val="00C923EC"/>
    <w:rsid w:val="00C92612"/>
    <w:rsid w:val="00C92AF6"/>
    <w:rsid w:val="00C92BC6"/>
    <w:rsid w:val="00C92DCB"/>
    <w:rsid w:val="00C93170"/>
    <w:rsid w:val="00C93262"/>
    <w:rsid w:val="00C93F5A"/>
    <w:rsid w:val="00C94128"/>
    <w:rsid w:val="00C944C9"/>
    <w:rsid w:val="00C944DC"/>
    <w:rsid w:val="00C94E2F"/>
    <w:rsid w:val="00C95951"/>
    <w:rsid w:val="00C9604E"/>
    <w:rsid w:val="00C962FA"/>
    <w:rsid w:val="00C964F3"/>
    <w:rsid w:val="00C96603"/>
    <w:rsid w:val="00C9732E"/>
    <w:rsid w:val="00C9753B"/>
    <w:rsid w:val="00C975A5"/>
    <w:rsid w:val="00C976B6"/>
    <w:rsid w:val="00C97930"/>
    <w:rsid w:val="00C97A6C"/>
    <w:rsid w:val="00CA01CE"/>
    <w:rsid w:val="00CA03C8"/>
    <w:rsid w:val="00CA139A"/>
    <w:rsid w:val="00CA17F5"/>
    <w:rsid w:val="00CA1E7D"/>
    <w:rsid w:val="00CA20D2"/>
    <w:rsid w:val="00CA22D8"/>
    <w:rsid w:val="00CA249A"/>
    <w:rsid w:val="00CA259A"/>
    <w:rsid w:val="00CA27C1"/>
    <w:rsid w:val="00CA280A"/>
    <w:rsid w:val="00CA2869"/>
    <w:rsid w:val="00CA2899"/>
    <w:rsid w:val="00CA28B0"/>
    <w:rsid w:val="00CA2BA0"/>
    <w:rsid w:val="00CA368B"/>
    <w:rsid w:val="00CA3A3D"/>
    <w:rsid w:val="00CA3AA6"/>
    <w:rsid w:val="00CA3B28"/>
    <w:rsid w:val="00CA3DAC"/>
    <w:rsid w:val="00CA42DB"/>
    <w:rsid w:val="00CA4300"/>
    <w:rsid w:val="00CA43BE"/>
    <w:rsid w:val="00CA46D0"/>
    <w:rsid w:val="00CA492E"/>
    <w:rsid w:val="00CA54AD"/>
    <w:rsid w:val="00CA5E2A"/>
    <w:rsid w:val="00CA60AD"/>
    <w:rsid w:val="00CA61A7"/>
    <w:rsid w:val="00CA6AF9"/>
    <w:rsid w:val="00CA74E3"/>
    <w:rsid w:val="00CA75F1"/>
    <w:rsid w:val="00CA77FB"/>
    <w:rsid w:val="00CB0808"/>
    <w:rsid w:val="00CB1271"/>
    <w:rsid w:val="00CB13E6"/>
    <w:rsid w:val="00CB1A2C"/>
    <w:rsid w:val="00CB1BE2"/>
    <w:rsid w:val="00CB2485"/>
    <w:rsid w:val="00CB2ACF"/>
    <w:rsid w:val="00CB2B20"/>
    <w:rsid w:val="00CB2C4C"/>
    <w:rsid w:val="00CB32F2"/>
    <w:rsid w:val="00CB33DC"/>
    <w:rsid w:val="00CB379B"/>
    <w:rsid w:val="00CB429D"/>
    <w:rsid w:val="00CB4490"/>
    <w:rsid w:val="00CB4DC8"/>
    <w:rsid w:val="00CB58CE"/>
    <w:rsid w:val="00CB5B7A"/>
    <w:rsid w:val="00CB5DD0"/>
    <w:rsid w:val="00CB6418"/>
    <w:rsid w:val="00CB7033"/>
    <w:rsid w:val="00CB7582"/>
    <w:rsid w:val="00CB78C6"/>
    <w:rsid w:val="00CB7EA2"/>
    <w:rsid w:val="00CC0296"/>
    <w:rsid w:val="00CC0A2E"/>
    <w:rsid w:val="00CC0B7F"/>
    <w:rsid w:val="00CC0BC0"/>
    <w:rsid w:val="00CC13A0"/>
    <w:rsid w:val="00CC18B2"/>
    <w:rsid w:val="00CC1E01"/>
    <w:rsid w:val="00CC232C"/>
    <w:rsid w:val="00CC2461"/>
    <w:rsid w:val="00CC2823"/>
    <w:rsid w:val="00CC2B6D"/>
    <w:rsid w:val="00CC2CD9"/>
    <w:rsid w:val="00CC319C"/>
    <w:rsid w:val="00CC3EAC"/>
    <w:rsid w:val="00CC410C"/>
    <w:rsid w:val="00CC45F4"/>
    <w:rsid w:val="00CC4A86"/>
    <w:rsid w:val="00CC5085"/>
    <w:rsid w:val="00CC51D4"/>
    <w:rsid w:val="00CC5209"/>
    <w:rsid w:val="00CC606A"/>
    <w:rsid w:val="00CC6234"/>
    <w:rsid w:val="00CC6417"/>
    <w:rsid w:val="00CC65DA"/>
    <w:rsid w:val="00CC6639"/>
    <w:rsid w:val="00CC66BA"/>
    <w:rsid w:val="00CC6B5B"/>
    <w:rsid w:val="00CC6C73"/>
    <w:rsid w:val="00CC6F64"/>
    <w:rsid w:val="00CC7875"/>
    <w:rsid w:val="00CC793C"/>
    <w:rsid w:val="00CC7A73"/>
    <w:rsid w:val="00CD00F8"/>
    <w:rsid w:val="00CD0507"/>
    <w:rsid w:val="00CD155A"/>
    <w:rsid w:val="00CD2532"/>
    <w:rsid w:val="00CD2AEB"/>
    <w:rsid w:val="00CD340D"/>
    <w:rsid w:val="00CD348C"/>
    <w:rsid w:val="00CD396A"/>
    <w:rsid w:val="00CD45D7"/>
    <w:rsid w:val="00CD45DF"/>
    <w:rsid w:val="00CD48EA"/>
    <w:rsid w:val="00CD5030"/>
    <w:rsid w:val="00CD539A"/>
    <w:rsid w:val="00CD57F4"/>
    <w:rsid w:val="00CD5A0B"/>
    <w:rsid w:val="00CD5BEE"/>
    <w:rsid w:val="00CD5FCC"/>
    <w:rsid w:val="00CD61DA"/>
    <w:rsid w:val="00CD63E7"/>
    <w:rsid w:val="00CD7105"/>
    <w:rsid w:val="00CD7C0E"/>
    <w:rsid w:val="00CE05FF"/>
    <w:rsid w:val="00CE0BE3"/>
    <w:rsid w:val="00CE0F39"/>
    <w:rsid w:val="00CE10E2"/>
    <w:rsid w:val="00CE1625"/>
    <w:rsid w:val="00CE1D07"/>
    <w:rsid w:val="00CE2689"/>
    <w:rsid w:val="00CE2A7E"/>
    <w:rsid w:val="00CE2C1C"/>
    <w:rsid w:val="00CE2C1E"/>
    <w:rsid w:val="00CE3520"/>
    <w:rsid w:val="00CE3685"/>
    <w:rsid w:val="00CE3943"/>
    <w:rsid w:val="00CE3954"/>
    <w:rsid w:val="00CE3A6F"/>
    <w:rsid w:val="00CE41FC"/>
    <w:rsid w:val="00CE46F3"/>
    <w:rsid w:val="00CE4718"/>
    <w:rsid w:val="00CE495F"/>
    <w:rsid w:val="00CE4D23"/>
    <w:rsid w:val="00CE4FE1"/>
    <w:rsid w:val="00CE66D5"/>
    <w:rsid w:val="00CE6720"/>
    <w:rsid w:val="00CE68F4"/>
    <w:rsid w:val="00CE71A9"/>
    <w:rsid w:val="00CE7206"/>
    <w:rsid w:val="00CE746C"/>
    <w:rsid w:val="00CE74A0"/>
    <w:rsid w:val="00CE7675"/>
    <w:rsid w:val="00CE7EC9"/>
    <w:rsid w:val="00CE7FD1"/>
    <w:rsid w:val="00CF00CC"/>
    <w:rsid w:val="00CF0335"/>
    <w:rsid w:val="00CF06B6"/>
    <w:rsid w:val="00CF2084"/>
    <w:rsid w:val="00CF21B9"/>
    <w:rsid w:val="00CF230F"/>
    <w:rsid w:val="00CF2E09"/>
    <w:rsid w:val="00CF3125"/>
    <w:rsid w:val="00CF3A87"/>
    <w:rsid w:val="00CF434F"/>
    <w:rsid w:val="00CF435E"/>
    <w:rsid w:val="00CF4EF0"/>
    <w:rsid w:val="00CF5294"/>
    <w:rsid w:val="00CF53A8"/>
    <w:rsid w:val="00CF5F8A"/>
    <w:rsid w:val="00CF5FE7"/>
    <w:rsid w:val="00CF6896"/>
    <w:rsid w:val="00CF6BF9"/>
    <w:rsid w:val="00CF71C5"/>
    <w:rsid w:val="00CF7ADC"/>
    <w:rsid w:val="00D00182"/>
    <w:rsid w:val="00D00956"/>
    <w:rsid w:val="00D00D45"/>
    <w:rsid w:val="00D0107A"/>
    <w:rsid w:val="00D0166B"/>
    <w:rsid w:val="00D017BF"/>
    <w:rsid w:val="00D027BA"/>
    <w:rsid w:val="00D0281E"/>
    <w:rsid w:val="00D02B5B"/>
    <w:rsid w:val="00D02D80"/>
    <w:rsid w:val="00D033DC"/>
    <w:rsid w:val="00D03490"/>
    <w:rsid w:val="00D03800"/>
    <w:rsid w:val="00D044AF"/>
    <w:rsid w:val="00D04E97"/>
    <w:rsid w:val="00D0557C"/>
    <w:rsid w:val="00D05A0A"/>
    <w:rsid w:val="00D0617F"/>
    <w:rsid w:val="00D065B7"/>
    <w:rsid w:val="00D065D3"/>
    <w:rsid w:val="00D06C9B"/>
    <w:rsid w:val="00D06E35"/>
    <w:rsid w:val="00D1032D"/>
    <w:rsid w:val="00D104C7"/>
    <w:rsid w:val="00D10690"/>
    <w:rsid w:val="00D10FEF"/>
    <w:rsid w:val="00D11017"/>
    <w:rsid w:val="00D11341"/>
    <w:rsid w:val="00D11A90"/>
    <w:rsid w:val="00D11CD0"/>
    <w:rsid w:val="00D1246B"/>
    <w:rsid w:val="00D125A6"/>
    <w:rsid w:val="00D127B9"/>
    <w:rsid w:val="00D13A57"/>
    <w:rsid w:val="00D14548"/>
    <w:rsid w:val="00D14971"/>
    <w:rsid w:val="00D14C94"/>
    <w:rsid w:val="00D14D21"/>
    <w:rsid w:val="00D15058"/>
    <w:rsid w:val="00D151BA"/>
    <w:rsid w:val="00D158CB"/>
    <w:rsid w:val="00D15CC0"/>
    <w:rsid w:val="00D15D06"/>
    <w:rsid w:val="00D1634F"/>
    <w:rsid w:val="00D16EDF"/>
    <w:rsid w:val="00D1748B"/>
    <w:rsid w:val="00D1751A"/>
    <w:rsid w:val="00D17AE9"/>
    <w:rsid w:val="00D17E5C"/>
    <w:rsid w:val="00D2019B"/>
    <w:rsid w:val="00D20380"/>
    <w:rsid w:val="00D20AE9"/>
    <w:rsid w:val="00D20D28"/>
    <w:rsid w:val="00D211AB"/>
    <w:rsid w:val="00D212FD"/>
    <w:rsid w:val="00D21402"/>
    <w:rsid w:val="00D21B97"/>
    <w:rsid w:val="00D21C4C"/>
    <w:rsid w:val="00D21CD7"/>
    <w:rsid w:val="00D21E0D"/>
    <w:rsid w:val="00D21FCE"/>
    <w:rsid w:val="00D21FEF"/>
    <w:rsid w:val="00D223CA"/>
    <w:rsid w:val="00D22D87"/>
    <w:rsid w:val="00D2327F"/>
    <w:rsid w:val="00D23A0C"/>
    <w:rsid w:val="00D24385"/>
    <w:rsid w:val="00D246D4"/>
    <w:rsid w:val="00D24C41"/>
    <w:rsid w:val="00D24E26"/>
    <w:rsid w:val="00D253E5"/>
    <w:rsid w:val="00D258A5"/>
    <w:rsid w:val="00D25D98"/>
    <w:rsid w:val="00D25DDF"/>
    <w:rsid w:val="00D25ED1"/>
    <w:rsid w:val="00D25F1D"/>
    <w:rsid w:val="00D26091"/>
    <w:rsid w:val="00D26D52"/>
    <w:rsid w:val="00D27497"/>
    <w:rsid w:val="00D27C9A"/>
    <w:rsid w:val="00D3008A"/>
    <w:rsid w:val="00D30398"/>
    <w:rsid w:val="00D309E6"/>
    <w:rsid w:val="00D30FAA"/>
    <w:rsid w:val="00D30FE9"/>
    <w:rsid w:val="00D3174B"/>
    <w:rsid w:val="00D31F47"/>
    <w:rsid w:val="00D32A9E"/>
    <w:rsid w:val="00D32CC5"/>
    <w:rsid w:val="00D33299"/>
    <w:rsid w:val="00D3343D"/>
    <w:rsid w:val="00D336C5"/>
    <w:rsid w:val="00D3383D"/>
    <w:rsid w:val="00D338D7"/>
    <w:rsid w:val="00D342A6"/>
    <w:rsid w:val="00D34B80"/>
    <w:rsid w:val="00D34EBC"/>
    <w:rsid w:val="00D3527D"/>
    <w:rsid w:val="00D35423"/>
    <w:rsid w:val="00D36680"/>
    <w:rsid w:val="00D37133"/>
    <w:rsid w:val="00D37272"/>
    <w:rsid w:val="00D4121B"/>
    <w:rsid w:val="00D4187E"/>
    <w:rsid w:val="00D419A1"/>
    <w:rsid w:val="00D42050"/>
    <w:rsid w:val="00D42E40"/>
    <w:rsid w:val="00D4311F"/>
    <w:rsid w:val="00D433BC"/>
    <w:rsid w:val="00D435CF"/>
    <w:rsid w:val="00D43AFA"/>
    <w:rsid w:val="00D4403B"/>
    <w:rsid w:val="00D445B3"/>
    <w:rsid w:val="00D44AC8"/>
    <w:rsid w:val="00D45185"/>
    <w:rsid w:val="00D454C9"/>
    <w:rsid w:val="00D45CA6"/>
    <w:rsid w:val="00D45D93"/>
    <w:rsid w:val="00D45E4C"/>
    <w:rsid w:val="00D4629C"/>
    <w:rsid w:val="00D464BF"/>
    <w:rsid w:val="00D46539"/>
    <w:rsid w:val="00D466A9"/>
    <w:rsid w:val="00D4676A"/>
    <w:rsid w:val="00D475A0"/>
    <w:rsid w:val="00D47653"/>
    <w:rsid w:val="00D479AB"/>
    <w:rsid w:val="00D47D37"/>
    <w:rsid w:val="00D51095"/>
    <w:rsid w:val="00D51E92"/>
    <w:rsid w:val="00D52612"/>
    <w:rsid w:val="00D529BF"/>
    <w:rsid w:val="00D52C49"/>
    <w:rsid w:val="00D52E78"/>
    <w:rsid w:val="00D5337F"/>
    <w:rsid w:val="00D539E5"/>
    <w:rsid w:val="00D53E26"/>
    <w:rsid w:val="00D53E6F"/>
    <w:rsid w:val="00D5439A"/>
    <w:rsid w:val="00D547E7"/>
    <w:rsid w:val="00D54EF0"/>
    <w:rsid w:val="00D55314"/>
    <w:rsid w:val="00D55394"/>
    <w:rsid w:val="00D55DB2"/>
    <w:rsid w:val="00D576C7"/>
    <w:rsid w:val="00D57FC5"/>
    <w:rsid w:val="00D60975"/>
    <w:rsid w:val="00D60D57"/>
    <w:rsid w:val="00D6149B"/>
    <w:rsid w:val="00D61A79"/>
    <w:rsid w:val="00D61A8F"/>
    <w:rsid w:val="00D6206F"/>
    <w:rsid w:val="00D625B1"/>
    <w:rsid w:val="00D62743"/>
    <w:rsid w:val="00D62864"/>
    <w:rsid w:val="00D62867"/>
    <w:rsid w:val="00D62A0B"/>
    <w:rsid w:val="00D62FE3"/>
    <w:rsid w:val="00D63038"/>
    <w:rsid w:val="00D630E4"/>
    <w:rsid w:val="00D6381B"/>
    <w:rsid w:val="00D63F52"/>
    <w:rsid w:val="00D64285"/>
    <w:rsid w:val="00D64733"/>
    <w:rsid w:val="00D64A12"/>
    <w:rsid w:val="00D64E79"/>
    <w:rsid w:val="00D65154"/>
    <w:rsid w:val="00D65FCB"/>
    <w:rsid w:val="00D66046"/>
    <w:rsid w:val="00D66122"/>
    <w:rsid w:val="00D66688"/>
    <w:rsid w:val="00D66C8C"/>
    <w:rsid w:val="00D67179"/>
    <w:rsid w:val="00D6730A"/>
    <w:rsid w:val="00D67952"/>
    <w:rsid w:val="00D701CC"/>
    <w:rsid w:val="00D70AAB"/>
    <w:rsid w:val="00D712BD"/>
    <w:rsid w:val="00D714B7"/>
    <w:rsid w:val="00D71D13"/>
    <w:rsid w:val="00D7211B"/>
    <w:rsid w:val="00D72911"/>
    <w:rsid w:val="00D7314C"/>
    <w:rsid w:val="00D734CA"/>
    <w:rsid w:val="00D7359D"/>
    <w:rsid w:val="00D736DD"/>
    <w:rsid w:val="00D748F1"/>
    <w:rsid w:val="00D75330"/>
    <w:rsid w:val="00D758D6"/>
    <w:rsid w:val="00D75AC9"/>
    <w:rsid w:val="00D762DA"/>
    <w:rsid w:val="00D7660F"/>
    <w:rsid w:val="00D76639"/>
    <w:rsid w:val="00D7672A"/>
    <w:rsid w:val="00D76B1E"/>
    <w:rsid w:val="00D76FF3"/>
    <w:rsid w:val="00D800C9"/>
    <w:rsid w:val="00D8032B"/>
    <w:rsid w:val="00D80523"/>
    <w:rsid w:val="00D80A55"/>
    <w:rsid w:val="00D80D08"/>
    <w:rsid w:val="00D814FF"/>
    <w:rsid w:val="00D8161C"/>
    <w:rsid w:val="00D81996"/>
    <w:rsid w:val="00D81EE7"/>
    <w:rsid w:val="00D81FBD"/>
    <w:rsid w:val="00D820A9"/>
    <w:rsid w:val="00D82B23"/>
    <w:rsid w:val="00D82D5C"/>
    <w:rsid w:val="00D831D8"/>
    <w:rsid w:val="00D83D2B"/>
    <w:rsid w:val="00D83F43"/>
    <w:rsid w:val="00D84475"/>
    <w:rsid w:val="00D84541"/>
    <w:rsid w:val="00D84C83"/>
    <w:rsid w:val="00D8513D"/>
    <w:rsid w:val="00D85644"/>
    <w:rsid w:val="00D857F5"/>
    <w:rsid w:val="00D85848"/>
    <w:rsid w:val="00D85880"/>
    <w:rsid w:val="00D85AC6"/>
    <w:rsid w:val="00D85D93"/>
    <w:rsid w:val="00D85E4B"/>
    <w:rsid w:val="00D863E0"/>
    <w:rsid w:val="00D871D2"/>
    <w:rsid w:val="00D87D1A"/>
    <w:rsid w:val="00D87EE5"/>
    <w:rsid w:val="00D90502"/>
    <w:rsid w:val="00D9054F"/>
    <w:rsid w:val="00D90C8C"/>
    <w:rsid w:val="00D912F7"/>
    <w:rsid w:val="00D9136E"/>
    <w:rsid w:val="00D91787"/>
    <w:rsid w:val="00D9188F"/>
    <w:rsid w:val="00D91C14"/>
    <w:rsid w:val="00D92A01"/>
    <w:rsid w:val="00D92EC5"/>
    <w:rsid w:val="00D92F70"/>
    <w:rsid w:val="00D9313F"/>
    <w:rsid w:val="00D93634"/>
    <w:rsid w:val="00D93D82"/>
    <w:rsid w:val="00D94185"/>
    <w:rsid w:val="00D94496"/>
    <w:rsid w:val="00D946EC"/>
    <w:rsid w:val="00D94D16"/>
    <w:rsid w:val="00D95FB7"/>
    <w:rsid w:val="00D96036"/>
    <w:rsid w:val="00D9649E"/>
    <w:rsid w:val="00D9661F"/>
    <w:rsid w:val="00D9670C"/>
    <w:rsid w:val="00D96830"/>
    <w:rsid w:val="00D96FFC"/>
    <w:rsid w:val="00D97025"/>
    <w:rsid w:val="00D970B0"/>
    <w:rsid w:val="00D97558"/>
    <w:rsid w:val="00D975C1"/>
    <w:rsid w:val="00D97694"/>
    <w:rsid w:val="00D979FF"/>
    <w:rsid w:val="00D97DFA"/>
    <w:rsid w:val="00D97FB0"/>
    <w:rsid w:val="00DA0169"/>
    <w:rsid w:val="00DA0BD1"/>
    <w:rsid w:val="00DA1299"/>
    <w:rsid w:val="00DA1B61"/>
    <w:rsid w:val="00DA28B5"/>
    <w:rsid w:val="00DA29DE"/>
    <w:rsid w:val="00DA31C3"/>
    <w:rsid w:val="00DA35E9"/>
    <w:rsid w:val="00DA4535"/>
    <w:rsid w:val="00DA4C08"/>
    <w:rsid w:val="00DA4E2D"/>
    <w:rsid w:val="00DA4FE6"/>
    <w:rsid w:val="00DA5102"/>
    <w:rsid w:val="00DA56B1"/>
    <w:rsid w:val="00DA571F"/>
    <w:rsid w:val="00DA5752"/>
    <w:rsid w:val="00DA5F88"/>
    <w:rsid w:val="00DA6D1C"/>
    <w:rsid w:val="00DA71B5"/>
    <w:rsid w:val="00DA7A18"/>
    <w:rsid w:val="00DB05E4"/>
    <w:rsid w:val="00DB09B6"/>
    <w:rsid w:val="00DB0D0A"/>
    <w:rsid w:val="00DB10FD"/>
    <w:rsid w:val="00DB12D2"/>
    <w:rsid w:val="00DB1561"/>
    <w:rsid w:val="00DB182C"/>
    <w:rsid w:val="00DB1834"/>
    <w:rsid w:val="00DB2249"/>
    <w:rsid w:val="00DB234D"/>
    <w:rsid w:val="00DB28CE"/>
    <w:rsid w:val="00DB29E9"/>
    <w:rsid w:val="00DB2BBB"/>
    <w:rsid w:val="00DB3018"/>
    <w:rsid w:val="00DB3953"/>
    <w:rsid w:val="00DB3CB2"/>
    <w:rsid w:val="00DB3F14"/>
    <w:rsid w:val="00DB47C5"/>
    <w:rsid w:val="00DB4DB8"/>
    <w:rsid w:val="00DB55D9"/>
    <w:rsid w:val="00DB5F46"/>
    <w:rsid w:val="00DB61D7"/>
    <w:rsid w:val="00DB73B5"/>
    <w:rsid w:val="00DB7505"/>
    <w:rsid w:val="00DB761E"/>
    <w:rsid w:val="00DC016F"/>
    <w:rsid w:val="00DC0E7B"/>
    <w:rsid w:val="00DC131A"/>
    <w:rsid w:val="00DC197E"/>
    <w:rsid w:val="00DC1B3E"/>
    <w:rsid w:val="00DC1CD0"/>
    <w:rsid w:val="00DC2107"/>
    <w:rsid w:val="00DC2605"/>
    <w:rsid w:val="00DC26B8"/>
    <w:rsid w:val="00DC2A3E"/>
    <w:rsid w:val="00DC4257"/>
    <w:rsid w:val="00DC5D95"/>
    <w:rsid w:val="00DC6355"/>
    <w:rsid w:val="00DD0193"/>
    <w:rsid w:val="00DD05BC"/>
    <w:rsid w:val="00DD0662"/>
    <w:rsid w:val="00DD077E"/>
    <w:rsid w:val="00DD1184"/>
    <w:rsid w:val="00DD1420"/>
    <w:rsid w:val="00DD15AD"/>
    <w:rsid w:val="00DD1733"/>
    <w:rsid w:val="00DD1D2C"/>
    <w:rsid w:val="00DD2352"/>
    <w:rsid w:val="00DD26E7"/>
    <w:rsid w:val="00DD2B33"/>
    <w:rsid w:val="00DD2D3B"/>
    <w:rsid w:val="00DD358F"/>
    <w:rsid w:val="00DD36CD"/>
    <w:rsid w:val="00DD4277"/>
    <w:rsid w:val="00DD4360"/>
    <w:rsid w:val="00DD4530"/>
    <w:rsid w:val="00DD4F0E"/>
    <w:rsid w:val="00DD5118"/>
    <w:rsid w:val="00DD5412"/>
    <w:rsid w:val="00DD54B2"/>
    <w:rsid w:val="00DD5565"/>
    <w:rsid w:val="00DD5BEB"/>
    <w:rsid w:val="00DD5D20"/>
    <w:rsid w:val="00DD5D42"/>
    <w:rsid w:val="00DD6276"/>
    <w:rsid w:val="00DD6A13"/>
    <w:rsid w:val="00DD6A62"/>
    <w:rsid w:val="00DD6B99"/>
    <w:rsid w:val="00DD717A"/>
    <w:rsid w:val="00DD73A0"/>
    <w:rsid w:val="00DD7BF5"/>
    <w:rsid w:val="00DE03B8"/>
    <w:rsid w:val="00DE04DB"/>
    <w:rsid w:val="00DE2029"/>
    <w:rsid w:val="00DE30D0"/>
    <w:rsid w:val="00DE469B"/>
    <w:rsid w:val="00DE4E69"/>
    <w:rsid w:val="00DE516E"/>
    <w:rsid w:val="00DE55B8"/>
    <w:rsid w:val="00DE5653"/>
    <w:rsid w:val="00DE59ED"/>
    <w:rsid w:val="00DE5A23"/>
    <w:rsid w:val="00DE605B"/>
    <w:rsid w:val="00DE6104"/>
    <w:rsid w:val="00DE64FF"/>
    <w:rsid w:val="00DE6D96"/>
    <w:rsid w:val="00DE71C9"/>
    <w:rsid w:val="00DE72C0"/>
    <w:rsid w:val="00DE7752"/>
    <w:rsid w:val="00DE7EDA"/>
    <w:rsid w:val="00DF003F"/>
    <w:rsid w:val="00DF006E"/>
    <w:rsid w:val="00DF065F"/>
    <w:rsid w:val="00DF0BF0"/>
    <w:rsid w:val="00DF0DA3"/>
    <w:rsid w:val="00DF16F5"/>
    <w:rsid w:val="00DF1F66"/>
    <w:rsid w:val="00DF1FD7"/>
    <w:rsid w:val="00DF238A"/>
    <w:rsid w:val="00DF28C8"/>
    <w:rsid w:val="00DF2903"/>
    <w:rsid w:val="00DF2D57"/>
    <w:rsid w:val="00DF3021"/>
    <w:rsid w:val="00DF30F3"/>
    <w:rsid w:val="00DF36D1"/>
    <w:rsid w:val="00DF387E"/>
    <w:rsid w:val="00DF3CA2"/>
    <w:rsid w:val="00DF449A"/>
    <w:rsid w:val="00DF4C85"/>
    <w:rsid w:val="00DF56EC"/>
    <w:rsid w:val="00DF62C5"/>
    <w:rsid w:val="00DF6698"/>
    <w:rsid w:val="00DF6C42"/>
    <w:rsid w:val="00DF753F"/>
    <w:rsid w:val="00DF7D8C"/>
    <w:rsid w:val="00DF7F0B"/>
    <w:rsid w:val="00E00B72"/>
    <w:rsid w:val="00E00F19"/>
    <w:rsid w:val="00E012D3"/>
    <w:rsid w:val="00E01463"/>
    <w:rsid w:val="00E01962"/>
    <w:rsid w:val="00E02097"/>
    <w:rsid w:val="00E024A7"/>
    <w:rsid w:val="00E02CFD"/>
    <w:rsid w:val="00E02F05"/>
    <w:rsid w:val="00E03111"/>
    <w:rsid w:val="00E034FC"/>
    <w:rsid w:val="00E03663"/>
    <w:rsid w:val="00E036A0"/>
    <w:rsid w:val="00E036A8"/>
    <w:rsid w:val="00E0431C"/>
    <w:rsid w:val="00E04459"/>
    <w:rsid w:val="00E04D86"/>
    <w:rsid w:val="00E04E94"/>
    <w:rsid w:val="00E052FC"/>
    <w:rsid w:val="00E057E1"/>
    <w:rsid w:val="00E05840"/>
    <w:rsid w:val="00E05B7D"/>
    <w:rsid w:val="00E05E0A"/>
    <w:rsid w:val="00E060BE"/>
    <w:rsid w:val="00E063FE"/>
    <w:rsid w:val="00E06F7D"/>
    <w:rsid w:val="00E07206"/>
    <w:rsid w:val="00E101D8"/>
    <w:rsid w:val="00E105BC"/>
    <w:rsid w:val="00E11D05"/>
    <w:rsid w:val="00E12400"/>
    <w:rsid w:val="00E12738"/>
    <w:rsid w:val="00E128B4"/>
    <w:rsid w:val="00E1348B"/>
    <w:rsid w:val="00E13693"/>
    <w:rsid w:val="00E13AC5"/>
    <w:rsid w:val="00E13DE0"/>
    <w:rsid w:val="00E13F2D"/>
    <w:rsid w:val="00E13FF9"/>
    <w:rsid w:val="00E14260"/>
    <w:rsid w:val="00E142CF"/>
    <w:rsid w:val="00E14462"/>
    <w:rsid w:val="00E15284"/>
    <w:rsid w:val="00E15AA7"/>
    <w:rsid w:val="00E16138"/>
    <w:rsid w:val="00E1619F"/>
    <w:rsid w:val="00E16A8C"/>
    <w:rsid w:val="00E16C7B"/>
    <w:rsid w:val="00E1714B"/>
    <w:rsid w:val="00E1727D"/>
    <w:rsid w:val="00E17880"/>
    <w:rsid w:val="00E179F6"/>
    <w:rsid w:val="00E17F7A"/>
    <w:rsid w:val="00E20471"/>
    <w:rsid w:val="00E207DD"/>
    <w:rsid w:val="00E2096D"/>
    <w:rsid w:val="00E20F59"/>
    <w:rsid w:val="00E20FCF"/>
    <w:rsid w:val="00E216FE"/>
    <w:rsid w:val="00E22680"/>
    <w:rsid w:val="00E22D1C"/>
    <w:rsid w:val="00E23081"/>
    <w:rsid w:val="00E23105"/>
    <w:rsid w:val="00E23753"/>
    <w:rsid w:val="00E2394D"/>
    <w:rsid w:val="00E23D83"/>
    <w:rsid w:val="00E23F87"/>
    <w:rsid w:val="00E243E5"/>
    <w:rsid w:val="00E24645"/>
    <w:rsid w:val="00E246CA"/>
    <w:rsid w:val="00E24B73"/>
    <w:rsid w:val="00E24DC4"/>
    <w:rsid w:val="00E25EDF"/>
    <w:rsid w:val="00E26717"/>
    <w:rsid w:val="00E26D6F"/>
    <w:rsid w:val="00E26E53"/>
    <w:rsid w:val="00E26E70"/>
    <w:rsid w:val="00E271E5"/>
    <w:rsid w:val="00E2784C"/>
    <w:rsid w:val="00E27E66"/>
    <w:rsid w:val="00E3024F"/>
    <w:rsid w:val="00E306D9"/>
    <w:rsid w:val="00E30C4D"/>
    <w:rsid w:val="00E30C98"/>
    <w:rsid w:val="00E3184F"/>
    <w:rsid w:val="00E31FB9"/>
    <w:rsid w:val="00E322C8"/>
    <w:rsid w:val="00E32324"/>
    <w:rsid w:val="00E32A9B"/>
    <w:rsid w:val="00E32C7F"/>
    <w:rsid w:val="00E33268"/>
    <w:rsid w:val="00E335F1"/>
    <w:rsid w:val="00E34BEC"/>
    <w:rsid w:val="00E35121"/>
    <w:rsid w:val="00E35191"/>
    <w:rsid w:val="00E35F59"/>
    <w:rsid w:val="00E366D9"/>
    <w:rsid w:val="00E36971"/>
    <w:rsid w:val="00E369D3"/>
    <w:rsid w:val="00E36E84"/>
    <w:rsid w:val="00E37565"/>
    <w:rsid w:val="00E37713"/>
    <w:rsid w:val="00E37A75"/>
    <w:rsid w:val="00E37CB9"/>
    <w:rsid w:val="00E3F2F7"/>
    <w:rsid w:val="00E41E64"/>
    <w:rsid w:val="00E428CF"/>
    <w:rsid w:val="00E428E1"/>
    <w:rsid w:val="00E42D5A"/>
    <w:rsid w:val="00E42FFD"/>
    <w:rsid w:val="00E4380C"/>
    <w:rsid w:val="00E43966"/>
    <w:rsid w:val="00E4466E"/>
    <w:rsid w:val="00E4500F"/>
    <w:rsid w:val="00E46326"/>
    <w:rsid w:val="00E46386"/>
    <w:rsid w:val="00E46B39"/>
    <w:rsid w:val="00E46B97"/>
    <w:rsid w:val="00E46DD8"/>
    <w:rsid w:val="00E47384"/>
    <w:rsid w:val="00E476B8"/>
    <w:rsid w:val="00E47701"/>
    <w:rsid w:val="00E47C1F"/>
    <w:rsid w:val="00E47F0A"/>
    <w:rsid w:val="00E47FB6"/>
    <w:rsid w:val="00E506BC"/>
    <w:rsid w:val="00E509C5"/>
    <w:rsid w:val="00E50FB4"/>
    <w:rsid w:val="00E51736"/>
    <w:rsid w:val="00E51EFC"/>
    <w:rsid w:val="00E525E2"/>
    <w:rsid w:val="00E525EF"/>
    <w:rsid w:val="00E52E3B"/>
    <w:rsid w:val="00E53312"/>
    <w:rsid w:val="00E534CF"/>
    <w:rsid w:val="00E54C63"/>
    <w:rsid w:val="00E554DC"/>
    <w:rsid w:val="00E5586E"/>
    <w:rsid w:val="00E5647C"/>
    <w:rsid w:val="00E56A82"/>
    <w:rsid w:val="00E56D8D"/>
    <w:rsid w:val="00E5793B"/>
    <w:rsid w:val="00E57A6C"/>
    <w:rsid w:val="00E57DD2"/>
    <w:rsid w:val="00E57F60"/>
    <w:rsid w:val="00E57F9A"/>
    <w:rsid w:val="00E5A2CC"/>
    <w:rsid w:val="00E604B1"/>
    <w:rsid w:val="00E60D05"/>
    <w:rsid w:val="00E61932"/>
    <w:rsid w:val="00E61A80"/>
    <w:rsid w:val="00E61B95"/>
    <w:rsid w:val="00E6248D"/>
    <w:rsid w:val="00E6266C"/>
    <w:rsid w:val="00E629A9"/>
    <w:rsid w:val="00E62E0C"/>
    <w:rsid w:val="00E62FA5"/>
    <w:rsid w:val="00E63333"/>
    <w:rsid w:val="00E63920"/>
    <w:rsid w:val="00E63FE0"/>
    <w:rsid w:val="00E647B9"/>
    <w:rsid w:val="00E647F6"/>
    <w:rsid w:val="00E64E90"/>
    <w:rsid w:val="00E64F8C"/>
    <w:rsid w:val="00E656A8"/>
    <w:rsid w:val="00E65A4F"/>
    <w:rsid w:val="00E65B90"/>
    <w:rsid w:val="00E65B9B"/>
    <w:rsid w:val="00E65FD4"/>
    <w:rsid w:val="00E66675"/>
    <w:rsid w:val="00E66E06"/>
    <w:rsid w:val="00E67530"/>
    <w:rsid w:val="00E67B88"/>
    <w:rsid w:val="00E67D9E"/>
    <w:rsid w:val="00E67F35"/>
    <w:rsid w:val="00E705E1"/>
    <w:rsid w:val="00E70731"/>
    <w:rsid w:val="00E70FC3"/>
    <w:rsid w:val="00E7129D"/>
    <w:rsid w:val="00E71588"/>
    <w:rsid w:val="00E71E91"/>
    <w:rsid w:val="00E71FD7"/>
    <w:rsid w:val="00E7226A"/>
    <w:rsid w:val="00E72534"/>
    <w:rsid w:val="00E72648"/>
    <w:rsid w:val="00E731A4"/>
    <w:rsid w:val="00E73420"/>
    <w:rsid w:val="00E73856"/>
    <w:rsid w:val="00E738F1"/>
    <w:rsid w:val="00E73BC2"/>
    <w:rsid w:val="00E74CC1"/>
    <w:rsid w:val="00E74D18"/>
    <w:rsid w:val="00E7505C"/>
    <w:rsid w:val="00E755AB"/>
    <w:rsid w:val="00E75778"/>
    <w:rsid w:val="00E75A32"/>
    <w:rsid w:val="00E76C58"/>
    <w:rsid w:val="00E77375"/>
    <w:rsid w:val="00E774F3"/>
    <w:rsid w:val="00E8095F"/>
    <w:rsid w:val="00E80ACA"/>
    <w:rsid w:val="00E81CB4"/>
    <w:rsid w:val="00E81E0D"/>
    <w:rsid w:val="00E824D1"/>
    <w:rsid w:val="00E827F2"/>
    <w:rsid w:val="00E82C96"/>
    <w:rsid w:val="00E82F2E"/>
    <w:rsid w:val="00E8305F"/>
    <w:rsid w:val="00E835F2"/>
    <w:rsid w:val="00E840D8"/>
    <w:rsid w:val="00E841DE"/>
    <w:rsid w:val="00E84685"/>
    <w:rsid w:val="00E8488A"/>
    <w:rsid w:val="00E84FD2"/>
    <w:rsid w:val="00E85327"/>
    <w:rsid w:val="00E8585B"/>
    <w:rsid w:val="00E85CFA"/>
    <w:rsid w:val="00E8646A"/>
    <w:rsid w:val="00E8669C"/>
    <w:rsid w:val="00E877CC"/>
    <w:rsid w:val="00E87F15"/>
    <w:rsid w:val="00E87F41"/>
    <w:rsid w:val="00E90494"/>
    <w:rsid w:val="00E90708"/>
    <w:rsid w:val="00E908A8"/>
    <w:rsid w:val="00E909F9"/>
    <w:rsid w:val="00E90C89"/>
    <w:rsid w:val="00E90D8E"/>
    <w:rsid w:val="00E9219D"/>
    <w:rsid w:val="00E9263F"/>
    <w:rsid w:val="00E92867"/>
    <w:rsid w:val="00E92BDB"/>
    <w:rsid w:val="00E92CC1"/>
    <w:rsid w:val="00E92FF4"/>
    <w:rsid w:val="00E934AC"/>
    <w:rsid w:val="00E93527"/>
    <w:rsid w:val="00E94454"/>
    <w:rsid w:val="00E94704"/>
    <w:rsid w:val="00E94778"/>
    <w:rsid w:val="00E9497E"/>
    <w:rsid w:val="00E94B01"/>
    <w:rsid w:val="00E94B7C"/>
    <w:rsid w:val="00E94CD7"/>
    <w:rsid w:val="00E950D0"/>
    <w:rsid w:val="00E956D8"/>
    <w:rsid w:val="00E95965"/>
    <w:rsid w:val="00E95C5F"/>
    <w:rsid w:val="00E96664"/>
    <w:rsid w:val="00E96D43"/>
    <w:rsid w:val="00E97066"/>
    <w:rsid w:val="00EA00CF"/>
    <w:rsid w:val="00EA01EA"/>
    <w:rsid w:val="00EA0B74"/>
    <w:rsid w:val="00EA0C59"/>
    <w:rsid w:val="00EA0D63"/>
    <w:rsid w:val="00EA11C9"/>
    <w:rsid w:val="00EA1477"/>
    <w:rsid w:val="00EA190B"/>
    <w:rsid w:val="00EA1BA2"/>
    <w:rsid w:val="00EA20D7"/>
    <w:rsid w:val="00EA2129"/>
    <w:rsid w:val="00EA2693"/>
    <w:rsid w:val="00EA2719"/>
    <w:rsid w:val="00EA339D"/>
    <w:rsid w:val="00EA3589"/>
    <w:rsid w:val="00EA36D9"/>
    <w:rsid w:val="00EA3D1E"/>
    <w:rsid w:val="00EA3F15"/>
    <w:rsid w:val="00EA408A"/>
    <w:rsid w:val="00EA4368"/>
    <w:rsid w:val="00EA4CC8"/>
    <w:rsid w:val="00EA583F"/>
    <w:rsid w:val="00EA618B"/>
    <w:rsid w:val="00EA698F"/>
    <w:rsid w:val="00EA6DC7"/>
    <w:rsid w:val="00EA76FB"/>
    <w:rsid w:val="00EA7847"/>
    <w:rsid w:val="00EA78F5"/>
    <w:rsid w:val="00EA7D98"/>
    <w:rsid w:val="00EB02E8"/>
    <w:rsid w:val="00EB052D"/>
    <w:rsid w:val="00EB06AF"/>
    <w:rsid w:val="00EB102D"/>
    <w:rsid w:val="00EB2411"/>
    <w:rsid w:val="00EB262D"/>
    <w:rsid w:val="00EB2676"/>
    <w:rsid w:val="00EB27DC"/>
    <w:rsid w:val="00EB28E9"/>
    <w:rsid w:val="00EB2925"/>
    <w:rsid w:val="00EB2C64"/>
    <w:rsid w:val="00EB308B"/>
    <w:rsid w:val="00EB32CC"/>
    <w:rsid w:val="00EB38FD"/>
    <w:rsid w:val="00EB3905"/>
    <w:rsid w:val="00EB3957"/>
    <w:rsid w:val="00EB3DC3"/>
    <w:rsid w:val="00EB3E10"/>
    <w:rsid w:val="00EB456B"/>
    <w:rsid w:val="00EB465D"/>
    <w:rsid w:val="00EB4C2F"/>
    <w:rsid w:val="00EB5836"/>
    <w:rsid w:val="00EB5DC6"/>
    <w:rsid w:val="00EB686C"/>
    <w:rsid w:val="00EB690E"/>
    <w:rsid w:val="00EB7301"/>
    <w:rsid w:val="00EB73EC"/>
    <w:rsid w:val="00EB73FF"/>
    <w:rsid w:val="00EB7FED"/>
    <w:rsid w:val="00EC0C22"/>
    <w:rsid w:val="00EC0F32"/>
    <w:rsid w:val="00EC139B"/>
    <w:rsid w:val="00EC1516"/>
    <w:rsid w:val="00EC15C0"/>
    <w:rsid w:val="00EC15F5"/>
    <w:rsid w:val="00EC1725"/>
    <w:rsid w:val="00EC1743"/>
    <w:rsid w:val="00EC193A"/>
    <w:rsid w:val="00EC195D"/>
    <w:rsid w:val="00EC1D8D"/>
    <w:rsid w:val="00EC1F0D"/>
    <w:rsid w:val="00EC20AD"/>
    <w:rsid w:val="00EC2760"/>
    <w:rsid w:val="00EC279E"/>
    <w:rsid w:val="00EC2860"/>
    <w:rsid w:val="00EC30C7"/>
    <w:rsid w:val="00EC33FF"/>
    <w:rsid w:val="00EC3812"/>
    <w:rsid w:val="00EC3867"/>
    <w:rsid w:val="00EC398C"/>
    <w:rsid w:val="00EC3994"/>
    <w:rsid w:val="00EC3A7F"/>
    <w:rsid w:val="00EC3F89"/>
    <w:rsid w:val="00EC3FF4"/>
    <w:rsid w:val="00EC44CE"/>
    <w:rsid w:val="00EC4681"/>
    <w:rsid w:val="00EC4BA0"/>
    <w:rsid w:val="00EC50A3"/>
    <w:rsid w:val="00EC526A"/>
    <w:rsid w:val="00EC52BA"/>
    <w:rsid w:val="00EC58CC"/>
    <w:rsid w:val="00EC5D91"/>
    <w:rsid w:val="00EC605E"/>
    <w:rsid w:val="00EC62BF"/>
    <w:rsid w:val="00EC63A2"/>
    <w:rsid w:val="00EC6CEE"/>
    <w:rsid w:val="00EC7784"/>
    <w:rsid w:val="00EC7ED1"/>
    <w:rsid w:val="00ED09E7"/>
    <w:rsid w:val="00ED0B4B"/>
    <w:rsid w:val="00ED13CC"/>
    <w:rsid w:val="00ED1A13"/>
    <w:rsid w:val="00ED1A25"/>
    <w:rsid w:val="00ED1CB5"/>
    <w:rsid w:val="00ED24FA"/>
    <w:rsid w:val="00ED2B27"/>
    <w:rsid w:val="00ED2E7A"/>
    <w:rsid w:val="00ED3744"/>
    <w:rsid w:val="00ED384A"/>
    <w:rsid w:val="00ED4091"/>
    <w:rsid w:val="00ED5040"/>
    <w:rsid w:val="00ED671F"/>
    <w:rsid w:val="00ED68C2"/>
    <w:rsid w:val="00ED6F18"/>
    <w:rsid w:val="00ED6FCB"/>
    <w:rsid w:val="00ED777C"/>
    <w:rsid w:val="00ED7998"/>
    <w:rsid w:val="00ED7B57"/>
    <w:rsid w:val="00EE005D"/>
    <w:rsid w:val="00EE02B5"/>
    <w:rsid w:val="00EE05C7"/>
    <w:rsid w:val="00EE07A4"/>
    <w:rsid w:val="00EE08D8"/>
    <w:rsid w:val="00EE0C00"/>
    <w:rsid w:val="00EE1613"/>
    <w:rsid w:val="00EE195C"/>
    <w:rsid w:val="00EE2446"/>
    <w:rsid w:val="00EE2A4D"/>
    <w:rsid w:val="00EE2DE6"/>
    <w:rsid w:val="00EE2E6E"/>
    <w:rsid w:val="00EE3342"/>
    <w:rsid w:val="00EE346B"/>
    <w:rsid w:val="00EE4017"/>
    <w:rsid w:val="00EE4338"/>
    <w:rsid w:val="00EE45B6"/>
    <w:rsid w:val="00EE4727"/>
    <w:rsid w:val="00EE495D"/>
    <w:rsid w:val="00EE4D12"/>
    <w:rsid w:val="00EE5A32"/>
    <w:rsid w:val="00EE5C43"/>
    <w:rsid w:val="00EE5D8E"/>
    <w:rsid w:val="00EE5F19"/>
    <w:rsid w:val="00EE5F53"/>
    <w:rsid w:val="00EE61C4"/>
    <w:rsid w:val="00EE642E"/>
    <w:rsid w:val="00EE669E"/>
    <w:rsid w:val="00EE6AC6"/>
    <w:rsid w:val="00EE6C20"/>
    <w:rsid w:val="00EE6EA6"/>
    <w:rsid w:val="00EF00E8"/>
    <w:rsid w:val="00EF056C"/>
    <w:rsid w:val="00EF07CC"/>
    <w:rsid w:val="00EF0890"/>
    <w:rsid w:val="00EF092A"/>
    <w:rsid w:val="00EF0CF7"/>
    <w:rsid w:val="00EF10A0"/>
    <w:rsid w:val="00EF18EB"/>
    <w:rsid w:val="00EF1A65"/>
    <w:rsid w:val="00EF1C57"/>
    <w:rsid w:val="00EF267E"/>
    <w:rsid w:val="00EF2889"/>
    <w:rsid w:val="00EF4188"/>
    <w:rsid w:val="00EF42A5"/>
    <w:rsid w:val="00EF437F"/>
    <w:rsid w:val="00EF44C1"/>
    <w:rsid w:val="00EF5258"/>
    <w:rsid w:val="00EF5EDF"/>
    <w:rsid w:val="00EF688B"/>
    <w:rsid w:val="00EF6A79"/>
    <w:rsid w:val="00EF72EA"/>
    <w:rsid w:val="00F002BB"/>
    <w:rsid w:val="00F00BFC"/>
    <w:rsid w:val="00F01479"/>
    <w:rsid w:val="00F01599"/>
    <w:rsid w:val="00F01623"/>
    <w:rsid w:val="00F02118"/>
    <w:rsid w:val="00F021FA"/>
    <w:rsid w:val="00F02452"/>
    <w:rsid w:val="00F0245F"/>
    <w:rsid w:val="00F02A06"/>
    <w:rsid w:val="00F02B99"/>
    <w:rsid w:val="00F02DE1"/>
    <w:rsid w:val="00F03886"/>
    <w:rsid w:val="00F03D53"/>
    <w:rsid w:val="00F04669"/>
    <w:rsid w:val="00F04F10"/>
    <w:rsid w:val="00F04FDC"/>
    <w:rsid w:val="00F06407"/>
    <w:rsid w:val="00F0684F"/>
    <w:rsid w:val="00F06940"/>
    <w:rsid w:val="00F06A0D"/>
    <w:rsid w:val="00F06A30"/>
    <w:rsid w:val="00F06A8B"/>
    <w:rsid w:val="00F0701F"/>
    <w:rsid w:val="00F0759E"/>
    <w:rsid w:val="00F07AEE"/>
    <w:rsid w:val="00F07C01"/>
    <w:rsid w:val="00F07C3E"/>
    <w:rsid w:val="00F07CB1"/>
    <w:rsid w:val="00F1020D"/>
    <w:rsid w:val="00F10371"/>
    <w:rsid w:val="00F1047C"/>
    <w:rsid w:val="00F10497"/>
    <w:rsid w:val="00F1060C"/>
    <w:rsid w:val="00F107A3"/>
    <w:rsid w:val="00F10A38"/>
    <w:rsid w:val="00F10CE7"/>
    <w:rsid w:val="00F1137C"/>
    <w:rsid w:val="00F11BF8"/>
    <w:rsid w:val="00F1215D"/>
    <w:rsid w:val="00F126DF"/>
    <w:rsid w:val="00F12768"/>
    <w:rsid w:val="00F127DC"/>
    <w:rsid w:val="00F1378D"/>
    <w:rsid w:val="00F1452F"/>
    <w:rsid w:val="00F14658"/>
    <w:rsid w:val="00F146E3"/>
    <w:rsid w:val="00F1566E"/>
    <w:rsid w:val="00F15827"/>
    <w:rsid w:val="00F1634D"/>
    <w:rsid w:val="00F16A43"/>
    <w:rsid w:val="00F16AD2"/>
    <w:rsid w:val="00F16B3D"/>
    <w:rsid w:val="00F1725F"/>
    <w:rsid w:val="00F17865"/>
    <w:rsid w:val="00F17A77"/>
    <w:rsid w:val="00F2204C"/>
    <w:rsid w:val="00F229A8"/>
    <w:rsid w:val="00F231F5"/>
    <w:rsid w:val="00F23217"/>
    <w:rsid w:val="00F232D8"/>
    <w:rsid w:val="00F23FAA"/>
    <w:rsid w:val="00F263AC"/>
    <w:rsid w:val="00F2672A"/>
    <w:rsid w:val="00F26A17"/>
    <w:rsid w:val="00F26A5F"/>
    <w:rsid w:val="00F27D02"/>
    <w:rsid w:val="00F27DFA"/>
    <w:rsid w:val="00F30ACA"/>
    <w:rsid w:val="00F30EAC"/>
    <w:rsid w:val="00F30EC5"/>
    <w:rsid w:val="00F311EF"/>
    <w:rsid w:val="00F316DA"/>
    <w:rsid w:val="00F31727"/>
    <w:rsid w:val="00F317DC"/>
    <w:rsid w:val="00F31DA0"/>
    <w:rsid w:val="00F322AB"/>
    <w:rsid w:val="00F324D4"/>
    <w:rsid w:val="00F32504"/>
    <w:rsid w:val="00F3266C"/>
    <w:rsid w:val="00F3282B"/>
    <w:rsid w:val="00F32954"/>
    <w:rsid w:val="00F32BC3"/>
    <w:rsid w:val="00F33135"/>
    <w:rsid w:val="00F3382D"/>
    <w:rsid w:val="00F3382F"/>
    <w:rsid w:val="00F33FD5"/>
    <w:rsid w:val="00F341B2"/>
    <w:rsid w:val="00F3483F"/>
    <w:rsid w:val="00F34BA2"/>
    <w:rsid w:val="00F34FA8"/>
    <w:rsid w:val="00F35536"/>
    <w:rsid w:val="00F359D2"/>
    <w:rsid w:val="00F35D29"/>
    <w:rsid w:val="00F35D47"/>
    <w:rsid w:val="00F35FE7"/>
    <w:rsid w:val="00F3640D"/>
    <w:rsid w:val="00F36956"/>
    <w:rsid w:val="00F36DD4"/>
    <w:rsid w:val="00F37301"/>
    <w:rsid w:val="00F37376"/>
    <w:rsid w:val="00F377AB"/>
    <w:rsid w:val="00F378B3"/>
    <w:rsid w:val="00F378CD"/>
    <w:rsid w:val="00F37F56"/>
    <w:rsid w:val="00F40471"/>
    <w:rsid w:val="00F40543"/>
    <w:rsid w:val="00F4097C"/>
    <w:rsid w:val="00F409A3"/>
    <w:rsid w:val="00F40B4E"/>
    <w:rsid w:val="00F40BC0"/>
    <w:rsid w:val="00F4104D"/>
    <w:rsid w:val="00F416AB"/>
    <w:rsid w:val="00F41754"/>
    <w:rsid w:val="00F41992"/>
    <w:rsid w:val="00F42085"/>
    <w:rsid w:val="00F42347"/>
    <w:rsid w:val="00F4253D"/>
    <w:rsid w:val="00F42A3E"/>
    <w:rsid w:val="00F43B85"/>
    <w:rsid w:val="00F43EB2"/>
    <w:rsid w:val="00F4459B"/>
    <w:rsid w:val="00F44DBE"/>
    <w:rsid w:val="00F44ED8"/>
    <w:rsid w:val="00F45502"/>
    <w:rsid w:val="00F460D7"/>
    <w:rsid w:val="00F46780"/>
    <w:rsid w:val="00F468DE"/>
    <w:rsid w:val="00F476D6"/>
    <w:rsid w:val="00F47912"/>
    <w:rsid w:val="00F50288"/>
    <w:rsid w:val="00F51009"/>
    <w:rsid w:val="00F51652"/>
    <w:rsid w:val="00F51B36"/>
    <w:rsid w:val="00F51D89"/>
    <w:rsid w:val="00F521DD"/>
    <w:rsid w:val="00F52935"/>
    <w:rsid w:val="00F52CA8"/>
    <w:rsid w:val="00F533D5"/>
    <w:rsid w:val="00F53993"/>
    <w:rsid w:val="00F53C63"/>
    <w:rsid w:val="00F53C76"/>
    <w:rsid w:val="00F53CA2"/>
    <w:rsid w:val="00F54897"/>
    <w:rsid w:val="00F54B6B"/>
    <w:rsid w:val="00F55579"/>
    <w:rsid w:val="00F559A3"/>
    <w:rsid w:val="00F55B5F"/>
    <w:rsid w:val="00F55BAC"/>
    <w:rsid w:val="00F55D0C"/>
    <w:rsid w:val="00F55DB1"/>
    <w:rsid w:val="00F5615C"/>
    <w:rsid w:val="00F56B29"/>
    <w:rsid w:val="00F6064C"/>
    <w:rsid w:val="00F60C56"/>
    <w:rsid w:val="00F60F5B"/>
    <w:rsid w:val="00F61006"/>
    <w:rsid w:val="00F615A7"/>
    <w:rsid w:val="00F61891"/>
    <w:rsid w:val="00F61B28"/>
    <w:rsid w:val="00F61BAA"/>
    <w:rsid w:val="00F61C75"/>
    <w:rsid w:val="00F620E6"/>
    <w:rsid w:val="00F620FB"/>
    <w:rsid w:val="00F6282F"/>
    <w:rsid w:val="00F62FCF"/>
    <w:rsid w:val="00F63295"/>
    <w:rsid w:val="00F63561"/>
    <w:rsid w:val="00F636F4"/>
    <w:rsid w:val="00F63C7C"/>
    <w:rsid w:val="00F64064"/>
    <w:rsid w:val="00F6448A"/>
    <w:rsid w:val="00F64B1D"/>
    <w:rsid w:val="00F64FAE"/>
    <w:rsid w:val="00F656F8"/>
    <w:rsid w:val="00F657B5"/>
    <w:rsid w:val="00F6596A"/>
    <w:rsid w:val="00F65E0F"/>
    <w:rsid w:val="00F65F39"/>
    <w:rsid w:val="00F664A1"/>
    <w:rsid w:val="00F66C38"/>
    <w:rsid w:val="00F67121"/>
    <w:rsid w:val="00F675E0"/>
    <w:rsid w:val="00F676C2"/>
    <w:rsid w:val="00F67993"/>
    <w:rsid w:val="00F67CF8"/>
    <w:rsid w:val="00F67DDB"/>
    <w:rsid w:val="00F7189E"/>
    <w:rsid w:val="00F71A08"/>
    <w:rsid w:val="00F71DB0"/>
    <w:rsid w:val="00F7232D"/>
    <w:rsid w:val="00F72445"/>
    <w:rsid w:val="00F7244E"/>
    <w:rsid w:val="00F72561"/>
    <w:rsid w:val="00F725DE"/>
    <w:rsid w:val="00F72890"/>
    <w:rsid w:val="00F72985"/>
    <w:rsid w:val="00F72FAF"/>
    <w:rsid w:val="00F7333A"/>
    <w:rsid w:val="00F73B2E"/>
    <w:rsid w:val="00F73C82"/>
    <w:rsid w:val="00F73DF5"/>
    <w:rsid w:val="00F74302"/>
    <w:rsid w:val="00F745CD"/>
    <w:rsid w:val="00F74F1A"/>
    <w:rsid w:val="00F75460"/>
    <w:rsid w:val="00F758AF"/>
    <w:rsid w:val="00F75E75"/>
    <w:rsid w:val="00F76015"/>
    <w:rsid w:val="00F764A9"/>
    <w:rsid w:val="00F768A5"/>
    <w:rsid w:val="00F77819"/>
    <w:rsid w:val="00F77D2D"/>
    <w:rsid w:val="00F77F46"/>
    <w:rsid w:val="00F8070B"/>
    <w:rsid w:val="00F8087E"/>
    <w:rsid w:val="00F809AE"/>
    <w:rsid w:val="00F813A6"/>
    <w:rsid w:val="00F821A3"/>
    <w:rsid w:val="00F82F2B"/>
    <w:rsid w:val="00F82F80"/>
    <w:rsid w:val="00F83515"/>
    <w:rsid w:val="00F8359B"/>
    <w:rsid w:val="00F83B5D"/>
    <w:rsid w:val="00F83EAD"/>
    <w:rsid w:val="00F8406C"/>
    <w:rsid w:val="00F84322"/>
    <w:rsid w:val="00F843CB"/>
    <w:rsid w:val="00F845CE"/>
    <w:rsid w:val="00F84F52"/>
    <w:rsid w:val="00F851DD"/>
    <w:rsid w:val="00F85999"/>
    <w:rsid w:val="00F85B9D"/>
    <w:rsid w:val="00F85E5B"/>
    <w:rsid w:val="00F861E2"/>
    <w:rsid w:val="00F86397"/>
    <w:rsid w:val="00F86730"/>
    <w:rsid w:val="00F86E81"/>
    <w:rsid w:val="00F86F07"/>
    <w:rsid w:val="00F875E5"/>
    <w:rsid w:val="00F87C21"/>
    <w:rsid w:val="00F90831"/>
    <w:rsid w:val="00F90984"/>
    <w:rsid w:val="00F90AC5"/>
    <w:rsid w:val="00F90D09"/>
    <w:rsid w:val="00F90D7C"/>
    <w:rsid w:val="00F919F2"/>
    <w:rsid w:val="00F91B47"/>
    <w:rsid w:val="00F9272D"/>
    <w:rsid w:val="00F9278D"/>
    <w:rsid w:val="00F93111"/>
    <w:rsid w:val="00F9314A"/>
    <w:rsid w:val="00F93BB7"/>
    <w:rsid w:val="00F93DB8"/>
    <w:rsid w:val="00F93E1D"/>
    <w:rsid w:val="00F940B2"/>
    <w:rsid w:val="00F94144"/>
    <w:rsid w:val="00F94403"/>
    <w:rsid w:val="00F94BF3"/>
    <w:rsid w:val="00F94C08"/>
    <w:rsid w:val="00F956D8"/>
    <w:rsid w:val="00F9575C"/>
    <w:rsid w:val="00F95AA4"/>
    <w:rsid w:val="00F95CA0"/>
    <w:rsid w:val="00F95E76"/>
    <w:rsid w:val="00F95E9F"/>
    <w:rsid w:val="00F964DC"/>
    <w:rsid w:val="00F96953"/>
    <w:rsid w:val="00F96FDE"/>
    <w:rsid w:val="00F97587"/>
    <w:rsid w:val="00F976AF"/>
    <w:rsid w:val="00F977AE"/>
    <w:rsid w:val="00F979D8"/>
    <w:rsid w:val="00F97DE3"/>
    <w:rsid w:val="00FA00EA"/>
    <w:rsid w:val="00FA0D87"/>
    <w:rsid w:val="00FA1308"/>
    <w:rsid w:val="00FA1E11"/>
    <w:rsid w:val="00FA2174"/>
    <w:rsid w:val="00FA22EE"/>
    <w:rsid w:val="00FA329F"/>
    <w:rsid w:val="00FA364F"/>
    <w:rsid w:val="00FA3FAD"/>
    <w:rsid w:val="00FA42E2"/>
    <w:rsid w:val="00FA51EB"/>
    <w:rsid w:val="00FA5269"/>
    <w:rsid w:val="00FA539A"/>
    <w:rsid w:val="00FA553D"/>
    <w:rsid w:val="00FA63BC"/>
    <w:rsid w:val="00FA69C4"/>
    <w:rsid w:val="00FA6DD8"/>
    <w:rsid w:val="00FA712C"/>
    <w:rsid w:val="00FA71DF"/>
    <w:rsid w:val="00FA72DE"/>
    <w:rsid w:val="00FA738A"/>
    <w:rsid w:val="00FA7895"/>
    <w:rsid w:val="00FA7D26"/>
    <w:rsid w:val="00FA7D32"/>
    <w:rsid w:val="00FB05AF"/>
    <w:rsid w:val="00FB0656"/>
    <w:rsid w:val="00FB06B8"/>
    <w:rsid w:val="00FB07FF"/>
    <w:rsid w:val="00FB0FB8"/>
    <w:rsid w:val="00FB1190"/>
    <w:rsid w:val="00FB162A"/>
    <w:rsid w:val="00FB18F9"/>
    <w:rsid w:val="00FB1952"/>
    <w:rsid w:val="00FB21E0"/>
    <w:rsid w:val="00FB22C5"/>
    <w:rsid w:val="00FB230A"/>
    <w:rsid w:val="00FB2574"/>
    <w:rsid w:val="00FB2B40"/>
    <w:rsid w:val="00FB392A"/>
    <w:rsid w:val="00FB4262"/>
    <w:rsid w:val="00FB4448"/>
    <w:rsid w:val="00FB489B"/>
    <w:rsid w:val="00FB4B32"/>
    <w:rsid w:val="00FB4C4B"/>
    <w:rsid w:val="00FB51CF"/>
    <w:rsid w:val="00FB5332"/>
    <w:rsid w:val="00FB583D"/>
    <w:rsid w:val="00FB5E0F"/>
    <w:rsid w:val="00FB61FD"/>
    <w:rsid w:val="00FB672B"/>
    <w:rsid w:val="00FB6AE5"/>
    <w:rsid w:val="00FB6DAD"/>
    <w:rsid w:val="00FB7013"/>
    <w:rsid w:val="00FB75B3"/>
    <w:rsid w:val="00FB7AD6"/>
    <w:rsid w:val="00FC0D17"/>
    <w:rsid w:val="00FC0F9B"/>
    <w:rsid w:val="00FC0FA8"/>
    <w:rsid w:val="00FC159C"/>
    <w:rsid w:val="00FC18C0"/>
    <w:rsid w:val="00FC19EB"/>
    <w:rsid w:val="00FC1D95"/>
    <w:rsid w:val="00FC2541"/>
    <w:rsid w:val="00FC2567"/>
    <w:rsid w:val="00FC282C"/>
    <w:rsid w:val="00FC2BDA"/>
    <w:rsid w:val="00FC2CC1"/>
    <w:rsid w:val="00FC2F46"/>
    <w:rsid w:val="00FC32D5"/>
    <w:rsid w:val="00FC35F5"/>
    <w:rsid w:val="00FC54D2"/>
    <w:rsid w:val="00FC5783"/>
    <w:rsid w:val="00FC58EF"/>
    <w:rsid w:val="00FC5909"/>
    <w:rsid w:val="00FC60EF"/>
    <w:rsid w:val="00FC6411"/>
    <w:rsid w:val="00FC6C1E"/>
    <w:rsid w:val="00FC7008"/>
    <w:rsid w:val="00FC70C8"/>
    <w:rsid w:val="00FC7672"/>
    <w:rsid w:val="00FC7BC6"/>
    <w:rsid w:val="00FC7F46"/>
    <w:rsid w:val="00FD00A6"/>
    <w:rsid w:val="00FD0253"/>
    <w:rsid w:val="00FD0268"/>
    <w:rsid w:val="00FD0336"/>
    <w:rsid w:val="00FD0507"/>
    <w:rsid w:val="00FD0596"/>
    <w:rsid w:val="00FD0908"/>
    <w:rsid w:val="00FD2246"/>
    <w:rsid w:val="00FD293F"/>
    <w:rsid w:val="00FD324C"/>
    <w:rsid w:val="00FD33DF"/>
    <w:rsid w:val="00FD35F6"/>
    <w:rsid w:val="00FD3803"/>
    <w:rsid w:val="00FD490D"/>
    <w:rsid w:val="00FD4BA7"/>
    <w:rsid w:val="00FD4FD1"/>
    <w:rsid w:val="00FD51AE"/>
    <w:rsid w:val="00FD5A87"/>
    <w:rsid w:val="00FD5EF4"/>
    <w:rsid w:val="00FD61F9"/>
    <w:rsid w:val="00FD6A12"/>
    <w:rsid w:val="00FD6B80"/>
    <w:rsid w:val="00FD6CB0"/>
    <w:rsid w:val="00FD7326"/>
    <w:rsid w:val="00FD749D"/>
    <w:rsid w:val="00FD7839"/>
    <w:rsid w:val="00FE01AB"/>
    <w:rsid w:val="00FE0418"/>
    <w:rsid w:val="00FE0A61"/>
    <w:rsid w:val="00FE1AD8"/>
    <w:rsid w:val="00FE22C7"/>
    <w:rsid w:val="00FE2501"/>
    <w:rsid w:val="00FE2D63"/>
    <w:rsid w:val="00FE3866"/>
    <w:rsid w:val="00FE39D7"/>
    <w:rsid w:val="00FE4363"/>
    <w:rsid w:val="00FE43EA"/>
    <w:rsid w:val="00FE4640"/>
    <w:rsid w:val="00FE491B"/>
    <w:rsid w:val="00FE4A49"/>
    <w:rsid w:val="00FE4B2B"/>
    <w:rsid w:val="00FE597A"/>
    <w:rsid w:val="00FE6ACB"/>
    <w:rsid w:val="00FE6BF9"/>
    <w:rsid w:val="00FE6C42"/>
    <w:rsid w:val="00FE70A8"/>
    <w:rsid w:val="00FE7539"/>
    <w:rsid w:val="00FE79C3"/>
    <w:rsid w:val="00FF00BC"/>
    <w:rsid w:val="00FF013A"/>
    <w:rsid w:val="00FF04C4"/>
    <w:rsid w:val="00FF0599"/>
    <w:rsid w:val="00FF0A36"/>
    <w:rsid w:val="00FF1596"/>
    <w:rsid w:val="00FF1927"/>
    <w:rsid w:val="00FF19B8"/>
    <w:rsid w:val="00FF1A6C"/>
    <w:rsid w:val="00FF1A9B"/>
    <w:rsid w:val="00FF2035"/>
    <w:rsid w:val="00FF23B0"/>
    <w:rsid w:val="00FF250B"/>
    <w:rsid w:val="00FF2E0D"/>
    <w:rsid w:val="00FF3E09"/>
    <w:rsid w:val="00FF3E36"/>
    <w:rsid w:val="00FF493C"/>
    <w:rsid w:val="00FF4E38"/>
    <w:rsid w:val="00FF4E44"/>
    <w:rsid w:val="00FF5433"/>
    <w:rsid w:val="00FF54F8"/>
    <w:rsid w:val="00FF5B6F"/>
    <w:rsid w:val="00FF6B77"/>
    <w:rsid w:val="00FF7B1C"/>
    <w:rsid w:val="01090CBD"/>
    <w:rsid w:val="01221AA1"/>
    <w:rsid w:val="01297C06"/>
    <w:rsid w:val="012BA8E3"/>
    <w:rsid w:val="01507669"/>
    <w:rsid w:val="0163E512"/>
    <w:rsid w:val="0180635B"/>
    <w:rsid w:val="018BC7D1"/>
    <w:rsid w:val="01938DBD"/>
    <w:rsid w:val="019A72F2"/>
    <w:rsid w:val="01E0207A"/>
    <w:rsid w:val="01EF968E"/>
    <w:rsid w:val="01FCD57F"/>
    <w:rsid w:val="01FE1FCD"/>
    <w:rsid w:val="020F6C6E"/>
    <w:rsid w:val="0274836E"/>
    <w:rsid w:val="028BA409"/>
    <w:rsid w:val="028C6F93"/>
    <w:rsid w:val="029A5915"/>
    <w:rsid w:val="02AF40FF"/>
    <w:rsid w:val="02B09241"/>
    <w:rsid w:val="02DD4EC7"/>
    <w:rsid w:val="02E8C97E"/>
    <w:rsid w:val="02E94325"/>
    <w:rsid w:val="02F2D594"/>
    <w:rsid w:val="030781A5"/>
    <w:rsid w:val="0328FE61"/>
    <w:rsid w:val="035A97CB"/>
    <w:rsid w:val="03628E57"/>
    <w:rsid w:val="03664A11"/>
    <w:rsid w:val="039A28BB"/>
    <w:rsid w:val="03C85D14"/>
    <w:rsid w:val="03CCC662"/>
    <w:rsid w:val="04530603"/>
    <w:rsid w:val="049D62F5"/>
    <w:rsid w:val="04B2F166"/>
    <w:rsid w:val="04B6AFE1"/>
    <w:rsid w:val="04D2AF05"/>
    <w:rsid w:val="0517DF20"/>
    <w:rsid w:val="05262F32"/>
    <w:rsid w:val="054A9FE8"/>
    <w:rsid w:val="0550F7D4"/>
    <w:rsid w:val="05571EF8"/>
    <w:rsid w:val="0598AA7D"/>
    <w:rsid w:val="05FB2904"/>
    <w:rsid w:val="060B2DC8"/>
    <w:rsid w:val="06160FED"/>
    <w:rsid w:val="062EAC5A"/>
    <w:rsid w:val="06379474"/>
    <w:rsid w:val="067ECF79"/>
    <w:rsid w:val="0685F245"/>
    <w:rsid w:val="06B4CD5F"/>
    <w:rsid w:val="06DBF958"/>
    <w:rsid w:val="06DF3D4B"/>
    <w:rsid w:val="06EBE5CA"/>
    <w:rsid w:val="06F3F9DB"/>
    <w:rsid w:val="0710B3B8"/>
    <w:rsid w:val="074CFBD0"/>
    <w:rsid w:val="075F6D0C"/>
    <w:rsid w:val="077A1597"/>
    <w:rsid w:val="077B0071"/>
    <w:rsid w:val="079489CF"/>
    <w:rsid w:val="07AEE668"/>
    <w:rsid w:val="07D6F7A8"/>
    <w:rsid w:val="07EA7695"/>
    <w:rsid w:val="0813F226"/>
    <w:rsid w:val="0816BF08"/>
    <w:rsid w:val="081C1BB3"/>
    <w:rsid w:val="082AB020"/>
    <w:rsid w:val="08335976"/>
    <w:rsid w:val="083A6C5C"/>
    <w:rsid w:val="084727F5"/>
    <w:rsid w:val="0857A003"/>
    <w:rsid w:val="0878019B"/>
    <w:rsid w:val="087BEC7A"/>
    <w:rsid w:val="089967D8"/>
    <w:rsid w:val="08B647FD"/>
    <w:rsid w:val="08B64F93"/>
    <w:rsid w:val="08D6D784"/>
    <w:rsid w:val="08E9BA11"/>
    <w:rsid w:val="08EBCE79"/>
    <w:rsid w:val="090E764C"/>
    <w:rsid w:val="092614BB"/>
    <w:rsid w:val="09303F3D"/>
    <w:rsid w:val="09568D73"/>
    <w:rsid w:val="09642205"/>
    <w:rsid w:val="097565D3"/>
    <w:rsid w:val="09983589"/>
    <w:rsid w:val="09ED93FC"/>
    <w:rsid w:val="0A28DD3D"/>
    <w:rsid w:val="0A2D4DD5"/>
    <w:rsid w:val="0A36CD9A"/>
    <w:rsid w:val="0A377B02"/>
    <w:rsid w:val="0A55D85C"/>
    <w:rsid w:val="0A6120B6"/>
    <w:rsid w:val="0A6E15F5"/>
    <w:rsid w:val="0A89F183"/>
    <w:rsid w:val="0AAEEE91"/>
    <w:rsid w:val="0AB5E426"/>
    <w:rsid w:val="0ADB9780"/>
    <w:rsid w:val="0ADDD318"/>
    <w:rsid w:val="0AE5CD1A"/>
    <w:rsid w:val="0B0E26C1"/>
    <w:rsid w:val="0BC25B14"/>
    <w:rsid w:val="0BCF6368"/>
    <w:rsid w:val="0BDDDA80"/>
    <w:rsid w:val="0BF373F2"/>
    <w:rsid w:val="0BF961AA"/>
    <w:rsid w:val="0BFA3753"/>
    <w:rsid w:val="0BFBABC6"/>
    <w:rsid w:val="0C3B2D12"/>
    <w:rsid w:val="0C556CAE"/>
    <w:rsid w:val="0C64D18F"/>
    <w:rsid w:val="0C937BA6"/>
    <w:rsid w:val="0CB93A7E"/>
    <w:rsid w:val="0CD28DEA"/>
    <w:rsid w:val="0CF37FAD"/>
    <w:rsid w:val="0D41F8AC"/>
    <w:rsid w:val="0D4226E3"/>
    <w:rsid w:val="0D528292"/>
    <w:rsid w:val="0D6022F6"/>
    <w:rsid w:val="0D68159C"/>
    <w:rsid w:val="0D7F949E"/>
    <w:rsid w:val="0D90F79F"/>
    <w:rsid w:val="0D927C6D"/>
    <w:rsid w:val="0D964769"/>
    <w:rsid w:val="0D96AA3D"/>
    <w:rsid w:val="0DA3FBCF"/>
    <w:rsid w:val="0DB36D41"/>
    <w:rsid w:val="0DB3D303"/>
    <w:rsid w:val="0DBB82BD"/>
    <w:rsid w:val="0E0A5D73"/>
    <w:rsid w:val="0E0D0C4E"/>
    <w:rsid w:val="0E127712"/>
    <w:rsid w:val="0E13CACE"/>
    <w:rsid w:val="0E1BFB36"/>
    <w:rsid w:val="0E2260E8"/>
    <w:rsid w:val="0E253B1E"/>
    <w:rsid w:val="0E3E32E9"/>
    <w:rsid w:val="0E6AD955"/>
    <w:rsid w:val="0E90C435"/>
    <w:rsid w:val="0E94F7ED"/>
    <w:rsid w:val="0EF5064A"/>
    <w:rsid w:val="0F257540"/>
    <w:rsid w:val="0F318B8B"/>
    <w:rsid w:val="0F7577A2"/>
    <w:rsid w:val="0FB3890C"/>
    <w:rsid w:val="0FBED15B"/>
    <w:rsid w:val="0FDAE552"/>
    <w:rsid w:val="104173BA"/>
    <w:rsid w:val="104EC43A"/>
    <w:rsid w:val="10716250"/>
    <w:rsid w:val="108FBDB4"/>
    <w:rsid w:val="10B6D4AA"/>
    <w:rsid w:val="10D6A663"/>
    <w:rsid w:val="10F35631"/>
    <w:rsid w:val="10F38719"/>
    <w:rsid w:val="11065099"/>
    <w:rsid w:val="110FA17B"/>
    <w:rsid w:val="1120FBE6"/>
    <w:rsid w:val="11543E00"/>
    <w:rsid w:val="115ADB07"/>
    <w:rsid w:val="116114C7"/>
    <w:rsid w:val="1177BFE7"/>
    <w:rsid w:val="117A771A"/>
    <w:rsid w:val="11F07045"/>
    <w:rsid w:val="11F5E20A"/>
    <w:rsid w:val="120A4900"/>
    <w:rsid w:val="120AFEFC"/>
    <w:rsid w:val="121C47E9"/>
    <w:rsid w:val="121DE936"/>
    <w:rsid w:val="1240F8CE"/>
    <w:rsid w:val="12465962"/>
    <w:rsid w:val="125370A4"/>
    <w:rsid w:val="12609E48"/>
    <w:rsid w:val="127C26DC"/>
    <w:rsid w:val="12959708"/>
    <w:rsid w:val="129795A4"/>
    <w:rsid w:val="12A8C414"/>
    <w:rsid w:val="12F1C387"/>
    <w:rsid w:val="12F85AB3"/>
    <w:rsid w:val="12FF7492"/>
    <w:rsid w:val="131502C6"/>
    <w:rsid w:val="13211D7E"/>
    <w:rsid w:val="132A5C78"/>
    <w:rsid w:val="1357D42E"/>
    <w:rsid w:val="135D0CA3"/>
    <w:rsid w:val="1392129B"/>
    <w:rsid w:val="1392DBA5"/>
    <w:rsid w:val="1397F285"/>
    <w:rsid w:val="13B45F31"/>
    <w:rsid w:val="13DBFB36"/>
    <w:rsid w:val="13FB493A"/>
    <w:rsid w:val="142D0972"/>
    <w:rsid w:val="144AD4B6"/>
    <w:rsid w:val="14959A61"/>
    <w:rsid w:val="149CABA1"/>
    <w:rsid w:val="14C3207D"/>
    <w:rsid w:val="14D89ADA"/>
    <w:rsid w:val="14E4DF3E"/>
    <w:rsid w:val="14E9B1F3"/>
    <w:rsid w:val="150EC354"/>
    <w:rsid w:val="15184E70"/>
    <w:rsid w:val="152D6229"/>
    <w:rsid w:val="1540EED9"/>
    <w:rsid w:val="15454D83"/>
    <w:rsid w:val="154875CE"/>
    <w:rsid w:val="1553436F"/>
    <w:rsid w:val="157592EC"/>
    <w:rsid w:val="1585F04D"/>
    <w:rsid w:val="15AE3921"/>
    <w:rsid w:val="15BDA82E"/>
    <w:rsid w:val="15FFCB84"/>
    <w:rsid w:val="160B7393"/>
    <w:rsid w:val="1630F514"/>
    <w:rsid w:val="166A2EEF"/>
    <w:rsid w:val="16837224"/>
    <w:rsid w:val="168BC079"/>
    <w:rsid w:val="16B0DD19"/>
    <w:rsid w:val="16D439B7"/>
    <w:rsid w:val="16F9C734"/>
    <w:rsid w:val="1712F1A1"/>
    <w:rsid w:val="1713280A"/>
    <w:rsid w:val="174320FB"/>
    <w:rsid w:val="1746F844"/>
    <w:rsid w:val="1761ECF8"/>
    <w:rsid w:val="176C71BE"/>
    <w:rsid w:val="176D3BB2"/>
    <w:rsid w:val="178E0CA4"/>
    <w:rsid w:val="18704BA8"/>
    <w:rsid w:val="18722DC6"/>
    <w:rsid w:val="18873731"/>
    <w:rsid w:val="18A42C58"/>
    <w:rsid w:val="18AFE3C3"/>
    <w:rsid w:val="18E559C6"/>
    <w:rsid w:val="18F43BD2"/>
    <w:rsid w:val="18FB02EC"/>
    <w:rsid w:val="19012CE6"/>
    <w:rsid w:val="19028B7A"/>
    <w:rsid w:val="1905AC7C"/>
    <w:rsid w:val="191CC784"/>
    <w:rsid w:val="19329122"/>
    <w:rsid w:val="194634F2"/>
    <w:rsid w:val="198974B0"/>
    <w:rsid w:val="198E4254"/>
    <w:rsid w:val="19CDCC41"/>
    <w:rsid w:val="19D8B440"/>
    <w:rsid w:val="1A106C9C"/>
    <w:rsid w:val="1A380333"/>
    <w:rsid w:val="1A3849C1"/>
    <w:rsid w:val="1A4BB61A"/>
    <w:rsid w:val="1A694E6F"/>
    <w:rsid w:val="1A82AE03"/>
    <w:rsid w:val="1A847E44"/>
    <w:rsid w:val="1ABD0DA8"/>
    <w:rsid w:val="1AC2BF8B"/>
    <w:rsid w:val="1AC977D7"/>
    <w:rsid w:val="1AE2ECCE"/>
    <w:rsid w:val="1AFC2007"/>
    <w:rsid w:val="1B054787"/>
    <w:rsid w:val="1B06C527"/>
    <w:rsid w:val="1B1AD851"/>
    <w:rsid w:val="1B206D13"/>
    <w:rsid w:val="1B22529E"/>
    <w:rsid w:val="1B356CB6"/>
    <w:rsid w:val="1B5043F2"/>
    <w:rsid w:val="1B74AD8A"/>
    <w:rsid w:val="1BEEB229"/>
    <w:rsid w:val="1BFEFE88"/>
    <w:rsid w:val="1C036E68"/>
    <w:rsid w:val="1C3D2649"/>
    <w:rsid w:val="1C88E696"/>
    <w:rsid w:val="1C997AFD"/>
    <w:rsid w:val="1CA42C6E"/>
    <w:rsid w:val="1CE6B4E2"/>
    <w:rsid w:val="1D42D906"/>
    <w:rsid w:val="1D4DDD15"/>
    <w:rsid w:val="1D784BDE"/>
    <w:rsid w:val="1D9E9A60"/>
    <w:rsid w:val="1DC8F0E9"/>
    <w:rsid w:val="1DD3192C"/>
    <w:rsid w:val="1E126C66"/>
    <w:rsid w:val="1E3773FA"/>
    <w:rsid w:val="1E37A441"/>
    <w:rsid w:val="1E3B6894"/>
    <w:rsid w:val="1E4D356D"/>
    <w:rsid w:val="1E90872E"/>
    <w:rsid w:val="1E931609"/>
    <w:rsid w:val="1E999ACF"/>
    <w:rsid w:val="1E99ADC2"/>
    <w:rsid w:val="1EA64836"/>
    <w:rsid w:val="1EB1353B"/>
    <w:rsid w:val="1EEB8041"/>
    <w:rsid w:val="1EF58490"/>
    <w:rsid w:val="1F02B4ED"/>
    <w:rsid w:val="1F076B0D"/>
    <w:rsid w:val="1F0B23BF"/>
    <w:rsid w:val="1F2D48FE"/>
    <w:rsid w:val="1F6057C2"/>
    <w:rsid w:val="1F804329"/>
    <w:rsid w:val="1FB0F07F"/>
    <w:rsid w:val="1FC4A228"/>
    <w:rsid w:val="1FD10CD3"/>
    <w:rsid w:val="1FD9D44B"/>
    <w:rsid w:val="2000153B"/>
    <w:rsid w:val="2042D37F"/>
    <w:rsid w:val="20452865"/>
    <w:rsid w:val="2047B24E"/>
    <w:rsid w:val="204E00E1"/>
    <w:rsid w:val="205FA1BF"/>
    <w:rsid w:val="2085F7AA"/>
    <w:rsid w:val="208BC361"/>
    <w:rsid w:val="20928362"/>
    <w:rsid w:val="209B6D87"/>
    <w:rsid w:val="209C5068"/>
    <w:rsid w:val="20AE5E0A"/>
    <w:rsid w:val="20B59BB7"/>
    <w:rsid w:val="20B88A50"/>
    <w:rsid w:val="210ED48F"/>
    <w:rsid w:val="215289BE"/>
    <w:rsid w:val="218EFFF8"/>
    <w:rsid w:val="21E17F53"/>
    <w:rsid w:val="21F8098D"/>
    <w:rsid w:val="222C900B"/>
    <w:rsid w:val="223DD36B"/>
    <w:rsid w:val="224C409C"/>
    <w:rsid w:val="2255B004"/>
    <w:rsid w:val="2266AE54"/>
    <w:rsid w:val="228325BB"/>
    <w:rsid w:val="22AD4837"/>
    <w:rsid w:val="22B7E6AC"/>
    <w:rsid w:val="22BDCF35"/>
    <w:rsid w:val="22F53AC2"/>
    <w:rsid w:val="22FA4672"/>
    <w:rsid w:val="22FB3878"/>
    <w:rsid w:val="2304071D"/>
    <w:rsid w:val="231BB5FB"/>
    <w:rsid w:val="234511E6"/>
    <w:rsid w:val="2370F49F"/>
    <w:rsid w:val="238046E2"/>
    <w:rsid w:val="23ADCD42"/>
    <w:rsid w:val="240044F8"/>
    <w:rsid w:val="240247EB"/>
    <w:rsid w:val="2425FDCC"/>
    <w:rsid w:val="242980E1"/>
    <w:rsid w:val="245447BA"/>
    <w:rsid w:val="246B10E3"/>
    <w:rsid w:val="247C93A4"/>
    <w:rsid w:val="247F132C"/>
    <w:rsid w:val="24A6B0F5"/>
    <w:rsid w:val="24C11CEB"/>
    <w:rsid w:val="250B5734"/>
    <w:rsid w:val="25607EED"/>
    <w:rsid w:val="25777D0C"/>
    <w:rsid w:val="257E67F1"/>
    <w:rsid w:val="258D65B3"/>
    <w:rsid w:val="25DA76E5"/>
    <w:rsid w:val="25F62A37"/>
    <w:rsid w:val="25F82B3C"/>
    <w:rsid w:val="2619E9C0"/>
    <w:rsid w:val="26209387"/>
    <w:rsid w:val="26438FFA"/>
    <w:rsid w:val="26496F9D"/>
    <w:rsid w:val="2650CF72"/>
    <w:rsid w:val="265E6202"/>
    <w:rsid w:val="267D9537"/>
    <w:rsid w:val="2685B2C7"/>
    <w:rsid w:val="268B32B2"/>
    <w:rsid w:val="26B3F45B"/>
    <w:rsid w:val="26D51EFB"/>
    <w:rsid w:val="26F68FE9"/>
    <w:rsid w:val="26FB17A7"/>
    <w:rsid w:val="26FB9D93"/>
    <w:rsid w:val="270FAE18"/>
    <w:rsid w:val="272410F9"/>
    <w:rsid w:val="272C572D"/>
    <w:rsid w:val="2735C199"/>
    <w:rsid w:val="275391D6"/>
    <w:rsid w:val="2760EC56"/>
    <w:rsid w:val="27A6CE47"/>
    <w:rsid w:val="27ADAD42"/>
    <w:rsid w:val="27C2C680"/>
    <w:rsid w:val="282E7E24"/>
    <w:rsid w:val="2836C624"/>
    <w:rsid w:val="28575D29"/>
    <w:rsid w:val="28586C4C"/>
    <w:rsid w:val="288AC0DA"/>
    <w:rsid w:val="288CE954"/>
    <w:rsid w:val="288E64D7"/>
    <w:rsid w:val="2893452B"/>
    <w:rsid w:val="28A444A3"/>
    <w:rsid w:val="29201790"/>
    <w:rsid w:val="29235EA8"/>
    <w:rsid w:val="293CC05B"/>
    <w:rsid w:val="295E0165"/>
    <w:rsid w:val="296327F5"/>
    <w:rsid w:val="299541D6"/>
    <w:rsid w:val="29B07312"/>
    <w:rsid w:val="29C28F85"/>
    <w:rsid w:val="29C310A9"/>
    <w:rsid w:val="29CA4A11"/>
    <w:rsid w:val="29D8D0AD"/>
    <w:rsid w:val="2A1E2055"/>
    <w:rsid w:val="2A220DE0"/>
    <w:rsid w:val="2A2FEC14"/>
    <w:rsid w:val="2A549BEC"/>
    <w:rsid w:val="2A57036A"/>
    <w:rsid w:val="2A5E8610"/>
    <w:rsid w:val="2AA9B612"/>
    <w:rsid w:val="2ACAD821"/>
    <w:rsid w:val="2AFC8C59"/>
    <w:rsid w:val="2B006D94"/>
    <w:rsid w:val="2B09E55B"/>
    <w:rsid w:val="2B24382F"/>
    <w:rsid w:val="2B39A1E1"/>
    <w:rsid w:val="2B70C277"/>
    <w:rsid w:val="2B81997D"/>
    <w:rsid w:val="2B8AE5CE"/>
    <w:rsid w:val="2B93C917"/>
    <w:rsid w:val="2BAC7901"/>
    <w:rsid w:val="2BB62B7E"/>
    <w:rsid w:val="2BC64416"/>
    <w:rsid w:val="2BD6C495"/>
    <w:rsid w:val="2BE689FF"/>
    <w:rsid w:val="2BFE9978"/>
    <w:rsid w:val="2C013754"/>
    <w:rsid w:val="2C16551F"/>
    <w:rsid w:val="2C1C3BEA"/>
    <w:rsid w:val="2C2284FA"/>
    <w:rsid w:val="2C289C24"/>
    <w:rsid w:val="2C349BB6"/>
    <w:rsid w:val="2C38AA74"/>
    <w:rsid w:val="2C3F2315"/>
    <w:rsid w:val="2C691830"/>
    <w:rsid w:val="2CA66BEC"/>
    <w:rsid w:val="2CD3D834"/>
    <w:rsid w:val="2CD9A08C"/>
    <w:rsid w:val="2D23726D"/>
    <w:rsid w:val="2D494F98"/>
    <w:rsid w:val="2D63803C"/>
    <w:rsid w:val="2D740436"/>
    <w:rsid w:val="2D8B6C65"/>
    <w:rsid w:val="2D8F7597"/>
    <w:rsid w:val="2D9578EE"/>
    <w:rsid w:val="2DA1BA07"/>
    <w:rsid w:val="2DC26015"/>
    <w:rsid w:val="2DC8569E"/>
    <w:rsid w:val="2E012F90"/>
    <w:rsid w:val="2E1ED727"/>
    <w:rsid w:val="2E1FD343"/>
    <w:rsid w:val="2E3F1AD8"/>
    <w:rsid w:val="2E405B0B"/>
    <w:rsid w:val="2E6B0A75"/>
    <w:rsid w:val="2E74E2E8"/>
    <w:rsid w:val="2EE49233"/>
    <w:rsid w:val="2EE5186F"/>
    <w:rsid w:val="2EE52038"/>
    <w:rsid w:val="2EE8EDAF"/>
    <w:rsid w:val="2F088401"/>
    <w:rsid w:val="2F14C813"/>
    <w:rsid w:val="2F2304BE"/>
    <w:rsid w:val="2F2935DD"/>
    <w:rsid w:val="2F59ABE2"/>
    <w:rsid w:val="2F64C4A1"/>
    <w:rsid w:val="2F87BE3C"/>
    <w:rsid w:val="2F8C10DC"/>
    <w:rsid w:val="2F8E7258"/>
    <w:rsid w:val="2FB60E63"/>
    <w:rsid w:val="2FE25443"/>
    <w:rsid w:val="301C5911"/>
    <w:rsid w:val="3069E7DF"/>
    <w:rsid w:val="30A7F893"/>
    <w:rsid w:val="30B326EE"/>
    <w:rsid w:val="30B728EB"/>
    <w:rsid w:val="30D100B0"/>
    <w:rsid w:val="30ED3E89"/>
    <w:rsid w:val="31120930"/>
    <w:rsid w:val="3112E46A"/>
    <w:rsid w:val="313C1AB8"/>
    <w:rsid w:val="31831D30"/>
    <w:rsid w:val="318A0F1C"/>
    <w:rsid w:val="319707D3"/>
    <w:rsid w:val="31A82391"/>
    <w:rsid w:val="31B1528C"/>
    <w:rsid w:val="31D2CCD7"/>
    <w:rsid w:val="31DCDBE3"/>
    <w:rsid w:val="31F7C16C"/>
    <w:rsid w:val="3204AC5F"/>
    <w:rsid w:val="32161341"/>
    <w:rsid w:val="323993BB"/>
    <w:rsid w:val="3247FF91"/>
    <w:rsid w:val="32520602"/>
    <w:rsid w:val="3259FF3F"/>
    <w:rsid w:val="327111E0"/>
    <w:rsid w:val="328D89B7"/>
    <w:rsid w:val="32AFCB08"/>
    <w:rsid w:val="32B742E3"/>
    <w:rsid w:val="32CE886E"/>
    <w:rsid w:val="32E17D84"/>
    <w:rsid w:val="33360011"/>
    <w:rsid w:val="333773EA"/>
    <w:rsid w:val="3337C782"/>
    <w:rsid w:val="333A38D3"/>
    <w:rsid w:val="337E3099"/>
    <w:rsid w:val="338FF218"/>
    <w:rsid w:val="33913418"/>
    <w:rsid w:val="33BA25A5"/>
    <w:rsid w:val="3419DF3D"/>
    <w:rsid w:val="342B5031"/>
    <w:rsid w:val="344EA5BE"/>
    <w:rsid w:val="3462DBFC"/>
    <w:rsid w:val="346F27ED"/>
    <w:rsid w:val="3481FF7F"/>
    <w:rsid w:val="349416E2"/>
    <w:rsid w:val="34B8670D"/>
    <w:rsid w:val="350C9D28"/>
    <w:rsid w:val="351F31ED"/>
    <w:rsid w:val="3532F5DA"/>
    <w:rsid w:val="354761F2"/>
    <w:rsid w:val="355C71F6"/>
    <w:rsid w:val="355FB388"/>
    <w:rsid w:val="356803CE"/>
    <w:rsid w:val="359B7866"/>
    <w:rsid w:val="365BFB14"/>
    <w:rsid w:val="365F5363"/>
    <w:rsid w:val="369260A7"/>
    <w:rsid w:val="36ABD760"/>
    <w:rsid w:val="36E555C7"/>
    <w:rsid w:val="36F8A958"/>
    <w:rsid w:val="37023420"/>
    <w:rsid w:val="370442C2"/>
    <w:rsid w:val="37144A2C"/>
    <w:rsid w:val="3751C5D3"/>
    <w:rsid w:val="37589125"/>
    <w:rsid w:val="3770FDB9"/>
    <w:rsid w:val="37758BF6"/>
    <w:rsid w:val="3777070B"/>
    <w:rsid w:val="3780BCD2"/>
    <w:rsid w:val="37A57268"/>
    <w:rsid w:val="37BF27D2"/>
    <w:rsid w:val="37CB6226"/>
    <w:rsid w:val="37E7ABA7"/>
    <w:rsid w:val="3816181C"/>
    <w:rsid w:val="38172EF4"/>
    <w:rsid w:val="381C9F76"/>
    <w:rsid w:val="383B48BC"/>
    <w:rsid w:val="38415FEF"/>
    <w:rsid w:val="38510165"/>
    <w:rsid w:val="385B7636"/>
    <w:rsid w:val="389CDBCE"/>
    <w:rsid w:val="38A671A7"/>
    <w:rsid w:val="38A9E0CE"/>
    <w:rsid w:val="38CC9C68"/>
    <w:rsid w:val="38D9F546"/>
    <w:rsid w:val="38E290D2"/>
    <w:rsid w:val="38E48C3F"/>
    <w:rsid w:val="38EE2489"/>
    <w:rsid w:val="38FF7158"/>
    <w:rsid w:val="3912D797"/>
    <w:rsid w:val="3925F69F"/>
    <w:rsid w:val="394F6292"/>
    <w:rsid w:val="3955C047"/>
    <w:rsid w:val="3960793D"/>
    <w:rsid w:val="3964FB0A"/>
    <w:rsid w:val="39B421F3"/>
    <w:rsid w:val="39E23EAF"/>
    <w:rsid w:val="39F91253"/>
    <w:rsid w:val="3A0F99F0"/>
    <w:rsid w:val="3A107816"/>
    <w:rsid w:val="3A3A8977"/>
    <w:rsid w:val="3A3BDCCB"/>
    <w:rsid w:val="3A3DAD45"/>
    <w:rsid w:val="3A3DBED0"/>
    <w:rsid w:val="3A7BD63F"/>
    <w:rsid w:val="3A7F5568"/>
    <w:rsid w:val="3A8CD564"/>
    <w:rsid w:val="3A92E1CC"/>
    <w:rsid w:val="3A92E364"/>
    <w:rsid w:val="3A9405FE"/>
    <w:rsid w:val="3A9E23CF"/>
    <w:rsid w:val="3AB60BED"/>
    <w:rsid w:val="3AE46C78"/>
    <w:rsid w:val="3AFF08DD"/>
    <w:rsid w:val="3B2772F5"/>
    <w:rsid w:val="3B2A2653"/>
    <w:rsid w:val="3B40D7D7"/>
    <w:rsid w:val="3B723CDC"/>
    <w:rsid w:val="3B8A479A"/>
    <w:rsid w:val="3BA84655"/>
    <w:rsid w:val="3BB6F7AB"/>
    <w:rsid w:val="3BC57CA0"/>
    <w:rsid w:val="3BD404AB"/>
    <w:rsid w:val="3BD652EA"/>
    <w:rsid w:val="3BEEE29F"/>
    <w:rsid w:val="3BF06D5F"/>
    <w:rsid w:val="3C0C6145"/>
    <w:rsid w:val="3C27F8C8"/>
    <w:rsid w:val="3C2B8B44"/>
    <w:rsid w:val="3C3C406C"/>
    <w:rsid w:val="3C596FEF"/>
    <w:rsid w:val="3C838D1F"/>
    <w:rsid w:val="3C963FD9"/>
    <w:rsid w:val="3CA14147"/>
    <w:rsid w:val="3CCE6492"/>
    <w:rsid w:val="3CDD0F5B"/>
    <w:rsid w:val="3CE4253B"/>
    <w:rsid w:val="3CF0FB54"/>
    <w:rsid w:val="3D05FBB4"/>
    <w:rsid w:val="3D23ED78"/>
    <w:rsid w:val="3D3514B4"/>
    <w:rsid w:val="3DBA925D"/>
    <w:rsid w:val="3DC1302C"/>
    <w:rsid w:val="3DE68B80"/>
    <w:rsid w:val="3DF64327"/>
    <w:rsid w:val="3E11F5B5"/>
    <w:rsid w:val="3E12402D"/>
    <w:rsid w:val="3E26FBFC"/>
    <w:rsid w:val="3E2B6137"/>
    <w:rsid w:val="3E2C350B"/>
    <w:rsid w:val="3E493F53"/>
    <w:rsid w:val="3E545BD8"/>
    <w:rsid w:val="3E55A824"/>
    <w:rsid w:val="3E627BE1"/>
    <w:rsid w:val="3E703BFC"/>
    <w:rsid w:val="3EDE68E6"/>
    <w:rsid w:val="3EEE7699"/>
    <w:rsid w:val="3F09CDF1"/>
    <w:rsid w:val="3F14600A"/>
    <w:rsid w:val="3F18E2A7"/>
    <w:rsid w:val="3F28E7F0"/>
    <w:rsid w:val="3F3B28BA"/>
    <w:rsid w:val="3F3DD934"/>
    <w:rsid w:val="3F42B123"/>
    <w:rsid w:val="3FDD2849"/>
    <w:rsid w:val="3FDD463F"/>
    <w:rsid w:val="3FFF3904"/>
    <w:rsid w:val="40084F63"/>
    <w:rsid w:val="4014B2B6"/>
    <w:rsid w:val="401D49F2"/>
    <w:rsid w:val="4061B18E"/>
    <w:rsid w:val="40738186"/>
    <w:rsid w:val="4077DF89"/>
    <w:rsid w:val="4077E38C"/>
    <w:rsid w:val="40806CEC"/>
    <w:rsid w:val="40A047B3"/>
    <w:rsid w:val="40B1C4BE"/>
    <w:rsid w:val="40E8F1A6"/>
    <w:rsid w:val="4160C424"/>
    <w:rsid w:val="41743C6A"/>
    <w:rsid w:val="417EB42E"/>
    <w:rsid w:val="41F114E8"/>
    <w:rsid w:val="420E343F"/>
    <w:rsid w:val="422503BA"/>
    <w:rsid w:val="42679E23"/>
    <w:rsid w:val="427DDA0C"/>
    <w:rsid w:val="427ED564"/>
    <w:rsid w:val="429A2893"/>
    <w:rsid w:val="429B229C"/>
    <w:rsid w:val="42A1E383"/>
    <w:rsid w:val="42A5F25A"/>
    <w:rsid w:val="42C717D9"/>
    <w:rsid w:val="42F3A748"/>
    <w:rsid w:val="434177EC"/>
    <w:rsid w:val="43476025"/>
    <w:rsid w:val="435B6B9E"/>
    <w:rsid w:val="437D761C"/>
    <w:rsid w:val="4384BFC8"/>
    <w:rsid w:val="439F093C"/>
    <w:rsid w:val="43A78993"/>
    <w:rsid w:val="43B4271D"/>
    <w:rsid w:val="43C293C3"/>
    <w:rsid w:val="43D069EF"/>
    <w:rsid w:val="43D50CDA"/>
    <w:rsid w:val="43FDE4DF"/>
    <w:rsid w:val="44049324"/>
    <w:rsid w:val="442E0CBC"/>
    <w:rsid w:val="44504A96"/>
    <w:rsid w:val="445B8511"/>
    <w:rsid w:val="446AD2C9"/>
    <w:rsid w:val="448BC374"/>
    <w:rsid w:val="44B6FC41"/>
    <w:rsid w:val="44C35943"/>
    <w:rsid w:val="44D18508"/>
    <w:rsid w:val="44D35318"/>
    <w:rsid w:val="44DE3D00"/>
    <w:rsid w:val="44F1C8B0"/>
    <w:rsid w:val="4525B095"/>
    <w:rsid w:val="45293AAA"/>
    <w:rsid w:val="456FE2BA"/>
    <w:rsid w:val="45706756"/>
    <w:rsid w:val="4577948E"/>
    <w:rsid w:val="459AF40D"/>
    <w:rsid w:val="459CC059"/>
    <w:rsid w:val="45B63A5B"/>
    <w:rsid w:val="45CBBBBB"/>
    <w:rsid w:val="45D8D88C"/>
    <w:rsid w:val="45E22811"/>
    <w:rsid w:val="460045A6"/>
    <w:rsid w:val="46531C1F"/>
    <w:rsid w:val="4682366B"/>
    <w:rsid w:val="468DEDC6"/>
    <w:rsid w:val="468F69F8"/>
    <w:rsid w:val="46A37039"/>
    <w:rsid w:val="46B70D20"/>
    <w:rsid w:val="46EBB738"/>
    <w:rsid w:val="470448DE"/>
    <w:rsid w:val="47C2D425"/>
    <w:rsid w:val="47DAB759"/>
    <w:rsid w:val="47F180E8"/>
    <w:rsid w:val="47F64BE1"/>
    <w:rsid w:val="480491F3"/>
    <w:rsid w:val="4812A40C"/>
    <w:rsid w:val="482E8F02"/>
    <w:rsid w:val="483F55A5"/>
    <w:rsid w:val="4841BC6E"/>
    <w:rsid w:val="4844A6A8"/>
    <w:rsid w:val="48591BB5"/>
    <w:rsid w:val="48732EF0"/>
    <w:rsid w:val="488F6827"/>
    <w:rsid w:val="48B1DBB7"/>
    <w:rsid w:val="48BF2731"/>
    <w:rsid w:val="48DE7CD3"/>
    <w:rsid w:val="48EE839F"/>
    <w:rsid w:val="4908A3C4"/>
    <w:rsid w:val="493C39F9"/>
    <w:rsid w:val="493FD641"/>
    <w:rsid w:val="49509D90"/>
    <w:rsid w:val="495F17B5"/>
    <w:rsid w:val="49C222EB"/>
    <w:rsid w:val="49C41B67"/>
    <w:rsid w:val="49F0F865"/>
    <w:rsid w:val="49F4A27D"/>
    <w:rsid w:val="49F6F543"/>
    <w:rsid w:val="4A25CE41"/>
    <w:rsid w:val="4A392031"/>
    <w:rsid w:val="4A85CD17"/>
    <w:rsid w:val="4AC96331"/>
    <w:rsid w:val="4AE95B2A"/>
    <w:rsid w:val="4AF3E16A"/>
    <w:rsid w:val="4B5417C9"/>
    <w:rsid w:val="4B587380"/>
    <w:rsid w:val="4B5DB051"/>
    <w:rsid w:val="4B929F60"/>
    <w:rsid w:val="4B929FB2"/>
    <w:rsid w:val="4B9D20FF"/>
    <w:rsid w:val="4BAF81EB"/>
    <w:rsid w:val="4BCF27D8"/>
    <w:rsid w:val="4C20084D"/>
    <w:rsid w:val="4C344C1A"/>
    <w:rsid w:val="4C34C247"/>
    <w:rsid w:val="4C70BE58"/>
    <w:rsid w:val="4CB1FC0E"/>
    <w:rsid w:val="4CB6CB6F"/>
    <w:rsid w:val="4CC4044A"/>
    <w:rsid w:val="4CEC8F34"/>
    <w:rsid w:val="4D01A721"/>
    <w:rsid w:val="4D14664B"/>
    <w:rsid w:val="4D15400B"/>
    <w:rsid w:val="4D2E23DA"/>
    <w:rsid w:val="4D5102AF"/>
    <w:rsid w:val="4D5765B8"/>
    <w:rsid w:val="4D656E4B"/>
    <w:rsid w:val="4D6CD0EC"/>
    <w:rsid w:val="4D765BBE"/>
    <w:rsid w:val="4D8E11C7"/>
    <w:rsid w:val="4DCF8861"/>
    <w:rsid w:val="4DE867E6"/>
    <w:rsid w:val="4E009E0C"/>
    <w:rsid w:val="4E253FC6"/>
    <w:rsid w:val="4E29DA4F"/>
    <w:rsid w:val="4E313314"/>
    <w:rsid w:val="4E444103"/>
    <w:rsid w:val="4E7189EA"/>
    <w:rsid w:val="4E78FE1C"/>
    <w:rsid w:val="4E8205E5"/>
    <w:rsid w:val="4EAA915E"/>
    <w:rsid w:val="4EBAABAD"/>
    <w:rsid w:val="4F3423CF"/>
    <w:rsid w:val="4F479268"/>
    <w:rsid w:val="4F61A502"/>
    <w:rsid w:val="4F705827"/>
    <w:rsid w:val="4F86837E"/>
    <w:rsid w:val="4FA2BBD4"/>
    <w:rsid w:val="4FC6E5DF"/>
    <w:rsid w:val="4FC701B6"/>
    <w:rsid w:val="501BD9C3"/>
    <w:rsid w:val="50665BC4"/>
    <w:rsid w:val="5066E2FF"/>
    <w:rsid w:val="5069D363"/>
    <w:rsid w:val="50729F2D"/>
    <w:rsid w:val="508BDC9E"/>
    <w:rsid w:val="5095B680"/>
    <w:rsid w:val="50AA6D93"/>
    <w:rsid w:val="50ADA2CC"/>
    <w:rsid w:val="50B33078"/>
    <w:rsid w:val="50C981E1"/>
    <w:rsid w:val="50F44BC7"/>
    <w:rsid w:val="514AE7CA"/>
    <w:rsid w:val="515451E0"/>
    <w:rsid w:val="51564283"/>
    <w:rsid w:val="5158C8CB"/>
    <w:rsid w:val="517D56D8"/>
    <w:rsid w:val="5195F503"/>
    <w:rsid w:val="51AB39B0"/>
    <w:rsid w:val="51BF8E66"/>
    <w:rsid w:val="51DD74E2"/>
    <w:rsid w:val="51E5DCB5"/>
    <w:rsid w:val="51EB1450"/>
    <w:rsid w:val="521352C5"/>
    <w:rsid w:val="5217AB00"/>
    <w:rsid w:val="522C7C21"/>
    <w:rsid w:val="522CE726"/>
    <w:rsid w:val="5244463D"/>
    <w:rsid w:val="5270AD22"/>
    <w:rsid w:val="529D6E66"/>
    <w:rsid w:val="52B08844"/>
    <w:rsid w:val="52C3945C"/>
    <w:rsid w:val="52CFC3BD"/>
    <w:rsid w:val="52E2FE03"/>
    <w:rsid w:val="530477B4"/>
    <w:rsid w:val="5322AF22"/>
    <w:rsid w:val="5324CB98"/>
    <w:rsid w:val="5325E2AB"/>
    <w:rsid w:val="532678DF"/>
    <w:rsid w:val="532A89AD"/>
    <w:rsid w:val="532D1C5A"/>
    <w:rsid w:val="5341F0A3"/>
    <w:rsid w:val="5373C4C7"/>
    <w:rsid w:val="53A3BEB7"/>
    <w:rsid w:val="53B023DF"/>
    <w:rsid w:val="53B5CE40"/>
    <w:rsid w:val="53D34875"/>
    <w:rsid w:val="5403435F"/>
    <w:rsid w:val="54141DA7"/>
    <w:rsid w:val="544216F2"/>
    <w:rsid w:val="546292E7"/>
    <w:rsid w:val="54721859"/>
    <w:rsid w:val="5484E264"/>
    <w:rsid w:val="54A18D45"/>
    <w:rsid w:val="54CB3FBB"/>
    <w:rsid w:val="54CFC22F"/>
    <w:rsid w:val="54E28DA1"/>
    <w:rsid w:val="551241BD"/>
    <w:rsid w:val="5515CE53"/>
    <w:rsid w:val="55875F73"/>
    <w:rsid w:val="559C0878"/>
    <w:rsid w:val="55A51377"/>
    <w:rsid w:val="55A909D0"/>
    <w:rsid w:val="55B6D9BE"/>
    <w:rsid w:val="55BFEDEC"/>
    <w:rsid w:val="55D39760"/>
    <w:rsid w:val="55D41107"/>
    <w:rsid w:val="55E63FCC"/>
    <w:rsid w:val="561DB6AD"/>
    <w:rsid w:val="56282900"/>
    <w:rsid w:val="564EFA19"/>
    <w:rsid w:val="5685AC95"/>
    <w:rsid w:val="56C877B7"/>
    <w:rsid w:val="56F94D91"/>
    <w:rsid w:val="56FA612A"/>
    <w:rsid w:val="57125C8D"/>
    <w:rsid w:val="5744C22F"/>
    <w:rsid w:val="575A58BB"/>
    <w:rsid w:val="575E2A0F"/>
    <w:rsid w:val="578C1EA8"/>
    <w:rsid w:val="5795F74E"/>
    <w:rsid w:val="57AC3A65"/>
    <w:rsid w:val="57ADB020"/>
    <w:rsid w:val="57C562B4"/>
    <w:rsid w:val="57CAFD4B"/>
    <w:rsid w:val="57E58C82"/>
    <w:rsid w:val="57F9F5D2"/>
    <w:rsid w:val="58053084"/>
    <w:rsid w:val="580AED62"/>
    <w:rsid w:val="581BE365"/>
    <w:rsid w:val="581DD13F"/>
    <w:rsid w:val="583ED560"/>
    <w:rsid w:val="5863A025"/>
    <w:rsid w:val="58669F1D"/>
    <w:rsid w:val="5887B806"/>
    <w:rsid w:val="58BB240D"/>
    <w:rsid w:val="58BF9104"/>
    <w:rsid w:val="58C2AB70"/>
    <w:rsid w:val="58E417E8"/>
    <w:rsid w:val="58E540CF"/>
    <w:rsid w:val="58F82201"/>
    <w:rsid w:val="58FAF415"/>
    <w:rsid w:val="58FC858B"/>
    <w:rsid w:val="591658F7"/>
    <w:rsid w:val="5928BF37"/>
    <w:rsid w:val="594329FB"/>
    <w:rsid w:val="5949408D"/>
    <w:rsid w:val="59A219D3"/>
    <w:rsid w:val="59AF7346"/>
    <w:rsid w:val="59BDC010"/>
    <w:rsid w:val="59C8B6FF"/>
    <w:rsid w:val="59C9B126"/>
    <w:rsid w:val="59EF4C7E"/>
    <w:rsid w:val="59F78B35"/>
    <w:rsid w:val="5A04B297"/>
    <w:rsid w:val="5A0F52EC"/>
    <w:rsid w:val="5A1054E4"/>
    <w:rsid w:val="5A611E83"/>
    <w:rsid w:val="5A629565"/>
    <w:rsid w:val="5A7B936A"/>
    <w:rsid w:val="5AA20CAE"/>
    <w:rsid w:val="5AB58515"/>
    <w:rsid w:val="5AD14DA4"/>
    <w:rsid w:val="5AD63E1E"/>
    <w:rsid w:val="5B03D4B6"/>
    <w:rsid w:val="5B10492E"/>
    <w:rsid w:val="5B1D169D"/>
    <w:rsid w:val="5B22044D"/>
    <w:rsid w:val="5B54761B"/>
    <w:rsid w:val="5B98004D"/>
    <w:rsid w:val="5BBBBC6B"/>
    <w:rsid w:val="5BF16AC1"/>
    <w:rsid w:val="5C17DC2B"/>
    <w:rsid w:val="5C23BC52"/>
    <w:rsid w:val="5C6D2388"/>
    <w:rsid w:val="5CA93A32"/>
    <w:rsid w:val="5CD86A3E"/>
    <w:rsid w:val="5D0C5274"/>
    <w:rsid w:val="5D12B21E"/>
    <w:rsid w:val="5D5047B0"/>
    <w:rsid w:val="5D607AE3"/>
    <w:rsid w:val="5D686FB9"/>
    <w:rsid w:val="5D76A0B2"/>
    <w:rsid w:val="5DB1F9A7"/>
    <w:rsid w:val="5DC856BA"/>
    <w:rsid w:val="5DF63ED9"/>
    <w:rsid w:val="5E2C3117"/>
    <w:rsid w:val="5E3BF2A1"/>
    <w:rsid w:val="5E539224"/>
    <w:rsid w:val="5EA73838"/>
    <w:rsid w:val="5EBBDAD3"/>
    <w:rsid w:val="5EE76021"/>
    <w:rsid w:val="5F03B93A"/>
    <w:rsid w:val="5F0EB1FB"/>
    <w:rsid w:val="5F23ED1C"/>
    <w:rsid w:val="5F24905C"/>
    <w:rsid w:val="5F4D4EA4"/>
    <w:rsid w:val="5F6D0307"/>
    <w:rsid w:val="5F73CF13"/>
    <w:rsid w:val="5F7AB706"/>
    <w:rsid w:val="5F7D19F6"/>
    <w:rsid w:val="5F85E821"/>
    <w:rsid w:val="5F8BF675"/>
    <w:rsid w:val="5F8FAC37"/>
    <w:rsid w:val="5F941CB8"/>
    <w:rsid w:val="5F95589E"/>
    <w:rsid w:val="5F9CCA97"/>
    <w:rsid w:val="5FAA4512"/>
    <w:rsid w:val="5FB6329D"/>
    <w:rsid w:val="5FDD9FA1"/>
    <w:rsid w:val="5FF0B5AE"/>
    <w:rsid w:val="5FF6BF98"/>
    <w:rsid w:val="603979F7"/>
    <w:rsid w:val="6075A46F"/>
    <w:rsid w:val="60821BCE"/>
    <w:rsid w:val="60854AAD"/>
    <w:rsid w:val="608B6AB9"/>
    <w:rsid w:val="60A60753"/>
    <w:rsid w:val="60BB549C"/>
    <w:rsid w:val="610BA32C"/>
    <w:rsid w:val="6138844C"/>
    <w:rsid w:val="61669B9C"/>
    <w:rsid w:val="616B5B03"/>
    <w:rsid w:val="616CE878"/>
    <w:rsid w:val="618AD66F"/>
    <w:rsid w:val="61A50102"/>
    <w:rsid w:val="61BF1938"/>
    <w:rsid w:val="61DB0648"/>
    <w:rsid w:val="61FD28B4"/>
    <w:rsid w:val="622382BD"/>
    <w:rsid w:val="6234D96A"/>
    <w:rsid w:val="6256A17E"/>
    <w:rsid w:val="625FC93C"/>
    <w:rsid w:val="627E6F86"/>
    <w:rsid w:val="62A28FB0"/>
    <w:rsid w:val="62EA44A2"/>
    <w:rsid w:val="63562C68"/>
    <w:rsid w:val="635E2364"/>
    <w:rsid w:val="635F35C9"/>
    <w:rsid w:val="6362AF22"/>
    <w:rsid w:val="639174BE"/>
    <w:rsid w:val="63B2306C"/>
    <w:rsid w:val="63BD4672"/>
    <w:rsid w:val="63C15072"/>
    <w:rsid w:val="63D007DD"/>
    <w:rsid w:val="63D60150"/>
    <w:rsid w:val="63E6DDDA"/>
    <w:rsid w:val="63E6F2E1"/>
    <w:rsid w:val="63F2AA61"/>
    <w:rsid w:val="643DD287"/>
    <w:rsid w:val="643F6944"/>
    <w:rsid w:val="6450120E"/>
    <w:rsid w:val="6459F31B"/>
    <w:rsid w:val="647DDDC8"/>
    <w:rsid w:val="648136E2"/>
    <w:rsid w:val="648785CE"/>
    <w:rsid w:val="64B25FEE"/>
    <w:rsid w:val="64B5E6A3"/>
    <w:rsid w:val="64CCE873"/>
    <w:rsid w:val="64D9F3D4"/>
    <w:rsid w:val="64DAFDDA"/>
    <w:rsid w:val="64E895FA"/>
    <w:rsid w:val="64F54C1E"/>
    <w:rsid w:val="64FA2DA3"/>
    <w:rsid w:val="64FEABA5"/>
    <w:rsid w:val="6506E94B"/>
    <w:rsid w:val="65A1A056"/>
    <w:rsid w:val="65B81C55"/>
    <w:rsid w:val="65B9E5B7"/>
    <w:rsid w:val="65BC42B8"/>
    <w:rsid w:val="65EEBF7C"/>
    <w:rsid w:val="65F0DE74"/>
    <w:rsid w:val="66044AB0"/>
    <w:rsid w:val="6616FB70"/>
    <w:rsid w:val="6620CE3B"/>
    <w:rsid w:val="6624FDB0"/>
    <w:rsid w:val="662F630C"/>
    <w:rsid w:val="6643EDF8"/>
    <w:rsid w:val="6645A7BC"/>
    <w:rsid w:val="66516940"/>
    <w:rsid w:val="66FACFE8"/>
    <w:rsid w:val="67042ABC"/>
    <w:rsid w:val="67057EA7"/>
    <w:rsid w:val="672BB85E"/>
    <w:rsid w:val="6744073C"/>
    <w:rsid w:val="6744DC1C"/>
    <w:rsid w:val="6748E1AF"/>
    <w:rsid w:val="6753EACB"/>
    <w:rsid w:val="67694067"/>
    <w:rsid w:val="6779BA46"/>
    <w:rsid w:val="67D9938C"/>
    <w:rsid w:val="67E100D0"/>
    <w:rsid w:val="67E37998"/>
    <w:rsid w:val="67E900F4"/>
    <w:rsid w:val="682FB97C"/>
    <w:rsid w:val="6841C497"/>
    <w:rsid w:val="6851CE93"/>
    <w:rsid w:val="6881A005"/>
    <w:rsid w:val="688C9125"/>
    <w:rsid w:val="68A2EB80"/>
    <w:rsid w:val="68C977E7"/>
    <w:rsid w:val="68F3E513"/>
    <w:rsid w:val="694D9078"/>
    <w:rsid w:val="69614B59"/>
    <w:rsid w:val="6977ABE7"/>
    <w:rsid w:val="697C9C58"/>
    <w:rsid w:val="6988E258"/>
    <w:rsid w:val="699483BE"/>
    <w:rsid w:val="6A42AE4A"/>
    <w:rsid w:val="6A5C1A62"/>
    <w:rsid w:val="6A8EC937"/>
    <w:rsid w:val="6A911B6C"/>
    <w:rsid w:val="6A96AF85"/>
    <w:rsid w:val="6A9BF729"/>
    <w:rsid w:val="6ABE0976"/>
    <w:rsid w:val="6AC338CF"/>
    <w:rsid w:val="6ACD15E9"/>
    <w:rsid w:val="6B2DD30B"/>
    <w:rsid w:val="6B4953C6"/>
    <w:rsid w:val="6B5622D0"/>
    <w:rsid w:val="6B598400"/>
    <w:rsid w:val="6B775EF4"/>
    <w:rsid w:val="6B9ACB8E"/>
    <w:rsid w:val="6BB1EC9C"/>
    <w:rsid w:val="6BB24A92"/>
    <w:rsid w:val="6BBC354C"/>
    <w:rsid w:val="6BBC7C69"/>
    <w:rsid w:val="6BEA8108"/>
    <w:rsid w:val="6C304480"/>
    <w:rsid w:val="6C42B9E9"/>
    <w:rsid w:val="6C4F4D05"/>
    <w:rsid w:val="6C5689E0"/>
    <w:rsid w:val="6C749896"/>
    <w:rsid w:val="6C76D70B"/>
    <w:rsid w:val="6C9A25DA"/>
    <w:rsid w:val="6CC18A63"/>
    <w:rsid w:val="6CC546A7"/>
    <w:rsid w:val="6CD63A95"/>
    <w:rsid w:val="6D00B4BB"/>
    <w:rsid w:val="6D18C230"/>
    <w:rsid w:val="6D3DE657"/>
    <w:rsid w:val="6D8645FE"/>
    <w:rsid w:val="6D9BD044"/>
    <w:rsid w:val="6DC4B8A1"/>
    <w:rsid w:val="6DE4A86E"/>
    <w:rsid w:val="6E0402E3"/>
    <w:rsid w:val="6E09535F"/>
    <w:rsid w:val="6E3535E6"/>
    <w:rsid w:val="6E410A14"/>
    <w:rsid w:val="6E471A7E"/>
    <w:rsid w:val="6E801C4B"/>
    <w:rsid w:val="6E995D8C"/>
    <w:rsid w:val="6ED21769"/>
    <w:rsid w:val="6ED342F6"/>
    <w:rsid w:val="6EF047A7"/>
    <w:rsid w:val="6F01D5D5"/>
    <w:rsid w:val="6F0E4166"/>
    <w:rsid w:val="6F148875"/>
    <w:rsid w:val="6F2F6DD3"/>
    <w:rsid w:val="6F61340C"/>
    <w:rsid w:val="6F68FCFD"/>
    <w:rsid w:val="6F802D5F"/>
    <w:rsid w:val="6FA43630"/>
    <w:rsid w:val="6FC39173"/>
    <w:rsid w:val="6FEC2B86"/>
    <w:rsid w:val="70098B75"/>
    <w:rsid w:val="700B8D6A"/>
    <w:rsid w:val="7019422E"/>
    <w:rsid w:val="701C3D63"/>
    <w:rsid w:val="703C626B"/>
    <w:rsid w:val="703D857B"/>
    <w:rsid w:val="705E6757"/>
    <w:rsid w:val="70678672"/>
    <w:rsid w:val="707ED4E7"/>
    <w:rsid w:val="70B3A035"/>
    <w:rsid w:val="70B7AB5C"/>
    <w:rsid w:val="70D2AB30"/>
    <w:rsid w:val="70E25243"/>
    <w:rsid w:val="70E45A60"/>
    <w:rsid w:val="70FA6C33"/>
    <w:rsid w:val="71022AF6"/>
    <w:rsid w:val="71139A19"/>
    <w:rsid w:val="711615ED"/>
    <w:rsid w:val="713869D5"/>
    <w:rsid w:val="713A38F3"/>
    <w:rsid w:val="713B816A"/>
    <w:rsid w:val="7161FC7E"/>
    <w:rsid w:val="719154D8"/>
    <w:rsid w:val="71B29CE8"/>
    <w:rsid w:val="71C75931"/>
    <w:rsid w:val="71F8D315"/>
    <w:rsid w:val="720685B5"/>
    <w:rsid w:val="721427A1"/>
    <w:rsid w:val="72186965"/>
    <w:rsid w:val="7232FFDF"/>
    <w:rsid w:val="725DC0BF"/>
    <w:rsid w:val="72606600"/>
    <w:rsid w:val="726B6B78"/>
    <w:rsid w:val="728C8FF9"/>
    <w:rsid w:val="72C30C4F"/>
    <w:rsid w:val="72CBD071"/>
    <w:rsid w:val="72CC726A"/>
    <w:rsid w:val="73082FF8"/>
    <w:rsid w:val="734828AE"/>
    <w:rsid w:val="734DB579"/>
    <w:rsid w:val="735F39DC"/>
    <w:rsid w:val="7372777B"/>
    <w:rsid w:val="738F7858"/>
    <w:rsid w:val="739C7C10"/>
    <w:rsid w:val="73BB64F5"/>
    <w:rsid w:val="73C9C21C"/>
    <w:rsid w:val="741A23CD"/>
    <w:rsid w:val="7429D7BB"/>
    <w:rsid w:val="7457907E"/>
    <w:rsid w:val="7458D45C"/>
    <w:rsid w:val="7466B61C"/>
    <w:rsid w:val="747EACE5"/>
    <w:rsid w:val="74A18010"/>
    <w:rsid w:val="74B9CB35"/>
    <w:rsid w:val="74F68FA7"/>
    <w:rsid w:val="74FCC135"/>
    <w:rsid w:val="751BB628"/>
    <w:rsid w:val="752446DE"/>
    <w:rsid w:val="752B74B1"/>
    <w:rsid w:val="752DCEB0"/>
    <w:rsid w:val="754ECC2E"/>
    <w:rsid w:val="755C4CF5"/>
    <w:rsid w:val="755D4EA1"/>
    <w:rsid w:val="755F8EAF"/>
    <w:rsid w:val="75D316C3"/>
    <w:rsid w:val="75DAAF3E"/>
    <w:rsid w:val="75E33271"/>
    <w:rsid w:val="76226660"/>
    <w:rsid w:val="762F121D"/>
    <w:rsid w:val="763E31D5"/>
    <w:rsid w:val="764B5E24"/>
    <w:rsid w:val="76550BAC"/>
    <w:rsid w:val="7667C2C5"/>
    <w:rsid w:val="769C67C2"/>
    <w:rsid w:val="76C23684"/>
    <w:rsid w:val="76C55FC6"/>
    <w:rsid w:val="76D76075"/>
    <w:rsid w:val="76D81C49"/>
    <w:rsid w:val="76E7D182"/>
    <w:rsid w:val="76F64259"/>
    <w:rsid w:val="7704CDFF"/>
    <w:rsid w:val="770A667B"/>
    <w:rsid w:val="77297BDF"/>
    <w:rsid w:val="772B2FA2"/>
    <w:rsid w:val="772B9668"/>
    <w:rsid w:val="77403E25"/>
    <w:rsid w:val="77536119"/>
    <w:rsid w:val="77575412"/>
    <w:rsid w:val="776E9850"/>
    <w:rsid w:val="778DD461"/>
    <w:rsid w:val="779850A9"/>
    <w:rsid w:val="77BB486E"/>
    <w:rsid w:val="77C34DD8"/>
    <w:rsid w:val="77E28028"/>
    <w:rsid w:val="78051D3A"/>
    <w:rsid w:val="78197397"/>
    <w:rsid w:val="781C4195"/>
    <w:rsid w:val="78243288"/>
    <w:rsid w:val="785AC27E"/>
    <w:rsid w:val="78756EC8"/>
    <w:rsid w:val="788B0AB8"/>
    <w:rsid w:val="7894187D"/>
    <w:rsid w:val="789CE584"/>
    <w:rsid w:val="78A2B3AE"/>
    <w:rsid w:val="78C5F594"/>
    <w:rsid w:val="78D79715"/>
    <w:rsid w:val="790F2D9D"/>
    <w:rsid w:val="79179076"/>
    <w:rsid w:val="79348EF5"/>
    <w:rsid w:val="796091BF"/>
    <w:rsid w:val="796F88B0"/>
    <w:rsid w:val="7999F2EE"/>
    <w:rsid w:val="79BE9F6E"/>
    <w:rsid w:val="79E27E0E"/>
    <w:rsid w:val="7A021B9A"/>
    <w:rsid w:val="7A1AC30B"/>
    <w:rsid w:val="7A26692B"/>
    <w:rsid w:val="7A2EB24A"/>
    <w:rsid w:val="7A624A24"/>
    <w:rsid w:val="7A69DDD2"/>
    <w:rsid w:val="7A71BFBC"/>
    <w:rsid w:val="7AC9C6AA"/>
    <w:rsid w:val="7AF7406F"/>
    <w:rsid w:val="7AFD1661"/>
    <w:rsid w:val="7B18D887"/>
    <w:rsid w:val="7B1A1719"/>
    <w:rsid w:val="7B26ED50"/>
    <w:rsid w:val="7B52A92C"/>
    <w:rsid w:val="7B6A758E"/>
    <w:rsid w:val="7B94B74B"/>
    <w:rsid w:val="7BA11076"/>
    <w:rsid w:val="7BA84D37"/>
    <w:rsid w:val="7BB8B405"/>
    <w:rsid w:val="7BCCF8E6"/>
    <w:rsid w:val="7BE25E10"/>
    <w:rsid w:val="7BE58B13"/>
    <w:rsid w:val="7BFAD558"/>
    <w:rsid w:val="7C0A68E8"/>
    <w:rsid w:val="7C40DE65"/>
    <w:rsid w:val="7C7CCD3E"/>
    <w:rsid w:val="7CC465E2"/>
    <w:rsid w:val="7D03DFCC"/>
    <w:rsid w:val="7D1C1BD6"/>
    <w:rsid w:val="7D32D495"/>
    <w:rsid w:val="7D5CC03D"/>
    <w:rsid w:val="7D7D69C3"/>
    <w:rsid w:val="7DB76F35"/>
    <w:rsid w:val="7DD5D957"/>
    <w:rsid w:val="7DEB59FD"/>
    <w:rsid w:val="7E402315"/>
    <w:rsid w:val="7E436729"/>
    <w:rsid w:val="7E495544"/>
    <w:rsid w:val="7E69F8DB"/>
    <w:rsid w:val="7E76967F"/>
    <w:rsid w:val="7E88D9B9"/>
    <w:rsid w:val="7EB243E1"/>
    <w:rsid w:val="7ED257A9"/>
    <w:rsid w:val="7EEC68A9"/>
    <w:rsid w:val="7F1A0069"/>
    <w:rsid w:val="7F6B71B4"/>
    <w:rsid w:val="7F8DCA1D"/>
    <w:rsid w:val="7F8F51EC"/>
    <w:rsid w:val="7FA5DFBB"/>
    <w:rsid w:val="7FA80702"/>
    <w:rsid w:val="7FDE8312"/>
    <w:rsid w:val="7FED927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9E9890C"/>
  <w15:chartTrackingRefBased/>
  <w15:docId w15:val="{C2E5BA6B-1EE2-46D5-8D62-A5BD695CD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BF8"/>
    <w:rPr>
      <w:rFonts w:ascii="Bookman Old Style" w:hAnsi="Bookman Old Style"/>
      <w:sz w:val="24"/>
      <w:szCs w:val="24"/>
    </w:rPr>
  </w:style>
  <w:style w:type="paragraph" w:styleId="Ttulo1">
    <w:name w:val="heading 1"/>
    <w:basedOn w:val="Normal"/>
    <w:next w:val="Normal"/>
    <w:qFormat/>
    <w:rsid w:val="003101DA"/>
    <w:pPr>
      <w:keepNext/>
      <w:jc w:val="center"/>
      <w:outlineLvl w:val="0"/>
    </w:pPr>
    <w:rPr>
      <w:rFonts w:ascii="CG Times" w:hAnsi="CG Times"/>
      <w:b/>
      <w:szCs w:val="20"/>
    </w:rPr>
  </w:style>
  <w:style w:type="paragraph" w:styleId="Ttulo2">
    <w:name w:val="heading 2"/>
    <w:basedOn w:val="Normal"/>
    <w:next w:val="Normal"/>
    <w:link w:val="Ttulo2Car"/>
    <w:uiPriority w:val="9"/>
    <w:unhideWhenUsed/>
    <w:qFormat/>
    <w:rsid w:val="007D773D"/>
    <w:pPr>
      <w:keepNext/>
      <w:keepLines/>
      <w:spacing w:before="40"/>
      <w:outlineLvl w:val="1"/>
    </w:pPr>
    <w:rPr>
      <w:rFonts w:eastAsiaTheme="majorEastAsia" w:cstheme="majorBidi"/>
      <w:b/>
      <w:szCs w:val="26"/>
    </w:rPr>
  </w:style>
  <w:style w:type="paragraph" w:styleId="Ttulo3">
    <w:name w:val="heading 3"/>
    <w:basedOn w:val="Normal"/>
    <w:next w:val="Normal"/>
    <w:link w:val="Ttulo3Car"/>
    <w:qFormat/>
    <w:rsid w:val="003101DA"/>
    <w:pPr>
      <w:keepNext/>
      <w:jc w:val="center"/>
      <w:outlineLvl w:val="2"/>
    </w:pPr>
    <w:rPr>
      <w:rFonts w:ascii="CG Times" w:hAnsi="CG Times"/>
      <w:b/>
      <w:snapToGrid w:val="0"/>
      <w:color w:val="000000"/>
      <w:szCs w:val="20"/>
      <w:lang w:val="es-ES_tradnl"/>
    </w:rPr>
  </w:style>
  <w:style w:type="paragraph" w:styleId="Ttulo4">
    <w:name w:val="heading 4"/>
    <w:basedOn w:val="Normal"/>
    <w:next w:val="Normal"/>
    <w:link w:val="Ttulo4Car"/>
    <w:qFormat/>
    <w:rsid w:val="003101DA"/>
    <w:pPr>
      <w:keepNext/>
      <w:jc w:val="center"/>
      <w:outlineLvl w:val="3"/>
    </w:pPr>
    <w:rPr>
      <w:rFonts w:ascii="Arial" w:hAnsi="Arial" w:cs="Arial"/>
      <w:b/>
      <w:snapToGrid w:val="0"/>
      <w:color w:val="000000"/>
      <w:spacing w:val="20"/>
      <w:sz w:val="20"/>
      <w:szCs w:val="20"/>
      <w:lang w:val="es-ES_tradnl"/>
    </w:rPr>
  </w:style>
  <w:style w:type="paragraph" w:styleId="Ttulo5">
    <w:name w:val="heading 5"/>
    <w:basedOn w:val="Normal"/>
    <w:next w:val="Normal"/>
    <w:link w:val="Ttulo5Car"/>
    <w:qFormat/>
    <w:rsid w:val="003101DA"/>
    <w:pPr>
      <w:keepNext/>
      <w:jc w:val="center"/>
      <w:outlineLvl w:val="4"/>
    </w:pPr>
    <w:rPr>
      <w:rFonts w:ascii="Arial" w:hAnsi="Arial" w:cs="Arial"/>
      <w:b/>
      <w:snapToGrid w:val="0"/>
      <w:color w:val="000000"/>
      <w:spacing w:val="20"/>
      <w:sz w:val="28"/>
      <w:szCs w:val="20"/>
      <w:lang w:val="es-ES_tradnl"/>
    </w:rPr>
  </w:style>
  <w:style w:type="paragraph" w:styleId="Ttulo6">
    <w:name w:val="heading 6"/>
    <w:basedOn w:val="Normal"/>
    <w:next w:val="Normal"/>
    <w:link w:val="Ttulo6Car"/>
    <w:unhideWhenUsed/>
    <w:qFormat/>
    <w:rsid w:val="00F96FDE"/>
    <w:pPr>
      <w:spacing w:before="240" w:after="60"/>
      <w:outlineLvl w:val="5"/>
    </w:pPr>
    <w:rPr>
      <w:b/>
      <w:bCs/>
      <w:szCs w:val="22"/>
    </w:rPr>
  </w:style>
  <w:style w:type="paragraph" w:styleId="Ttulo7">
    <w:name w:val="heading 7"/>
    <w:basedOn w:val="Normal"/>
    <w:next w:val="Normal"/>
    <w:link w:val="Ttulo7Car"/>
    <w:uiPriority w:val="9"/>
    <w:unhideWhenUsed/>
    <w:qFormat/>
    <w:rsid w:val="000B5466"/>
    <w:pPr>
      <w:spacing w:before="240" w:after="60"/>
      <w:outlineLvl w:val="6"/>
    </w:pPr>
    <w:rPr>
      <w:b/>
      <w:i/>
    </w:rPr>
  </w:style>
  <w:style w:type="paragraph" w:styleId="Ttulo8">
    <w:name w:val="heading 8"/>
    <w:basedOn w:val="Normal"/>
    <w:next w:val="Normal"/>
    <w:link w:val="Ttulo8Car"/>
    <w:uiPriority w:val="9"/>
    <w:unhideWhenUsed/>
    <w:qFormat/>
    <w:rsid w:val="00CE05FF"/>
    <w:pPr>
      <w:keepNext/>
      <w:keepLines/>
      <w:spacing w:before="40"/>
      <w:outlineLvl w:val="7"/>
    </w:pPr>
    <w:rPr>
      <w:rFonts w:eastAsiaTheme="majorEastAsia" w:cstheme="majorBidi"/>
      <w:i/>
      <w:color w:val="272727" w:themeColor="text1" w:themeTint="D8"/>
      <w:szCs w:val="21"/>
    </w:rPr>
  </w:style>
  <w:style w:type="paragraph" w:styleId="Ttulo9">
    <w:name w:val="heading 9"/>
    <w:basedOn w:val="Normal"/>
    <w:next w:val="Normal"/>
    <w:link w:val="Ttulo9Car"/>
    <w:uiPriority w:val="9"/>
    <w:unhideWhenUsed/>
    <w:qFormat/>
    <w:rsid w:val="00966B6A"/>
    <w:pPr>
      <w:keepNext/>
      <w:keepLines/>
      <w:spacing w:before="40"/>
      <w:outlineLvl w:val="8"/>
    </w:pPr>
    <w:rPr>
      <w:rFonts w:eastAsiaTheme="majorEastAsia" w:cstheme="majorBidi"/>
      <w:b/>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101DA"/>
    <w:pPr>
      <w:tabs>
        <w:tab w:val="center" w:pos="4252"/>
        <w:tab w:val="right" w:pos="8504"/>
      </w:tabs>
    </w:pPr>
    <w:rPr>
      <w:rFonts w:ascii="CG Times" w:hAnsi="CG Times"/>
      <w:szCs w:val="20"/>
    </w:rPr>
  </w:style>
  <w:style w:type="paragraph" w:styleId="Piedepgina">
    <w:name w:val="footer"/>
    <w:basedOn w:val="Normal"/>
    <w:link w:val="PiedepginaCar"/>
    <w:semiHidden/>
    <w:rsid w:val="003101DA"/>
    <w:pPr>
      <w:tabs>
        <w:tab w:val="center" w:pos="4252"/>
        <w:tab w:val="right" w:pos="8504"/>
      </w:tabs>
    </w:pPr>
  </w:style>
  <w:style w:type="paragraph" w:customStyle="1" w:styleId="Estilo1">
    <w:name w:val="Estilo1"/>
    <w:basedOn w:val="Normal"/>
    <w:rsid w:val="003101DA"/>
    <w:pPr>
      <w:shd w:val="clear" w:color="auto" w:fill="C0C0C0"/>
      <w:jc w:val="center"/>
    </w:pPr>
    <w:rPr>
      <w:rFonts w:ascii="Comic Sans MS" w:hAnsi="Comic Sans MS"/>
      <w:color w:val="0000FF"/>
      <w:sz w:val="36"/>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semiHidden/>
    <w:rsid w:val="003101DA"/>
  </w:style>
  <w:style w:type="paragraph" w:styleId="Textoindependiente">
    <w:name w:val="Body Text"/>
    <w:basedOn w:val="Normal"/>
    <w:link w:val="TextoindependienteCar"/>
    <w:semiHidden/>
    <w:rsid w:val="003101DA"/>
    <w:pPr>
      <w:jc w:val="center"/>
    </w:pPr>
    <w:rPr>
      <w:rFonts w:ascii="Arial" w:hAnsi="Arial" w:cs="Arial"/>
      <w:b/>
      <w:bCs/>
    </w:rPr>
  </w:style>
  <w:style w:type="paragraph" w:styleId="Textoindependiente3">
    <w:name w:val="Body Text 3"/>
    <w:basedOn w:val="Normal"/>
    <w:link w:val="Textoindependiente3Car"/>
    <w:semiHidden/>
    <w:rsid w:val="003101DA"/>
    <w:pPr>
      <w:jc w:val="center"/>
      <w:outlineLvl w:val="0"/>
    </w:pPr>
    <w:rPr>
      <w:rFonts w:ascii="Arial" w:hAnsi="Arial" w:cs="Arial"/>
      <w:b/>
      <w:bCs/>
      <w:spacing w:val="-3"/>
    </w:rPr>
  </w:style>
  <w:style w:type="paragraph" w:styleId="Textodeglobo">
    <w:name w:val="Balloon Text"/>
    <w:basedOn w:val="Normal"/>
    <w:link w:val="TextodegloboCar"/>
    <w:uiPriority w:val="99"/>
    <w:semiHidden/>
    <w:unhideWhenUsed/>
    <w:rsid w:val="00725FA4"/>
    <w:rPr>
      <w:rFonts w:ascii="Tahoma" w:hAnsi="Tahoma" w:cs="Tahoma"/>
      <w:sz w:val="16"/>
      <w:szCs w:val="16"/>
    </w:rPr>
  </w:style>
  <w:style w:type="character" w:customStyle="1" w:styleId="TextodegloboCar">
    <w:name w:val="Texto de globo Car"/>
    <w:link w:val="Textodeglobo"/>
    <w:uiPriority w:val="99"/>
    <w:semiHidden/>
    <w:rsid w:val="00725FA4"/>
    <w:rPr>
      <w:rFonts w:ascii="Tahoma" w:hAnsi="Tahoma" w:cs="Tahoma"/>
      <w:sz w:val="16"/>
      <w:szCs w:val="16"/>
    </w:rPr>
  </w:style>
  <w:style w:type="character" w:customStyle="1" w:styleId="EncabezadoCar">
    <w:name w:val="Encabezado Car"/>
    <w:link w:val="Encabezado"/>
    <w:rsid w:val="00593C4F"/>
    <w:rPr>
      <w:rFonts w:ascii="CG Times" w:hAnsi="CG Times"/>
      <w:sz w:val="24"/>
      <w:lang w:val="es-CO"/>
    </w:rPr>
  </w:style>
  <w:style w:type="character" w:customStyle="1" w:styleId="Ttulo3Car">
    <w:name w:val="Título 3 Car"/>
    <w:link w:val="Ttulo3"/>
    <w:rsid w:val="00141013"/>
    <w:rPr>
      <w:rFonts w:ascii="CG Times" w:hAnsi="CG Times"/>
      <w:b/>
      <w:snapToGrid w:val="0"/>
      <w:color w:val="000000"/>
      <w:sz w:val="24"/>
      <w:lang w:val="es-ES_tradnl"/>
    </w:rPr>
  </w:style>
  <w:style w:type="character" w:customStyle="1" w:styleId="Ttulo4Car">
    <w:name w:val="Título 4 Car"/>
    <w:link w:val="Ttulo4"/>
    <w:rsid w:val="00141013"/>
    <w:rPr>
      <w:rFonts w:ascii="Arial" w:hAnsi="Arial" w:cs="Arial"/>
      <w:b/>
      <w:snapToGrid w:val="0"/>
      <w:color w:val="000000"/>
      <w:spacing w:val="20"/>
      <w:lang w:val="es-ES_tradnl"/>
    </w:rPr>
  </w:style>
  <w:style w:type="character" w:customStyle="1" w:styleId="Ttulo5Car">
    <w:name w:val="Título 5 Car"/>
    <w:link w:val="Ttulo5"/>
    <w:rsid w:val="00141013"/>
    <w:rPr>
      <w:rFonts w:ascii="Arial" w:hAnsi="Arial" w:cs="Arial"/>
      <w:b/>
      <w:snapToGrid w:val="0"/>
      <w:color w:val="000000"/>
      <w:spacing w:val="20"/>
      <w:sz w:val="28"/>
      <w:lang w:val="es-ES_tradnl"/>
    </w:rPr>
  </w:style>
  <w:style w:type="character" w:customStyle="1" w:styleId="TextoindependienteCar">
    <w:name w:val="Texto independiente Car"/>
    <w:link w:val="Textoindependiente"/>
    <w:semiHidden/>
    <w:rsid w:val="00141013"/>
    <w:rPr>
      <w:rFonts w:ascii="Arial" w:hAnsi="Arial" w:cs="Arial"/>
      <w:b/>
      <w:bCs/>
      <w:sz w:val="24"/>
      <w:szCs w:val="24"/>
    </w:rPr>
  </w:style>
  <w:style w:type="character" w:customStyle="1" w:styleId="Textoindependiente3Car">
    <w:name w:val="Texto independiente 3 Car"/>
    <w:link w:val="Textoindependiente3"/>
    <w:semiHidden/>
    <w:rsid w:val="00141013"/>
    <w:rPr>
      <w:rFonts w:ascii="Arial" w:hAnsi="Arial" w:cs="Arial"/>
      <w:b/>
      <w:bCs/>
      <w:spacing w:val="-3"/>
      <w:sz w:val="24"/>
      <w:szCs w:val="24"/>
    </w:rPr>
  </w:style>
  <w:style w:type="table" w:styleId="Tablaconcuadrcula">
    <w:name w:val="Table Grid"/>
    <w:aliases w:val="Table Grid CEPA"/>
    <w:basedOn w:val="Tablanormal"/>
    <w:uiPriority w:val="59"/>
    <w:rsid w:val="00141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6Car">
    <w:name w:val="Título 6 Car"/>
    <w:link w:val="Ttulo6"/>
    <w:rsid w:val="00F96FDE"/>
    <w:rPr>
      <w:rFonts w:ascii="Bookman Old Style" w:hAnsi="Bookman Old Style"/>
      <w:b/>
      <w:bCs/>
      <w:sz w:val="24"/>
      <w:szCs w:val="22"/>
    </w:rPr>
  </w:style>
  <w:style w:type="paragraph" w:styleId="Ttulo">
    <w:name w:val="Title"/>
    <w:basedOn w:val="Normal"/>
    <w:link w:val="TtuloCar"/>
    <w:qFormat/>
    <w:rsid w:val="00795BFB"/>
    <w:pPr>
      <w:widowControl w:val="0"/>
      <w:adjustRightInd w:val="0"/>
      <w:spacing w:line="360" w:lineRule="atLeast"/>
      <w:jc w:val="center"/>
      <w:textAlignment w:val="baseline"/>
    </w:pPr>
    <w:rPr>
      <w:rFonts w:ascii="Arial" w:hAnsi="Arial" w:cs="Arial"/>
      <w:b/>
      <w:bCs/>
    </w:rPr>
  </w:style>
  <w:style w:type="character" w:customStyle="1" w:styleId="TtuloCar">
    <w:name w:val="Título Car"/>
    <w:link w:val="Ttulo"/>
    <w:rsid w:val="00795BFB"/>
    <w:rPr>
      <w:rFonts w:ascii="Arial" w:hAnsi="Arial" w:cs="Arial"/>
      <w:b/>
      <w:bCs/>
      <w:sz w:val="24"/>
      <w:szCs w:val="24"/>
    </w:rPr>
  </w:style>
  <w:style w:type="paragraph" w:styleId="Prrafodelista">
    <w:name w:val="List Paragraph"/>
    <w:basedOn w:val="Normal"/>
    <w:link w:val="PrrafodelistaCar"/>
    <w:uiPriority w:val="34"/>
    <w:qFormat/>
    <w:rsid w:val="001405C6"/>
    <w:pPr>
      <w:ind w:left="708"/>
    </w:pPr>
    <w:rPr>
      <w:sz w:val="20"/>
      <w:szCs w:val="20"/>
    </w:rPr>
  </w:style>
  <w:style w:type="character" w:customStyle="1" w:styleId="PrrafodelistaCar">
    <w:name w:val="Párrafo de lista Car"/>
    <w:link w:val="Prrafodelista"/>
    <w:uiPriority w:val="34"/>
    <w:rsid w:val="001405C6"/>
    <w:rPr>
      <w:lang w:val="es-CO"/>
    </w:rPr>
  </w:style>
  <w:style w:type="paragraph" w:styleId="TDC1">
    <w:name w:val="toc 1"/>
    <w:basedOn w:val="Normal"/>
    <w:next w:val="Normal"/>
    <w:autoRedefine/>
    <w:semiHidden/>
    <w:rsid w:val="00D03800"/>
    <w:pPr>
      <w:tabs>
        <w:tab w:val="left" w:pos="480"/>
        <w:tab w:val="right" w:leader="dot" w:pos="8828"/>
      </w:tabs>
      <w:spacing w:before="120"/>
      <w:jc w:val="both"/>
    </w:pPr>
    <w:rPr>
      <w:rFonts w:ascii="Arial" w:hAnsi="Arial"/>
      <w:noProof/>
    </w:rPr>
  </w:style>
  <w:style w:type="paragraph" w:styleId="Textodebloque">
    <w:name w:val="Block Text"/>
    <w:basedOn w:val="Normal"/>
    <w:rsid w:val="00D03800"/>
    <w:pPr>
      <w:suppressAutoHyphens/>
      <w:spacing w:after="240"/>
      <w:ind w:right="788"/>
      <w:jc w:val="both"/>
    </w:pPr>
    <w:rPr>
      <w:rFonts w:ascii="Arial" w:hAnsi="Arial"/>
      <w:spacing w:val="-3"/>
      <w:szCs w:val="20"/>
      <w:lang w:val="es-ES_tradnl"/>
    </w:rPr>
  </w:style>
  <w:style w:type="paragraph" w:styleId="Textoindependiente2">
    <w:name w:val="Body Text 2"/>
    <w:basedOn w:val="Normal"/>
    <w:link w:val="Textoindependiente2Car"/>
    <w:uiPriority w:val="99"/>
    <w:semiHidden/>
    <w:unhideWhenUsed/>
    <w:rsid w:val="00006AE2"/>
    <w:pPr>
      <w:spacing w:after="120" w:line="480" w:lineRule="auto"/>
    </w:pPr>
  </w:style>
  <w:style w:type="character" w:customStyle="1" w:styleId="Textoindependiente2Car">
    <w:name w:val="Texto independiente 2 Car"/>
    <w:link w:val="Textoindependiente2"/>
    <w:uiPriority w:val="99"/>
    <w:semiHidden/>
    <w:rsid w:val="00006AE2"/>
    <w:rPr>
      <w:sz w:val="24"/>
      <w:szCs w:val="24"/>
    </w:rPr>
  </w:style>
  <w:style w:type="paragraph" w:customStyle="1" w:styleId="Epgrafe">
    <w:name w:val="Epígrafe"/>
    <w:basedOn w:val="Normal"/>
    <w:next w:val="Normal"/>
    <w:uiPriority w:val="35"/>
    <w:qFormat/>
    <w:rsid w:val="003A31F6"/>
    <w:pPr>
      <w:widowControl w:val="0"/>
      <w:adjustRightInd w:val="0"/>
      <w:spacing w:before="120" w:after="120" w:line="360" w:lineRule="atLeast"/>
      <w:jc w:val="center"/>
      <w:textAlignment w:val="baseline"/>
    </w:pPr>
    <w:rPr>
      <w:rFonts w:ascii="Arial" w:hAnsi="Arial"/>
      <w:sz w:val="20"/>
      <w:szCs w:val="20"/>
    </w:rPr>
  </w:style>
  <w:style w:type="paragraph" w:styleId="Sinespaciado">
    <w:name w:val="No Spacing"/>
    <w:uiPriority w:val="1"/>
    <w:qFormat/>
    <w:rsid w:val="003A31F6"/>
    <w:rPr>
      <w:rFonts w:ascii="Calibri" w:hAnsi="Calibri" w:cs="Calibri"/>
      <w:sz w:val="22"/>
      <w:szCs w:val="22"/>
      <w:lang w:val="es-ES" w:eastAsia="en-US"/>
    </w:rPr>
  </w:style>
  <w:style w:type="character" w:customStyle="1" w:styleId="apple-style-span">
    <w:name w:val="apple-style-span"/>
    <w:rsid w:val="003A31F6"/>
    <w:rPr>
      <w:rFonts w:ascii="Times New Roman" w:hAnsi="Times New Roman" w:cs="Times New Roman"/>
    </w:rPr>
  </w:style>
  <w:style w:type="paragraph" w:styleId="Subttulo">
    <w:name w:val="Subtitle"/>
    <w:basedOn w:val="Normal"/>
    <w:link w:val="SubttuloCar"/>
    <w:qFormat/>
    <w:rsid w:val="003A31F6"/>
    <w:rPr>
      <w:rFonts w:ascii="Century Gothic" w:hAnsi="Century Gothic"/>
      <w:b/>
      <w:bCs/>
    </w:rPr>
  </w:style>
  <w:style w:type="character" w:customStyle="1" w:styleId="SubttuloCar">
    <w:name w:val="Subtítulo Car"/>
    <w:link w:val="Subttulo"/>
    <w:rsid w:val="003A31F6"/>
    <w:rPr>
      <w:rFonts w:ascii="Century Gothic" w:hAnsi="Century Gothic"/>
      <w:b/>
      <w:bCs/>
      <w:sz w:val="24"/>
      <w:szCs w:val="24"/>
    </w:rPr>
  </w:style>
  <w:style w:type="character" w:customStyle="1" w:styleId="apple-converted-space">
    <w:name w:val="apple-converted-space"/>
    <w:basedOn w:val="Fuentedeprrafopredeter"/>
    <w:rsid w:val="003A31F6"/>
  </w:style>
  <w:style w:type="paragraph" w:customStyle="1" w:styleId="BodyText21">
    <w:name w:val="Body Text 21"/>
    <w:basedOn w:val="Normal"/>
    <w:uiPriority w:val="99"/>
    <w:rsid w:val="00C034C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jc w:val="both"/>
      <w:textAlignment w:val="baseline"/>
    </w:pPr>
    <w:rPr>
      <w:rFonts w:ascii="Arial" w:hAnsi="Arial"/>
      <w:sz w:val="22"/>
      <w:szCs w:val="20"/>
    </w:rPr>
  </w:style>
  <w:style w:type="character" w:customStyle="1" w:styleId="Ttulo7Car">
    <w:name w:val="Título 7 Car"/>
    <w:link w:val="Ttulo7"/>
    <w:uiPriority w:val="9"/>
    <w:rsid w:val="000B5466"/>
    <w:rPr>
      <w:rFonts w:ascii="Bookman Old Style" w:hAnsi="Bookman Old Style"/>
      <w:b/>
      <w:i/>
      <w:sz w:val="24"/>
      <w:szCs w:val="24"/>
    </w:rPr>
  </w:style>
  <w:style w:type="paragraph" w:styleId="Sangradetextonormal">
    <w:name w:val="Body Text Indent"/>
    <w:basedOn w:val="Normal"/>
    <w:link w:val="SangradetextonormalCar"/>
    <w:uiPriority w:val="99"/>
    <w:semiHidden/>
    <w:unhideWhenUsed/>
    <w:rsid w:val="00E01463"/>
    <w:pPr>
      <w:spacing w:after="120"/>
      <w:ind w:left="283"/>
    </w:pPr>
  </w:style>
  <w:style w:type="character" w:customStyle="1" w:styleId="SangradetextonormalCar">
    <w:name w:val="Sangría de texto normal Car"/>
    <w:link w:val="Sangradetextonormal"/>
    <w:uiPriority w:val="99"/>
    <w:semiHidden/>
    <w:rsid w:val="00E01463"/>
    <w:rPr>
      <w:sz w:val="24"/>
      <w:szCs w:val="24"/>
      <w:lang w:val="es-ES" w:eastAsia="es-ES"/>
    </w:rPr>
  </w:style>
  <w:style w:type="paragraph" w:customStyle="1" w:styleId="Vietaletra">
    <w:name w:val="Viñeta letra"/>
    <w:basedOn w:val="Normal"/>
    <w:next w:val="Normal"/>
    <w:rsid w:val="00E01463"/>
    <w:pPr>
      <w:numPr>
        <w:numId w:val="2"/>
      </w:numPr>
      <w:suppressAutoHyphens/>
      <w:overflowPunct w:val="0"/>
      <w:autoSpaceDE w:val="0"/>
      <w:jc w:val="both"/>
      <w:textAlignment w:val="baseline"/>
    </w:pPr>
    <w:rPr>
      <w:rFonts w:ascii="Arial" w:hAnsi="Arial"/>
      <w:szCs w:val="20"/>
      <w:lang w:val="es-ES_tradnl" w:eastAsia="ar-SA"/>
    </w:rPr>
  </w:style>
  <w:style w:type="paragraph" w:customStyle="1" w:styleId="TableHeading">
    <w:name w:val="Table Heading"/>
    <w:basedOn w:val="Normal"/>
    <w:rsid w:val="00E01463"/>
    <w:pPr>
      <w:suppressLineNumbers/>
      <w:suppressAutoHyphens/>
      <w:jc w:val="center"/>
    </w:pPr>
    <w:rPr>
      <w:rFonts w:ascii="Arial" w:hAnsi="Arial"/>
      <w:b/>
      <w:bCs/>
      <w:sz w:val="22"/>
      <w:lang w:eastAsia="ar-SA"/>
    </w:rPr>
  </w:style>
  <w:style w:type="paragraph" w:styleId="Sangra2detindependiente">
    <w:name w:val="Body Text Indent 2"/>
    <w:basedOn w:val="Normal"/>
    <w:link w:val="Sangra2detindependienteCar"/>
    <w:uiPriority w:val="99"/>
    <w:semiHidden/>
    <w:unhideWhenUsed/>
    <w:rsid w:val="00E060BE"/>
    <w:pPr>
      <w:spacing w:after="120" w:line="480" w:lineRule="auto"/>
      <w:ind w:left="283"/>
    </w:pPr>
  </w:style>
  <w:style w:type="character" w:customStyle="1" w:styleId="Sangra2detindependienteCar">
    <w:name w:val="Sangría 2 de t. independiente Car"/>
    <w:link w:val="Sangra2detindependiente"/>
    <w:uiPriority w:val="99"/>
    <w:semiHidden/>
    <w:rsid w:val="00E060BE"/>
    <w:rPr>
      <w:sz w:val="24"/>
      <w:szCs w:val="24"/>
      <w:lang w:val="es-ES" w:eastAsia="es-ES"/>
    </w:rPr>
  </w:style>
  <w:style w:type="character" w:customStyle="1" w:styleId="PiedepginaCar">
    <w:name w:val="Pie de página Car"/>
    <w:basedOn w:val="Fuentedeprrafopredeter"/>
    <w:link w:val="Piedepgina"/>
    <w:semiHidden/>
    <w:rsid w:val="00D1032D"/>
    <w:rPr>
      <w:sz w:val="24"/>
      <w:szCs w:val="24"/>
      <w:lang w:val="es-ES" w:eastAsia="es-ES"/>
    </w:rPr>
  </w:style>
  <w:style w:type="character" w:customStyle="1" w:styleId="CharStyle9">
    <w:name w:val="Char Style 9"/>
    <w:link w:val="Style2"/>
    <w:uiPriority w:val="99"/>
    <w:locked/>
    <w:rsid w:val="00397885"/>
    <w:rPr>
      <w:rFonts w:ascii="Arial" w:hAnsi="Arial" w:cs="Arial"/>
      <w:sz w:val="14"/>
      <w:szCs w:val="14"/>
      <w:shd w:val="clear" w:color="auto" w:fill="FFFFFF"/>
      <w:lang w:val="es-ES"/>
    </w:rPr>
  </w:style>
  <w:style w:type="paragraph" w:customStyle="1" w:styleId="Style2">
    <w:name w:val="Style 2"/>
    <w:basedOn w:val="Normal"/>
    <w:link w:val="CharStyle9"/>
    <w:uiPriority w:val="99"/>
    <w:rsid w:val="00397885"/>
    <w:pPr>
      <w:widowControl w:val="0"/>
      <w:shd w:val="clear" w:color="auto" w:fill="FFFFFF"/>
      <w:spacing w:before="120" w:line="240" w:lineRule="atLeast"/>
      <w:ind w:hanging="1420"/>
    </w:pPr>
    <w:rPr>
      <w:rFonts w:ascii="Arial" w:hAnsi="Arial" w:cs="Arial"/>
      <w:sz w:val="14"/>
      <w:szCs w:val="14"/>
    </w:rPr>
  </w:style>
  <w:style w:type="paragraph" w:customStyle="1" w:styleId="Textoindependiente21">
    <w:name w:val="Texto independiente 21"/>
    <w:basedOn w:val="Normal"/>
    <w:rsid w:val="007D3EA1"/>
    <w:pPr>
      <w:overflowPunct w:val="0"/>
      <w:autoSpaceDE w:val="0"/>
      <w:autoSpaceDN w:val="0"/>
      <w:adjustRightInd w:val="0"/>
      <w:jc w:val="both"/>
      <w:textAlignment w:val="baseline"/>
    </w:pPr>
    <w:rPr>
      <w:rFonts w:ascii="Arial" w:hAnsi="Arial"/>
      <w:sz w:val="22"/>
      <w:szCs w:val="20"/>
      <w:lang w:val="es-ES_tradnl"/>
    </w:rPr>
  </w:style>
  <w:style w:type="character" w:styleId="Refdecomentario">
    <w:name w:val="annotation reference"/>
    <w:semiHidden/>
    <w:rsid w:val="007D3EA1"/>
    <w:rPr>
      <w:sz w:val="16"/>
    </w:rPr>
  </w:style>
  <w:style w:type="paragraph" w:styleId="Textocomentario">
    <w:name w:val="annotation text"/>
    <w:basedOn w:val="Normal"/>
    <w:link w:val="TextocomentarioCar"/>
    <w:semiHidden/>
    <w:rsid w:val="007D3EA1"/>
    <w:rPr>
      <w:rFonts w:ascii="CG Times" w:hAnsi="CG Times"/>
      <w:sz w:val="20"/>
      <w:szCs w:val="20"/>
      <w:lang w:val="x-none"/>
    </w:rPr>
  </w:style>
  <w:style w:type="character" w:customStyle="1" w:styleId="TextocomentarioCar">
    <w:name w:val="Texto comentario Car"/>
    <w:basedOn w:val="Fuentedeprrafopredeter"/>
    <w:link w:val="Textocomentario"/>
    <w:semiHidden/>
    <w:rsid w:val="007D3EA1"/>
    <w:rPr>
      <w:rFonts w:ascii="CG Times" w:hAnsi="CG Times"/>
      <w:lang w:val="x-none" w:eastAsia="es-ES"/>
    </w:rPr>
  </w:style>
  <w:style w:type="paragraph" w:styleId="Descripcin">
    <w:name w:val="caption"/>
    <w:basedOn w:val="Normal"/>
    <w:next w:val="Normal"/>
    <w:uiPriority w:val="35"/>
    <w:unhideWhenUsed/>
    <w:qFormat/>
    <w:rsid w:val="00B7278C"/>
    <w:pPr>
      <w:spacing w:after="200"/>
    </w:pPr>
    <w:rPr>
      <w:i/>
      <w:iCs/>
      <w:color w:val="44546A" w:themeColor="text2"/>
      <w:sz w:val="18"/>
      <w:szCs w:val="18"/>
    </w:rPr>
  </w:style>
  <w:style w:type="character" w:styleId="Hipervnculo">
    <w:name w:val="Hyperlink"/>
    <w:basedOn w:val="Fuentedeprrafopredeter"/>
    <w:uiPriority w:val="99"/>
    <w:unhideWhenUsed/>
    <w:rsid w:val="00A07CA7"/>
    <w:rPr>
      <w:color w:val="0563C1" w:themeColor="hyperlink"/>
      <w:u w:val="single"/>
    </w:rPr>
  </w:style>
  <w:style w:type="character" w:styleId="Mencinsinresolver">
    <w:name w:val="Unresolved Mention"/>
    <w:basedOn w:val="Fuentedeprrafopredeter"/>
    <w:uiPriority w:val="99"/>
    <w:semiHidden/>
    <w:unhideWhenUsed/>
    <w:rsid w:val="00A07CA7"/>
    <w:rPr>
      <w:color w:val="605E5C"/>
      <w:shd w:val="clear" w:color="auto" w:fill="E1DFDD"/>
    </w:rPr>
  </w:style>
  <w:style w:type="character" w:styleId="Textodelmarcadordeposicin">
    <w:name w:val="Placeholder Text"/>
    <w:basedOn w:val="Fuentedeprrafopredeter"/>
    <w:uiPriority w:val="99"/>
    <w:semiHidden/>
    <w:rsid w:val="002D5667"/>
    <w:rPr>
      <w:color w:val="808080"/>
    </w:rPr>
  </w:style>
  <w:style w:type="character" w:customStyle="1" w:styleId="normaltextrun">
    <w:name w:val="normaltextrun"/>
    <w:basedOn w:val="Fuentedeprrafopredeter"/>
    <w:rsid w:val="007E2164"/>
  </w:style>
  <w:style w:type="paragraph" w:styleId="Revisin">
    <w:name w:val="Revision"/>
    <w:hidden/>
    <w:uiPriority w:val="99"/>
    <w:semiHidden/>
    <w:rsid w:val="00AB0086"/>
    <w:rPr>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B94EE6"/>
    <w:pPr>
      <w:ind w:left="567"/>
    </w:pPr>
    <w:rPr>
      <w:rFonts w:ascii="Times New Roman" w:hAnsi="Times New Roman"/>
      <w:b/>
      <w:bCs/>
      <w:lang w:val="es-ES"/>
    </w:rPr>
  </w:style>
  <w:style w:type="character" w:customStyle="1" w:styleId="AsuntodelcomentarioCar">
    <w:name w:val="Asunto del comentario Car"/>
    <w:basedOn w:val="TextocomentarioCar"/>
    <w:link w:val="Asuntodelcomentario"/>
    <w:uiPriority w:val="99"/>
    <w:semiHidden/>
    <w:rsid w:val="00B94EE6"/>
    <w:rPr>
      <w:rFonts w:ascii="CG Times" w:hAnsi="CG Times"/>
      <w:b/>
      <w:bCs/>
      <w:lang w:val="es-ES" w:eastAsia="es-ES"/>
    </w:rPr>
  </w:style>
  <w:style w:type="paragraph" w:styleId="NormalWeb">
    <w:name w:val="Normal (Web)"/>
    <w:basedOn w:val="Normal"/>
    <w:uiPriority w:val="99"/>
    <w:semiHidden/>
    <w:unhideWhenUsed/>
    <w:rsid w:val="00A17144"/>
    <w:pPr>
      <w:spacing w:before="100" w:beforeAutospacing="1" w:after="100" w:afterAutospacing="1"/>
    </w:pPr>
  </w:style>
  <w:style w:type="paragraph" w:styleId="Textonotaalfinal">
    <w:name w:val="endnote text"/>
    <w:basedOn w:val="Normal"/>
    <w:link w:val="TextonotaalfinalCar"/>
    <w:uiPriority w:val="99"/>
    <w:semiHidden/>
    <w:unhideWhenUsed/>
    <w:rsid w:val="007B4A93"/>
    <w:rPr>
      <w:sz w:val="20"/>
      <w:szCs w:val="20"/>
    </w:rPr>
  </w:style>
  <w:style w:type="character" w:customStyle="1" w:styleId="TextonotaalfinalCar">
    <w:name w:val="Texto nota al final Car"/>
    <w:basedOn w:val="Fuentedeprrafopredeter"/>
    <w:link w:val="Textonotaalfinal"/>
    <w:uiPriority w:val="99"/>
    <w:semiHidden/>
    <w:rsid w:val="007B4A93"/>
    <w:rPr>
      <w:lang w:val="es-ES" w:eastAsia="es-ES"/>
    </w:rPr>
  </w:style>
  <w:style w:type="character" w:styleId="Refdenotaalfinal">
    <w:name w:val="endnote reference"/>
    <w:basedOn w:val="Fuentedeprrafopredeter"/>
    <w:uiPriority w:val="99"/>
    <w:semiHidden/>
    <w:unhideWhenUsed/>
    <w:rsid w:val="007B4A93"/>
    <w:rPr>
      <w:vertAlign w:val="superscript"/>
    </w:rPr>
  </w:style>
  <w:style w:type="paragraph" w:styleId="Textonotapie">
    <w:name w:val="footnote text"/>
    <w:basedOn w:val="Normal"/>
    <w:link w:val="TextonotapieCar"/>
    <w:uiPriority w:val="99"/>
    <w:semiHidden/>
    <w:unhideWhenUsed/>
    <w:rsid w:val="007B4A93"/>
    <w:rPr>
      <w:sz w:val="20"/>
      <w:szCs w:val="20"/>
    </w:rPr>
  </w:style>
  <w:style w:type="character" w:customStyle="1" w:styleId="TextonotapieCar">
    <w:name w:val="Texto nota pie Car"/>
    <w:basedOn w:val="Fuentedeprrafopredeter"/>
    <w:link w:val="Textonotapie"/>
    <w:uiPriority w:val="99"/>
    <w:semiHidden/>
    <w:rsid w:val="007B4A93"/>
    <w:rPr>
      <w:lang w:val="es-ES" w:eastAsia="es-ES"/>
    </w:rPr>
  </w:style>
  <w:style w:type="character" w:styleId="Refdenotaalpie">
    <w:name w:val="footnote reference"/>
    <w:basedOn w:val="Fuentedeprrafopredeter"/>
    <w:uiPriority w:val="99"/>
    <w:semiHidden/>
    <w:unhideWhenUsed/>
    <w:rsid w:val="007B4A93"/>
    <w:rPr>
      <w:vertAlign w:val="superscript"/>
    </w:rPr>
  </w:style>
  <w:style w:type="character" w:customStyle="1" w:styleId="Ttulo2Car">
    <w:name w:val="Título 2 Car"/>
    <w:basedOn w:val="Fuentedeprrafopredeter"/>
    <w:link w:val="Ttulo2"/>
    <w:uiPriority w:val="9"/>
    <w:rsid w:val="007D773D"/>
    <w:rPr>
      <w:rFonts w:ascii="Bookman Old Style" w:eastAsiaTheme="majorEastAsia" w:hAnsi="Bookman Old Style" w:cstheme="majorBidi"/>
      <w:b/>
      <w:sz w:val="24"/>
      <w:szCs w:val="26"/>
    </w:rPr>
  </w:style>
  <w:style w:type="character" w:customStyle="1" w:styleId="Ttulo8Car">
    <w:name w:val="Título 8 Car"/>
    <w:basedOn w:val="Fuentedeprrafopredeter"/>
    <w:link w:val="Ttulo8"/>
    <w:uiPriority w:val="9"/>
    <w:rsid w:val="00CE05FF"/>
    <w:rPr>
      <w:rFonts w:ascii="Bookman Old Style" w:eastAsiaTheme="majorEastAsia" w:hAnsi="Bookman Old Style" w:cstheme="majorBidi"/>
      <w:i/>
      <w:color w:val="272727" w:themeColor="text1" w:themeTint="D8"/>
      <w:sz w:val="24"/>
      <w:szCs w:val="21"/>
    </w:rPr>
  </w:style>
  <w:style w:type="character" w:customStyle="1" w:styleId="Ttulo9Car">
    <w:name w:val="Título 9 Car"/>
    <w:basedOn w:val="Fuentedeprrafopredeter"/>
    <w:link w:val="Ttulo9"/>
    <w:uiPriority w:val="9"/>
    <w:rsid w:val="00966B6A"/>
    <w:rPr>
      <w:rFonts w:ascii="Bookman Old Style" w:eastAsiaTheme="majorEastAsia" w:hAnsi="Bookman Old Style" w:cstheme="majorBidi"/>
      <w:b/>
      <w:i/>
      <w:iCs/>
      <w:color w:val="272727" w:themeColor="text1" w:themeTint="D8"/>
      <w:sz w:val="24"/>
      <w:szCs w:val="21"/>
    </w:rPr>
  </w:style>
  <w:style w:type="character" w:styleId="Mencionar">
    <w:name w:val="Mention"/>
    <w:basedOn w:val="Fuentedeprrafopredeter"/>
    <w:uiPriority w:val="99"/>
    <w:unhideWhenUsed/>
    <w:rsid w:val="0092495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53219">
      <w:bodyDiv w:val="1"/>
      <w:marLeft w:val="0"/>
      <w:marRight w:val="0"/>
      <w:marTop w:val="0"/>
      <w:marBottom w:val="0"/>
      <w:divBdr>
        <w:top w:val="none" w:sz="0" w:space="0" w:color="auto"/>
        <w:left w:val="none" w:sz="0" w:space="0" w:color="auto"/>
        <w:bottom w:val="none" w:sz="0" w:space="0" w:color="auto"/>
        <w:right w:val="none" w:sz="0" w:space="0" w:color="auto"/>
      </w:divBdr>
      <w:divsChild>
        <w:div w:id="2040667889">
          <w:marLeft w:val="446"/>
          <w:marRight w:val="0"/>
          <w:marTop w:val="0"/>
          <w:marBottom w:val="240"/>
          <w:divBdr>
            <w:top w:val="none" w:sz="0" w:space="0" w:color="auto"/>
            <w:left w:val="none" w:sz="0" w:space="0" w:color="auto"/>
            <w:bottom w:val="none" w:sz="0" w:space="0" w:color="auto"/>
            <w:right w:val="none" w:sz="0" w:space="0" w:color="auto"/>
          </w:divBdr>
        </w:div>
      </w:divsChild>
    </w:div>
    <w:div w:id="186716352">
      <w:bodyDiv w:val="1"/>
      <w:marLeft w:val="0"/>
      <w:marRight w:val="0"/>
      <w:marTop w:val="0"/>
      <w:marBottom w:val="0"/>
      <w:divBdr>
        <w:top w:val="none" w:sz="0" w:space="0" w:color="auto"/>
        <w:left w:val="none" w:sz="0" w:space="0" w:color="auto"/>
        <w:bottom w:val="none" w:sz="0" w:space="0" w:color="auto"/>
        <w:right w:val="none" w:sz="0" w:space="0" w:color="auto"/>
      </w:divBdr>
    </w:div>
    <w:div w:id="276833502">
      <w:bodyDiv w:val="1"/>
      <w:marLeft w:val="0"/>
      <w:marRight w:val="0"/>
      <w:marTop w:val="0"/>
      <w:marBottom w:val="0"/>
      <w:divBdr>
        <w:top w:val="none" w:sz="0" w:space="0" w:color="auto"/>
        <w:left w:val="none" w:sz="0" w:space="0" w:color="auto"/>
        <w:bottom w:val="none" w:sz="0" w:space="0" w:color="auto"/>
        <w:right w:val="none" w:sz="0" w:space="0" w:color="auto"/>
      </w:divBdr>
    </w:div>
    <w:div w:id="304161974">
      <w:bodyDiv w:val="1"/>
      <w:marLeft w:val="0"/>
      <w:marRight w:val="0"/>
      <w:marTop w:val="0"/>
      <w:marBottom w:val="0"/>
      <w:divBdr>
        <w:top w:val="none" w:sz="0" w:space="0" w:color="auto"/>
        <w:left w:val="none" w:sz="0" w:space="0" w:color="auto"/>
        <w:bottom w:val="none" w:sz="0" w:space="0" w:color="auto"/>
        <w:right w:val="none" w:sz="0" w:space="0" w:color="auto"/>
      </w:divBdr>
    </w:div>
    <w:div w:id="340742676">
      <w:bodyDiv w:val="1"/>
      <w:marLeft w:val="0"/>
      <w:marRight w:val="0"/>
      <w:marTop w:val="0"/>
      <w:marBottom w:val="0"/>
      <w:divBdr>
        <w:top w:val="none" w:sz="0" w:space="0" w:color="auto"/>
        <w:left w:val="none" w:sz="0" w:space="0" w:color="auto"/>
        <w:bottom w:val="none" w:sz="0" w:space="0" w:color="auto"/>
        <w:right w:val="none" w:sz="0" w:space="0" w:color="auto"/>
      </w:divBdr>
      <w:divsChild>
        <w:div w:id="437994211">
          <w:marLeft w:val="446"/>
          <w:marRight w:val="0"/>
          <w:marTop w:val="0"/>
          <w:marBottom w:val="0"/>
          <w:divBdr>
            <w:top w:val="none" w:sz="0" w:space="0" w:color="auto"/>
            <w:left w:val="none" w:sz="0" w:space="0" w:color="auto"/>
            <w:bottom w:val="none" w:sz="0" w:space="0" w:color="auto"/>
            <w:right w:val="none" w:sz="0" w:space="0" w:color="auto"/>
          </w:divBdr>
        </w:div>
      </w:divsChild>
    </w:div>
    <w:div w:id="342631210">
      <w:bodyDiv w:val="1"/>
      <w:marLeft w:val="0"/>
      <w:marRight w:val="0"/>
      <w:marTop w:val="0"/>
      <w:marBottom w:val="0"/>
      <w:divBdr>
        <w:top w:val="none" w:sz="0" w:space="0" w:color="auto"/>
        <w:left w:val="none" w:sz="0" w:space="0" w:color="auto"/>
        <w:bottom w:val="none" w:sz="0" w:space="0" w:color="auto"/>
        <w:right w:val="none" w:sz="0" w:space="0" w:color="auto"/>
      </w:divBdr>
    </w:div>
    <w:div w:id="381490646">
      <w:bodyDiv w:val="1"/>
      <w:marLeft w:val="0"/>
      <w:marRight w:val="0"/>
      <w:marTop w:val="0"/>
      <w:marBottom w:val="0"/>
      <w:divBdr>
        <w:top w:val="none" w:sz="0" w:space="0" w:color="auto"/>
        <w:left w:val="none" w:sz="0" w:space="0" w:color="auto"/>
        <w:bottom w:val="none" w:sz="0" w:space="0" w:color="auto"/>
        <w:right w:val="none" w:sz="0" w:space="0" w:color="auto"/>
      </w:divBdr>
    </w:div>
    <w:div w:id="399183058">
      <w:bodyDiv w:val="1"/>
      <w:marLeft w:val="0"/>
      <w:marRight w:val="0"/>
      <w:marTop w:val="0"/>
      <w:marBottom w:val="0"/>
      <w:divBdr>
        <w:top w:val="none" w:sz="0" w:space="0" w:color="auto"/>
        <w:left w:val="none" w:sz="0" w:space="0" w:color="auto"/>
        <w:bottom w:val="none" w:sz="0" w:space="0" w:color="auto"/>
        <w:right w:val="none" w:sz="0" w:space="0" w:color="auto"/>
      </w:divBdr>
    </w:div>
    <w:div w:id="406457482">
      <w:bodyDiv w:val="1"/>
      <w:marLeft w:val="0"/>
      <w:marRight w:val="0"/>
      <w:marTop w:val="0"/>
      <w:marBottom w:val="0"/>
      <w:divBdr>
        <w:top w:val="none" w:sz="0" w:space="0" w:color="auto"/>
        <w:left w:val="none" w:sz="0" w:space="0" w:color="auto"/>
        <w:bottom w:val="none" w:sz="0" w:space="0" w:color="auto"/>
        <w:right w:val="none" w:sz="0" w:space="0" w:color="auto"/>
      </w:divBdr>
    </w:div>
    <w:div w:id="508326861">
      <w:bodyDiv w:val="1"/>
      <w:marLeft w:val="0"/>
      <w:marRight w:val="0"/>
      <w:marTop w:val="0"/>
      <w:marBottom w:val="0"/>
      <w:divBdr>
        <w:top w:val="none" w:sz="0" w:space="0" w:color="auto"/>
        <w:left w:val="none" w:sz="0" w:space="0" w:color="auto"/>
        <w:bottom w:val="none" w:sz="0" w:space="0" w:color="auto"/>
        <w:right w:val="none" w:sz="0" w:space="0" w:color="auto"/>
      </w:divBdr>
    </w:div>
    <w:div w:id="544296880">
      <w:bodyDiv w:val="1"/>
      <w:marLeft w:val="0"/>
      <w:marRight w:val="0"/>
      <w:marTop w:val="0"/>
      <w:marBottom w:val="0"/>
      <w:divBdr>
        <w:top w:val="none" w:sz="0" w:space="0" w:color="auto"/>
        <w:left w:val="none" w:sz="0" w:space="0" w:color="auto"/>
        <w:bottom w:val="none" w:sz="0" w:space="0" w:color="auto"/>
        <w:right w:val="none" w:sz="0" w:space="0" w:color="auto"/>
      </w:divBdr>
    </w:div>
    <w:div w:id="625233076">
      <w:bodyDiv w:val="1"/>
      <w:marLeft w:val="0"/>
      <w:marRight w:val="0"/>
      <w:marTop w:val="0"/>
      <w:marBottom w:val="0"/>
      <w:divBdr>
        <w:top w:val="none" w:sz="0" w:space="0" w:color="auto"/>
        <w:left w:val="none" w:sz="0" w:space="0" w:color="auto"/>
        <w:bottom w:val="none" w:sz="0" w:space="0" w:color="auto"/>
        <w:right w:val="none" w:sz="0" w:space="0" w:color="auto"/>
      </w:divBdr>
    </w:div>
    <w:div w:id="656497008">
      <w:bodyDiv w:val="1"/>
      <w:marLeft w:val="0"/>
      <w:marRight w:val="0"/>
      <w:marTop w:val="0"/>
      <w:marBottom w:val="0"/>
      <w:divBdr>
        <w:top w:val="none" w:sz="0" w:space="0" w:color="auto"/>
        <w:left w:val="none" w:sz="0" w:space="0" w:color="auto"/>
        <w:bottom w:val="none" w:sz="0" w:space="0" w:color="auto"/>
        <w:right w:val="none" w:sz="0" w:space="0" w:color="auto"/>
      </w:divBdr>
    </w:div>
    <w:div w:id="683483713">
      <w:bodyDiv w:val="1"/>
      <w:marLeft w:val="0"/>
      <w:marRight w:val="0"/>
      <w:marTop w:val="0"/>
      <w:marBottom w:val="0"/>
      <w:divBdr>
        <w:top w:val="none" w:sz="0" w:space="0" w:color="auto"/>
        <w:left w:val="none" w:sz="0" w:space="0" w:color="auto"/>
        <w:bottom w:val="none" w:sz="0" w:space="0" w:color="auto"/>
        <w:right w:val="none" w:sz="0" w:space="0" w:color="auto"/>
      </w:divBdr>
      <w:divsChild>
        <w:div w:id="2113091969">
          <w:marLeft w:val="446"/>
          <w:marRight w:val="0"/>
          <w:marTop w:val="0"/>
          <w:marBottom w:val="0"/>
          <w:divBdr>
            <w:top w:val="none" w:sz="0" w:space="0" w:color="auto"/>
            <w:left w:val="none" w:sz="0" w:space="0" w:color="auto"/>
            <w:bottom w:val="none" w:sz="0" w:space="0" w:color="auto"/>
            <w:right w:val="none" w:sz="0" w:space="0" w:color="auto"/>
          </w:divBdr>
        </w:div>
      </w:divsChild>
    </w:div>
    <w:div w:id="695935331">
      <w:bodyDiv w:val="1"/>
      <w:marLeft w:val="0"/>
      <w:marRight w:val="0"/>
      <w:marTop w:val="0"/>
      <w:marBottom w:val="0"/>
      <w:divBdr>
        <w:top w:val="none" w:sz="0" w:space="0" w:color="auto"/>
        <w:left w:val="none" w:sz="0" w:space="0" w:color="auto"/>
        <w:bottom w:val="none" w:sz="0" w:space="0" w:color="auto"/>
        <w:right w:val="none" w:sz="0" w:space="0" w:color="auto"/>
      </w:divBdr>
    </w:div>
    <w:div w:id="739639685">
      <w:bodyDiv w:val="1"/>
      <w:marLeft w:val="0"/>
      <w:marRight w:val="0"/>
      <w:marTop w:val="0"/>
      <w:marBottom w:val="0"/>
      <w:divBdr>
        <w:top w:val="none" w:sz="0" w:space="0" w:color="auto"/>
        <w:left w:val="none" w:sz="0" w:space="0" w:color="auto"/>
        <w:bottom w:val="none" w:sz="0" w:space="0" w:color="auto"/>
        <w:right w:val="none" w:sz="0" w:space="0" w:color="auto"/>
      </w:divBdr>
    </w:div>
    <w:div w:id="750927627">
      <w:bodyDiv w:val="1"/>
      <w:marLeft w:val="0"/>
      <w:marRight w:val="0"/>
      <w:marTop w:val="0"/>
      <w:marBottom w:val="0"/>
      <w:divBdr>
        <w:top w:val="none" w:sz="0" w:space="0" w:color="auto"/>
        <w:left w:val="none" w:sz="0" w:space="0" w:color="auto"/>
        <w:bottom w:val="none" w:sz="0" w:space="0" w:color="auto"/>
        <w:right w:val="none" w:sz="0" w:space="0" w:color="auto"/>
      </w:divBdr>
    </w:div>
    <w:div w:id="764619465">
      <w:bodyDiv w:val="1"/>
      <w:marLeft w:val="0"/>
      <w:marRight w:val="0"/>
      <w:marTop w:val="0"/>
      <w:marBottom w:val="0"/>
      <w:divBdr>
        <w:top w:val="none" w:sz="0" w:space="0" w:color="auto"/>
        <w:left w:val="none" w:sz="0" w:space="0" w:color="auto"/>
        <w:bottom w:val="none" w:sz="0" w:space="0" w:color="auto"/>
        <w:right w:val="none" w:sz="0" w:space="0" w:color="auto"/>
      </w:divBdr>
    </w:div>
    <w:div w:id="784420569">
      <w:bodyDiv w:val="1"/>
      <w:marLeft w:val="0"/>
      <w:marRight w:val="0"/>
      <w:marTop w:val="0"/>
      <w:marBottom w:val="0"/>
      <w:divBdr>
        <w:top w:val="none" w:sz="0" w:space="0" w:color="auto"/>
        <w:left w:val="none" w:sz="0" w:space="0" w:color="auto"/>
        <w:bottom w:val="none" w:sz="0" w:space="0" w:color="auto"/>
        <w:right w:val="none" w:sz="0" w:space="0" w:color="auto"/>
      </w:divBdr>
    </w:div>
    <w:div w:id="870193681">
      <w:bodyDiv w:val="1"/>
      <w:marLeft w:val="0"/>
      <w:marRight w:val="0"/>
      <w:marTop w:val="0"/>
      <w:marBottom w:val="0"/>
      <w:divBdr>
        <w:top w:val="none" w:sz="0" w:space="0" w:color="auto"/>
        <w:left w:val="none" w:sz="0" w:space="0" w:color="auto"/>
        <w:bottom w:val="none" w:sz="0" w:space="0" w:color="auto"/>
        <w:right w:val="none" w:sz="0" w:space="0" w:color="auto"/>
      </w:divBdr>
    </w:div>
    <w:div w:id="874007383">
      <w:bodyDiv w:val="1"/>
      <w:marLeft w:val="0"/>
      <w:marRight w:val="0"/>
      <w:marTop w:val="0"/>
      <w:marBottom w:val="0"/>
      <w:divBdr>
        <w:top w:val="none" w:sz="0" w:space="0" w:color="auto"/>
        <w:left w:val="none" w:sz="0" w:space="0" w:color="auto"/>
        <w:bottom w:val="none" w:sz="0" w:space="0" w:color="auto"/>
        <w:right w:val="none" w:sz="0" w:space="0" w:color="auto"/>
      </w:divBdr>
    </w:div>
    <w:div w:id="986468648">
      <w:bodyDiv w:val="1"/>
      <w:marLeft w:val="0"/>
      <w:marRight w:val="0"/>
      <w:marTop w:val="0"/>
      <w:marBottom w:val="0"/>
      <w:divBdr>
        <w:top w:val="none" w:sz="0" w:space="0" w:color="auto"/>
        <w:left w:val="none" w:sz="0" w:space="0" w:color="auto"/>
        <w:bottom w:val="none" w:sz="0" w:space="0" w:color="auto"/>
        <w:right w:val="none" w:sz="0" w:space="0" w:color="auto"/>
      </w:divBdr>
      <w:divsChild>
        <w:div w:id="1167286614">
          <w:marLeft w:val="446"/>
          <w:marRight w:val="0"/>
          <w:marTop w:val="0"/>
          <w:marBottom w:val="0"/>
          <w:divBdr>
            <w:top w:val="none" w:sz="0" w:space="0" w:color="auto"/>
            <w:left w:val="none" w:sz="0" w:space="0" w:color="auto"/>
            <w:bottom w:val="none" w:sz="0" w:space="0" w:color="auto"/>
            <w:right w:val="none" w:sz="0" w:space="0" w:color="auto"/>
          </w:divBdr>
        </w:div>
      </w:divsChild>
    </w:div>
    <w:div w:id="1010570639">
      <w:bodyDiv w:val="1"/>
      <w:marLeft w:val="0"/>
      <w:marRight w:val="0"/>
      <w:marTop w:val="0"/>
      <w:marBottom w:val="0"/>
      <w:divBdr>
        <w:top w:val="none" w:sz="0" w:space="0" w:color="auto"/>
        <w:left w:val="none" w:sz="0" w:space="0" w:color="auto"/>
        <w:bottom w:val="none" w:sz="0" w:space="0" w:color="auto"/>
        <w:right w:val="none" w:sz="0" w:space="0" w:color="auto"/>
      </w:divBdr>
      <w:divsChild>
        <w:div w:id="1831170274">
          <w:marLeft w:val="446"/>
          <w:marRight w:val="0"/>
          <w:marTop w:val="0"/>
          <w:marBottom w:val="240"/>
          <w:divBdr>
            <w:top w:val="none" w:sz="0" w:space="0" w:color="auto"/>
            <w:left w:val="none" w:sz="0" w:space="0" w:color="auto"/>
            <w:bottom w:val="none" w:sz="0" w:space="0" w:color="auto"/>
            <w:right w:val="none" w:sz="0" w:space="0" w:color="auto"/>
          </w:divBdr>
        </w:div>
      </w:divsChild>
    </w:div>
    <w:div w:id="1051687820">
      <w:bodyDiv w:val="1"/>
      <w:marLeft w:val="0"/>
      <w:marRight w:val="0"/>
      <w:marTop w:val="0"/>
      <w:marBottom w:val="0"/>
      <w:divBdr>
        <w:top w:val="none" w:sz="0" w:space="0" w:color="auto"/>
        <w:left w:val="none" w:sz="0" w:space="0" w:color="auto"/>
        <w:bottom w:val="none" w:sz="0" w:space="0" w:color="auto"/>
        <w:right w:val="none" w:sz="0" w:space="0" w:color="auto"/>
      </w:divBdr>
    </w:div>
    <w:div w:id="1067848778">
      <w:bodyDiv w:val="1"/>
      <w:marLeft w:val="0"/>
      <w:marRight w:val="0"/>
      <w:marTop w:val="0"/>
      <w:marBottom w:val="0"/>
      <w:divBdr>
        <w:top w:val="none" w:sz="0" w:space="0" w:color="auto"/>
        <w:left w:val="none" w:sz="0" w:space="0" w:color="auto"/>
        <w:bottom w:val="none" w:sz="0" w:space="0" w:color="auto"/>
        <w:right w:val="none" w:sz="0" w:space="0" w:color="auto"/>
      </w:divBdr>
    </w:div>
    <w:div w:id="1076051012">
      <w:bodyDiv w:val="1"/>
      <w:marLeft w:val="0"/>
      <w:marRight w:val="0"/>
      <w:marTop w:val="0"/>
      <w:marBottom w:val="0"/>
      <w:divBdr>
        <w:top w:val="none" w:sz="0" w:space="0" w:color="auto"/>
        <w:left w:val="none" w:sz="0" w:space="0" w:color="auto"/>
        <w:bottom w:val="none" w:sz="0" w:space="0" w:color="auto"/>
        <w:right w:val="none" w:sz="0" w:space="0" w:color="auto"/>
      </w:divBdr>
      <w:divsChild>
        <w:div w:id="913516542">
          <w:marLeft w:val="446"/>
          <w:marRight w:val="0"/>
          <w:marTop w:val="0"/>
          <w:marBottom w:val="24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27822934">
      <w:bodyDiv w:val="1"/>
      <w:marLeft w:val="0"/>
      <w:marRight w:val="0"/>
      <w:marTop w:val="0"/>
      <w:marBottom w:val="0"/>
      <w:divBdr>
        <w:top w:val="none" w:sz="0" w:space="0" w:color="auto"/>
        <w:left w:val="none" w:sz="0" w:space="0" w:color="auto"/>
        <w:bottom w:val="none" w:sz="0" w:space="0" w:color="auto"/>
        <w:right w:val="none" w:sz="0" w:space="0" w:color="auto"/>
      </w:divBdr>
    </w:div>
    <w:div w:id="1128086825">
      <w:bodyDiv w:val="1"/>
      <w:marLeft w:val="0"/>
      <w:marRight w:val="0"/>
      <w:marTop w:val="0"/>
      <w:marBottom w:val="0"/>
      <w:divBdr>
        <w:top w:val="none" w:sz="0" w:space="0" w:color="auto"/>
        <w:left w:val="none" w:sz="0" w:space="0" w:color="auto"/>
        <w:bottom w:val="none" w:sz="0" w:space="0" w:color="auto"/>
        <w:right w:val="none" w:sz="0" w:space="0" w:color="auto"/>
      </w:divBdr>
    </w:div>
    <w:div w:id="1174347262">
      <w:bodyDiv w:val="1"/>
      <w:marLeft w:val="0"/>
      <w:marRight w:val="0"/>
      <w:marTop w:val="0"/>
      <w:marBottom w:val="0"/>
      <w:divBdr>
        <w:top w:val="none" w:sz="0" w:space="0" w:color="auto"/>
        <w:left w:val="none" w:sz="0" w:space="0" w:color="auto"/>
        <w:bottom w:val="none" w:sz="0" w:space="0" w:color="auto"/>
        <w:right w:val="none" w:sz="0" w:space="0" w:color="auto"/>
      </w:divBdr>
    </w:div>
    <w:div w:id="1221404260">
      <w:bodyDiv w:val="1"/>
      <w:marLeft w:val="0"/>
      <w:marRight w:val="0"/>
      <w:marTop w:val="0"/>
      <w:marBottom w:val="0"/>
      <w:divBdr>
        <w:top w:val="none" w:sz="0" w:space="0" w:color="auto"/>
        <w:left w:val="none" w:sz="0" w:space="0" w:color="auto"/>
        <w:bottom w:val="none" w:sz="0" w:space="0" w:color="auto"/>
        <w:right w:val="none" w:sz="0" w:space="0" w:color="auto"/>
      </w:divBdr>
    </w:div>
    <w:div w:id="1260214999">
      <w:bodyDiv w:val="1"/>
      <w:marLeft w:val="0"/>
      <w:marRight w:val="0"/>
      <w:marTop w:val="0"/>
      <w:marBottom w:val="0"/>
      <w:divBdr>
        <w:top w:val="none" w:sz="0" w:space="0" w:color="auto"/>
        <w:left w:val="none" w:sz="0" w:space="0" w:color="auto"/>
        <w:bottom w:val="none" w:sz="0" w:space="0" w:color="auto"/>
        <w:right w:val="none" w:sz="0" w:space="0" w:color="auto"/>
      </w:divBdr>
    </w:div>
    <w:div w:id="1267692678">
      <w:bodyDiv w:val="1"/>
      <w:marLeft w:val="0"/>
      <w:marRight w:val="0"/>
      <w:marTop w:val="0"/>
      <w:marBottom w:val="0"/>
      <w:divBdr>
        <w:top w:val="none" w:sz="0" w:space="0" w:color="auto"/>
        <w:left w:val="none" w:sz="0" w:space="0" w:color="auto"/>
        <w:bottom w:val="none" w:sz="0" w:space="0" w:color="auto"/>
        <w:right w:val="none" w:sz="0" w:space="0" w:color="auto"/>
      </w:divBdr>
      <w:divsChild>
        <w:div w:id="1542594914">
          <w:marLeft w:val="446"/>
          <w:marRight w:val="0"/>
          <w:marTop w:val="0"/>
          <w:marBottom w:val="0"/>
          <w:divBdr>
            <w:top w:val="none" w:sz="0" w:space="0" w:color="auto"/>
            <w:left w:val="none" w:sz="0" w:space="0" w:color="auto"/>
            <w:bottom w:val="none" w:sz="0" w:space="0" w:color="auto"/>
            <w:right w:val="none" w:sz="0" w:space="0" w:color="auto"/>
          </w:divBdr>
        </w:div>
      </w:divsChild>
    </w:div>
    <w:div w:id="1299260338">
      <w:bodyDiv w:val="1"/>
      <w:marLeft w:val="0"/>
      <w:marRight w:val="0"/>
      <w:marTop w:val="0"/>
      <w:marBottom w:val="0"/>
      <w:divBdr>
        <w:top w:val="none" w:sz="0" w:space="0" w:color="auto"/>
        <w:left w:val="none" w:sz="0" w:space="0" w:color="auto"/>
        <w:bottom w:val="none" w:sz="0" w:space="0" w:color="auto"/>
        <w:right w:val="none" w:sz="0" w:space="0" w:color="auto"/>
      </w:divBdr>
    </w:div>
    <w:div w:id="1352804917">
      <w:bodyDiv w:val="1"/>
      <w:marLeft w:val="0"/>
      <w:marRight w:val="0"/>
      <w:marTop w:val="0"/>
      <w:marBottom w:val="0"/>
      <w:divBdr>
        <w:top w:val="none" w:sz="0" w:space="0" w:color="auto"/>
        <w:left w:val="none" w:sz="0" w:space="0" w:color="auto"/>
        <w:bottom w:val="none" w:sz="0" w:space="0" w:color="auto"/>
        <w:right w:val="none" w:sz="0" w:space="0" w:color="auto"/>
      </w:divBdr>
    </w:div>
    <w:div w:id="1373992545">
      <w:bodyDiv w:val="1"/>
      <w:marLeft w:val="0"/>
      <w:marRight w:val="0"/>
      <w:marTop w:val="0"/>
      <w:marBottom w:val="0"/>
      <w:divBdr>
        <w:top w:val="none" w:sz="0" w:space="0" w:color="auto"/>
        <w:left w:val="none" w:sz="0" w:space="0" w:color="auto"/>
        <w:bottom w:val="none" w:sz="0" w:space="0" w:color="auto"/>
        <w:right w:val="none" w:sz="0" w:space="0" w:color="auto"/>
      </w:divBdr>
    </w:div>
    <w:div w:id="1377388560">
      <w:bodyDiv w:val="1"/>
      <w:marLeft w:val="0"/>
      <w:marRight w:val="0"/>
      <w:marTop w:val="0"/>
      <w:marBottom w:val="0"/>
      <w:divBdr>
        <w:top w:val="none" w:sz="0" w:space="0" w:color="auto"/>
        <w:left w:val="none" w:sz="0" w:space="0" w:color="auto"/>
        <w:bottom w:val="none" w:sz="0" w:space="0" w:color="auto"/>
        <w:right w:val="none" w:sz="0" w:space="0" w:color="auto"/>
      </w:divBdr>
      <w:divsChild>
        <w:div w:id="19822150">
          <w:marLeft w:val="274"/>
          <w:marRight w:val="0"/>
          <w:marTop w:val="0"/>
          <w:marBottom w:val="240"/>
          <w:divBdr>
            <w:top w:val="none" w:sz="0" w:space="0" w:color="auto"/>
            <w:left w:val="none" w:sz="0" w:space="0" w:color="auto"/>
            <w:bottom w:val="none" w:sz="0" w:space="0" w:color="auto"/>
            <w:right w:val="none" w:sz="0" w:space="0" w:color="auto"/>
          </w:divBdr>
        </w:div>
        <w:div w:id="128745188">
          <w:marLeft w:val="274"/>
          <w:marRight w:val="0"/>
          <w:marTop w:val="0"/>
          <w:marBottom w:val="240"/>
          <w:divBdr>
            <w:top w:val="none" w:sz="0" w:space="0" w:color="auto"/>
            <w:left w:val="none" w:sz="0" w:space="0" w:color="auto"/>
            <w:bottom w:val="none" w:sz="0" w:space="0" w:color="auto"/>
            <w:right w:val="none" w:sz="0" w:space="0" w:color="auto"/>
          </w:divBdr>
        </w:div>
        <w:div w:id="2088960529">
          <w:marLeft w:val="274"/>
          <w:marRight w:val="0"/>
          <w:marTop w:val="0"/>
          <w:marBottom w:val="240"/>
          <w:divBdr>
            <w:top w:val="none" w:sz="0" w:space="0" w:color="auto"/>
            <w:left w:val="none" w:sz="0" w:space="0" w:color="auto"/>
            <w:bottom w:val="none" w:sz="0" w:space="0" w:color="auto"/>
            <w:right w:val="none" w:sz="0" w:space="0" w:color="auto"/>
          </w:divBdr>
        </w:div>
      </w:divsChild>
    </w:div>
    <w:div w:id="1401320442">
      <w:bodyDiv w:val="1"/>
      <w:marLeft w:val="0"/>
      <w:marRight w:val="0"/>
      <w:marTop w:val="0"/>
      <w:marBottom w:val="0"/>
      <w:divBdr>
        <w:top w:val="none" w:sz="0" w:space="0" w:color="auto"/>
        <w:left w:val="none" w:sz="0" w:space="0" w:color="auto"/>
        <w:bottom w:val="none" w:sz="0" w:space="0" w:color="auto"/>
        <w:right w:val="none" w:sz="0" w:space="0" w:color="auto"/>
      </w:divBdr>
    </w:div>
    <w:div w:id="1408334251">
      <w:bodyDiv w:val="1"/>
      <w:marLeft w:val="0"/>
      <w:marRight w:val="0"/>
      <w:marTop w:val="0"/>
      <w:marBottom w:val="0"/>
      <w:divBdr>
        <w:top w:val="none" w:sz="0" w:space="0" w:color="auto"/>
        <w:left w:val="none" w:sz="0" w:space="0" w:color="auto"/>
        <w:bottom w:val="none" w:sz="0" w:space="0" w:color="auto"/>
        <w:right w:val="none" w:sz="0" w:space="0" w:color="auto"/>
      </w:divBdr>
    </w:div>
    <w:div w:id="1447236956">
      <w:bodyDiv w:val="1"/>
      <w:marLeft w:val="0"/>
      <w:marRight w:val="0"/>
      <w:marTop w:val="0"/>
      <w:marBottom w:val="0"/>
      <w:divBdr>
        <w:top w:val="none" w:sz="0" w:space="0" w:color="auto"/>
        <w:left w:val="none" w:sz="0" w:space="0" w:color="auto"/>
        <w:bottom w:val="none" w:sz="0" w:space="0" w:color="auto"/>
        <w:right w:val="none" w:sz="0" w:space="0" w:color="auto"/>
      </w:divBdr>
    </w:div>
    <w:div w:id="1564636309">
      <w:bodyDiv w:val="1"/>
      <w:marLeft w:val="0"/>
      <w:marRight w:val="0"/>
      <w:marTop w:val="0"/>
      <w:marBottom w:val="0"/>
      <w:divBdr>
        <w:top w:val="none" w:sz="0" w:space="0" w:color="auto"/>
        <w:left w:val="none" w:sz="0" w:space="0" w:color="auto"/>
        <w:bottom w:val="none" w:sz="0" w:space="0" w:color="auto"/>
        <w:right w:val="none" w:sz="0" w:space="0" w:color="auto"/>
      </w:divBdr>
      <w:divsChild>
        <w:div w:id="449058276">
          <w:marLeft w:val="446"/>
          <w:marRight w:val="0"/>
          <w:marTop w:val="0"/>
          <w:marBottom w:val="0"/>
          <w:divBdr>
            <w:top w:val="none" w:sz="0" w:space="0" w:color="auto"/>
            <w:left w:val="none" w:sz="0" w:space="0" w:color="auto"/>
            <w:bottom w:val="none" w:sz="0" w:space="0" w:color="auto"/>
            <w:right w:val="none" w:sz="0" w:space="0" w:color="auto"/>
          </w:divBdr>
        </w:div>
      </w:divsChild>
    </w:div>
    <w:div w:id="1587110709">
      <w:bodyDiv w:val="1"/>
      <w:marLeft w:val="0"/>
      <w:marRight w:val="0"/>
      <w:marTop w:val="0"/>
      <w:marBottom w:val="0"/>
      <w:divBdr>
        <w:top w:val="none" w:sz="0" w:space="0" w:color="auto"/>
        <w:left w:val="none" w:sz="0" w:space="0" w:color="auto"/>
        <w:bottom w:val="none" w:sz="0" w:space="0" w:color="auto"/>
        <w:right w:val="none" w:sz="0" w:space="0" w:color="auto"/>
      </w:divBdr>
    </w:div>
    <w:div w:id="1593514451">
      <w:bodyDiv w:val="1"/>
      <w:marLeft w:val="0"/>
      <w:marRight w:val="0"/>
      <w:marTop w:val="0"/>
      <w:marBottom w:val="0"/>
      <w:divBdr>
        <w:top w:val="none" w:sz="0" w:space="0" w:color="auto"/>
        <w:left w:val="none" w:sz="0" w:space="0" w:color="auto"/>
        <w:bottom w:val="none" w:sz="0" w:space="0" w:color="auto"/>
        <w:right w:val="none" w:sz="0" w:space="0" w:color="auto"/>
      </w:divBdr>
      <w:divsChild>
        <w:div w:id="1471168532">
          <w:marLeft w:val="446"/>
          <w:marRight w:val="0"/>
          <w:marTop w:val="0"/>
          <w:marBottom w:val="0"/>
          <w:divBdr>
            <w:top w:val="none" w:sz="0" w:space="0" w:color="auto"/>
            <w:left w:val="none" w:sz="0" w:space="0" w:color="auto"/>
            <w:bottom w:val="none" w:sz="0" w:space="0" w:color="auto"/>
            <w:right w:val="none" w:sz="0" w:space="0" w:color="auto"/>
          </w:divBdr>
        </w:div>
      </w:divsChild>
    </w:div>
    <w:div w:id="1703941214">
      <w:bodyDiv w:val="1"/>
      <w:marLeft w:val="0"/>
      <w:marRight w:val="0"/>
      <w:marTop w:val="0"/>
      <w:marBottom w:val="0"/>
      <w:divBdr>
        <w:top w:val="none" w:sz="0" w:space="0" w:color="auto"/>
        <w:left w:val="none" w:sz="0" w:space="0" w:color="auto"/>
        <w:bottom w:val="none" w:sz="0" w:space="0" w:color="auto"/>
        <w:right w:val="none" w:sz="0" w:space="0" w:color="auto"/>
      </w:divBdr>
      <w:divsChild>
        <w:div w:id="1061060092">
          <w:marLeft w:val="446"/>
          <w:marRight w:val="0"/>
          <w:marTop w:val="0"/>
          <w:marBottom w:val="0"/>
          <w:divBdr>
            <w:top w:val="none" w:sz="0" w:space="0" w:color="auto"/>
            <w:left w:val="none" w:sz="0" w:space="0" w:color="auto"/>
            <w:bottom w:val="none" w:sz="0" w:space="0" w:color="auto"/>
            <w:right w:val="none" w:sz="0" w:space="0" w:color="auto"/>
          </w:divBdr>
        </w:div>
      </w:divsChild>
    </w:div>
    <w:div w:id="1754081948">
      <w:bodyDiv w:val="1"/>
      <w:marLeft w:val="0"/>
      <w:marRight w:val="0"/>
      <w:marTop w:val="0"/>
      <w:marBottom w:val="0"/>
      <w:divBdr>
        <w:top w:val="none" w:sz="0" w:space="0" w:color="auto"/>
        <w:left w:val="none" w:sz="0" w:space="0" w:color="auto"/>
        <w:bottom w:val="none" w:sz="0" w:space="0" w:color="auto"/>
        <w:right w:val="none" w:sz="0" w:space="0" w:color="auto"/>
      </w:divBdr>
    </w:div>
    <w:div w:id="1759987275">
      <w:bodyDiv w:val="1"/>
      <w:marLeft w:val="0"/>
      <w:marRight w:val="0"/>
      <w:marTop w:val="0"/>
      <w:marBottom w:val="0"/>
      <w:divBdr>
        <w:top w:val="none" w:sz="0" w:space="0" w:color="auto"/>
        <w:left w:val="none" w:sz="0" w:space="0" w:color="auto"/>
        <w:bottom w:val="none" w:sz="0" w:space="0" w:color="auto"/>
        <w:right w:val="none" w:sz="0" w:space="0" w:color="auto"/>
      </w:divBdr>
    </w:div>
    <w:div w:id="1823234094">
      <w:bodyDiv w:val="1"/>
      <w:marLeft w:val="0"/>
      <w:marRight w:val="0"/>
      <w:marTop w:val="0"/>
      <w:marBottom w:val="0"/>
      <w:divBdr>
        <w:top w:val="none" w:sz="0" w:space="0" w:color="auto"/>
        <w:left w:val="none" w:sz="0" w:space="0" w:color="auto"/>
        <w:bottom w:val="none" w:sz="0" w:space="0" w:color="auto"/>
        <w:right w:val="none" w:sz="0" w:space="0" w:color="auto"/>
      </w:divBdr>
    </w:div>
    <w:div w:id="1837644751">
      <w:bodyDiv w:val="1"/>
      <w:marLeft w:val="0"/>
      <w:marRight w:val="0"/>
      <w:marTop w:val="0"/>
      <w:marBottom w:val="0"/>
      <w:divBdr>
        <w:top w:val="none" w:sz="0" w:space="0" w:color="auto"/>
        <w:left w:val="none" w:sz="0" w:space="0" w:color="auto"/>
        <w:bottom w:val="none" w:sz="0" w:space="0" w:color="auto"/>
        <w:right w:val="none" w:sz="0" w:space="0" w:color="auto"/>
      </w:divBdr>
    </w:div>
    <w:div w:id="1915623007">
      <w:bodyDiv w:val="1"/>
      <w:marLeft w:val="0"/>
      <w:marRight w:val="0"/>
      <w:marTop w:val="0"/>
      <w:marBottom w:val="0"/>
      <w:divBdr>
        <w:top w:val="none" w:sz="0" w:space="0" w:color="auto"/>
        <w:left w:val="none" w:sz="0" w:space="0" w:color="auto"/>
        <w:bottom w:val="none" w:sz="0" w:space="0" w:color="auto"/>
        <w:right w:val="none" w:sz="0" w:space="0" w:color="auto"/>
      </w:divBdr>
    </w:div>
    <w:div w:id="1919706262">
      <w:bodyDiv w:val="1"/>
      <w:marLeft w:val="0"/>
      <w:marRight w:val="0"/>
      <w:marTop w:val="0"/>
      <w:marBottom w:val="0"/>
      <w:divBdr>
        <w:top w:val="none" w:sz="0" w:space="0" w:color="auto"/>
        <w:left w:val="none" w:sz="0" w:space="0" w:color="auto"/>
        <w:bottom w:val="none" w:sz="0" w:space="0" w:color="auto"/>
        <w:right w:val="none" w:sz="0" w:space="0" w:color="auto"/>
      </w:divBdr>
    </w:div>
    <w:div w:id="1955137697">
      <w:bodyDiv w:val="1"/>
      <w:marLeft w:val="0"/>
      <w:marRight w:val="0"/>
      <w:marTop w:val="0"/>
      <w:marBottom w:val="0"/>
      <w:divBdr>
        <w:top w:val="none" w:sz="0" w:space="0" w:color="auto"/>
        <w:left w:val="none" w:sz="0" w:space="0" w:color="auto"/>
        <w:bottom w:val="none" w:sz="0" w:space="0" w:color="auto"/>
        <w:right w:val="none" w:sz="0" w:space="0" w:color="auto"/>
      </w:divBdr>
    </w:div>
    <w:div w:id="1964924032">
      <w:bodyDiv w:val="1"/>
      <w:marLeft w:val="0"/>
      <w:marRight w:val="0"/>
      <w:marTop w:val="0"/>
      <w:marBottom w:val="0"/>
      <w:divBdr>
        <w:top w:val="none" w:sz="0" w:space="0" w:color="auto"/>
        <w:left w:val="none" w:sz="0" w:space="0" w:color="auto"/>
        <w:bottom w:val="none" w:sz="0" w:space="0" w:color="auto"/>
        <w:right w:val="none" w:sz="0" w:space="0" w:color="auto"/>
      </w:divBdr>
    </w:div>
    <w:div w:id="2008629895">
      <w:bodyDiv w:val="1"/>
      <w:marLeft w:val="0"/>
      <w:marRight w:val="0"/>
      <w:marTop w:val="0"/>
      <w:marBottom w:val="0"/>
      <w:divBdr>
        <w:top w:val="none" w:sz="0" w:space="0" w:color="auto"/>
        <w:left w:val="none" w:sz="0" w:space="0" w:color="auto"/>
        <w:bottom w:val="none" w:sz="0" w:space="0" w:color="auto"/>
        <w:right w:val="none" w:sz="0" w:space="0" w:color="auto"/>
      </w:divBdr>
    </w:div>
    <w:div w:id="208306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ella%20Rojas\Nueva%20carpeta\PLANTILLA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7D4FDF199FE64438732850D4FBE260F" ma:contentTypeVersion="17" ma:contentTypeDescription="Crear nuevo documento." ma:contentTypeScope="" ma:versionID="fdd9e77ae2353dd9272916a1604eb472">
  <xsd:schema xmlns:xsd="http://www.w3.org/2001/XMLSchema" xmlns:xs="http://www.w3.org/2001/XMLSchema" xmlns:p="http://schemas.microsoft.com/office/2006/metadata/properties" xmlns:ns2="0f90cc45-9d06-4234-8034-eeec6c0c7cc1" xmlns:ns3="309f6219-a73f-4366-a00d-6bacb1e9f8e0" targetNamespace="http://schemas.microsoft.com/office/2006/metadata/properties" ma:root="true" ma:fieldsID="530156d16447350daabf2c4feffb0c02" ns2:_="" ns3:_="">
    <xsd:import namespace="0f90cc45-9d06-4234-8034-eeec6c0c7cc1"/>
    <xsd:import namespace="309f6219-a73f-4366-a00d-6bacb1e9f8e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cc45-9d06-4234-8034-eeec6c0c7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f6219-a73f-4366-a00d-6bacb1e9f8e0"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6ce1057a-84f0-41ef-9c26-068fafd6c4b9}" ma:internalName="TaxCatchAll" ma:showField="CatchAllData" ma:web="309f6219-a73f-4366-a00d-6bacb1e9f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90cc45-9d06-4234-8034-eeec6c0c7cc1">
      <Terms xmlns="http://schemas.microsoft.com/office/infopath/2007/PartnerControls"/>
    </lcf76f155ced4ddcb4097134ff3c332f>
    <TaxCatchAll xmlns="309f6219-a73f-4366-a00d-6bacb1e9f8e0" xsi:nil="true"/>
  </documentManagement>
</p:properties>
</file>

<file path=customXml/itemProps1.xml><?xml version="1.0" encoding="utf-8"?>
<ds:datastoreItem xmlns:ds="http://schemas.openxmlformats.org/officeDocument/2006/customXml" ds:itemID="{F300A516-8A54-4ECA-ADDA-803DEF110CF0}">
  <ds:schemaRefs>
    <ds:schemaRef ds:uri="http://schemas.microsoft.com/sharepoint/v3/contenttype/forms"/>
  </ds:schemaRefs>
</ds:datastoreItem>
</file>

<file path=customXml/itemProps2.xml><?xml version="1.0" encoding="utf-8"?>
<ds:datastoreItem xmlns:ds="http://schemas.openxmlformats.org/officeDocument/2006/customXml" ds:itemID="{44E2162A-6275-458E-BD9A-6F73D1070D96}">
  <ds:schemaRefs>
    <ds:schemaRef ds:uri="http://schemas.openxmlformats.org/officeDocument/2006/bibliography"/>
  </ds:schemaRefs>
</ds:datastoreItem>
</file>

<file path=customXml/itemProps3.xml><?xml version="1.0" encoding="utf-8"?>
<ds:datastoreItem xmlns:ds="http://schemas.openxmlformats.org/officeDocument/2006/customXml" ds:itemID="{18268E39-B9AC-462D-909D-3F74C7619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cc45-9d06-4234-8034-eeec6c0c7cc1"/>
    <ds:schemaRef ds:uri="309f6219-a73f-4366-a00d-6bacb1e9f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71ADBC-1EF2-499D-B8A6-3BED699ADCA9}">
  <ds:schemaRefs>
    <ds:schemaRef ds:uri="http://schemas.microsoft.com/office/2006/metadata/properties"/>
    <ds:schemaRef ds:uri="http://schemas.microsoft.com/office/infopath/2007/PartnerControls"/>
    <ds:schemaRef ds:uri="0f90cc45-9d06-4234-8034-eeec6c0c7cc1"/>
    <ds:schemaRef ds:uri="309f6219-a73f-4366-a00d-6bacb1e9f8e0"/>
  </ds:schemaRefs>
</ds:datastoreItem>
</file>

<file path=docProps/app.xml><?xml version="1.0" encoding="utf-8"?>
<Properties xmlns="http://schemas.openxmlformats.org/officeDocument/2006/extended-properties" xmlns:vt="http://schemas.openxmlformats.org/officeDocument/2006/docPropsVTypes">
  <Template>PLANTILLA1</Template>
  <TotalTime>82</TotalTime>
  <Pages>1</Pages>
  <Words>17767</Words>
  <Characters>97721</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CREG</Company>
  <LinksUpToDate>false</LinksUpToDate>
  <CharactersWithSpaces>115258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LSROJAS</dc:creator>
  <cp:keywords/>
  <cp:lastModifiedBy>Jonathan Ramirez Ochoa</cp:lastModifiedBy>
  <cp:revision>119</cp:revision>
  <cp:lastPrinted>2025-01-30T15:41:00Z</cp:lastPrinted>
  <dcterms:created xsi:type="dcterms:W3CDTF">2024-12-12T16:10:00Z</dcterms:created>
  <dcterms:modified xsi:type="dcterms:W3CDTF">2025-01-30T15:41:00Z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0x010100A7D4FDF199FE64438732850D4FBE260F</vt:lpwstr>
  </property>
  <property fmtid="{D5CDD505-2E9C-101B-9397-08002B2CF9AE}" pid="3" name="MediaServiceImageTags">
    <vt:lpwstr/>
  </property>
</Properties>
</file>